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FB61" w14:textId="77777777" w:rsidR="004F4690" w:rsidRPr="004F4690" w:rsidRDefault="004F4690" w:rsidP="004F4690">
      <w:pPr>
        <w:pStyle w:val="NormalnyWeb"/>
        <w:rPr>
          <w:rFonts w:ascii="Open Sans" w:hAnsi="Open Sans" w:cs="Open Sans"/>
        </w:rPr>
      </w:pPr>
      <w:r w:rsidRPr="004F4690">
        <w:rPr>
          <w:rFonts w:ascii="Open Sans" w:hAnsi="Open Sans" w:cs="Open Sans"/>
          <w:noProof/>
        </w:rPr>
        <w:drawing>
          <wp:inline distT="0" distB="0" distL="0" distR="0" wp14:anchorId="297561FC" wp14:editId="173CC423">
            <wp:extent cx="6312535" cy="655667"/>
            <wp:effectExtent l="0" t="0" r="0" b="0"/>
            <wp:docPr id="1" name="Obraz 1" descr="C:\Users\eboratynska\Desktop\logo-FE-CUP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oratynska\Desktop\logo-FE-CUPT-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7278" cy="677972"/>
                    </a:xfrm>
                    <a:prstGeom prst="rect">
                      <a:avLst/>
                    </a:prstGeom>
                    <a:noFill/>
                    <a:ln>
                      <a:noFill/>
                    </a:ln>
                  </pic:spPr>
                </pic:pic>
              </a:graphicData>
            </a:graphic>
          </wp:inline>
        </w:drawing>
      </w:r>
    </w:p>
    <w:p w14:paraId="4673A7E2" w14:textId="77777777" w:rsidR="00125495" w:rsidRPr="004F4690" w:rsidRDefault="00125495">
      <w:pPr>
        <w:spacing w:after="80"/>
        <w:rPr>
          <w:rFonts w:ascii="Open Sans" w:hAnsi="Open Sans" w:cs="Open Sans"/>
        </w:rPr>
      </w:pPr>
    </w:p>
    <w:p w14:paraId="5DFC5574" w14:textId="77777777" w:rsidR="00125495" w:rsidRPr="004F4690" w:rsidRDefault="00125495">
      <w:pPr>
        <w:spacing w:after="80"/>
        <w:rPr>
          <w:rFonts w:ascii="Open Sans" w:hAnsi="Open Sans" w:cs="Open Sans"/>
        </w:rPr>
      </w:pPr>
    </w:p>
    <w:p w14:paraId="34672081" w14:textId="77777777" w:rsidR="00125495" w:rsidRPr="004F4690" w:rsidRDefault="00125495">
      <w:pPr>
        <w:spacing w:after="80"/>
        <w:rPr>
          <w:rFonts w:ascii="Open Sans" w:hAnsi="Open Sans" w:cs="Open Sans"/>
        </w:rPr>
      </w:pPr>
    </w:p>
    <w:p w14:paraId="7356B4C6" w14:textId="77777777" w:rsidR="00125495" w:rsidRPr="004F4690" w:rsidRDefault="003A74F4">
      <w:pPr>
        <w:spacing w:after="80"/>
        <w:jc w:val="center"/>
        <w:rPr>
          <w:rFonts w:ascii="Open Sans" w:hAnsi="Open Sans" w:cs="Open Sans"/>
        </w:rPr>
      </w:pPr>
      <w:r w:rsidRPr="004F4690">
        <w:rPr>
          <w:rFonts w:ascii="Open Sans" w:hAnsi="Open Sans" w:cs="Open Sans"/>
          <w:b/>
          <w:bCs/>
          <w:caps/>
          <w:color w:val="888888"/>
          <w:sz w:val="20"/>
          <w:szCs w:val="20"/>
        </w:rPr>
        <w:t>CENTRUM UNIJNYCH PROJEKTÓW TRANSPORTOWYCH</w:t>
      </w:r>
    </w:p>
    <w:p w14:paraId="60620DCF" w14:textId="77777777" w:rsidR="00125495" w:rsidRPr="004F4690" w:rsidRDefault="003A74F4">
      <w:pPr>
        <w:spacing w:after="80"/>
        <w:jc w:val="center"/>
        <w:rPr>
          <w:rFonts w:ascii="Open Sans" w:hAnsi="Open Sans" w:cs="Open Sans"/>
          <w:b/>
          <w:bCs/>
          <w:caps/>
          <w:color w:val="888888"/>
          <w:sz w:val="20"/>
          <w:szCs w:val="20"/>
        </w:rPr>
      </w:pPr>
      <w:r w:rsidRPr="004F4690">
        <w:rPr>
          <w:rFonts w:ascii="Open Sans" w:hAnsi="Open Sans" w:cs="Open Sans"/>
          <w:b/>
          <w:bCs/>
          <w:caps/>
          <w:color w:val="888888"/>
          <w:sz w:val="20"/>
          <w:szCs w:val="20"/>
        </w:rPr>
        <w:t>TRANSPORTOWE OBSERWATORIUM BADAWCZE</w:t>
      </w:r>
    </w:p>
    <w:p w14:paraId="2CB89E09" w14:textId="77777777" w:rsidR="004F4690" w:rsidRPr="004F4690" w:rsidRDefault="004F4690">
      <w:pPr>
        <w:spacing w:after="80"/>
        <w:jc w:val="center"/>
        <w:rPr>
          <w:rFonts w:ascii="Open Sans" w:hAnsi="Open Sans" w:cs="Open Sans"/>
        </w:rPr>
      </w:pPr>
    </w:p>
    <w:p w14:paraId="41937EF5" w14:textId="77777777" w:rsidR="004F4690" w:rsidRPr="004F4690" w:rsidRDefault="004F4690" w:rsidP="004F4690">
      <w:pPr>
        <w:pStyle w:val="NormalnyWeb"/>
        <w:jc w:val="center"/>
        <w:rPr>
          <w:rFonts w:ascii="Open Sans" w:hAnsi="Open Sans" w:cs="Open Sans"/>
        </w:rPr>
      </w:pPr>
      <w:r w:rsidRPr="004F4690">
        <w:rPr>
          <w:rFonts w:ascii="Open Sans" w:hAnsi="Open Sans" w:cs="Open Sans"/>
          <w:noProof/>
        </w:rPr>
        <w:drawing>
          <wp:inline distT="0" distB="0" distL="0" distR="0" wp14:anchorId="113D200D" wp14:editId="4EA0AB10">
            <wp:extent cx="1138254" cy="1138254"/>
            <wp:effectExtent l="0" t="0" r="5080" b="5080"/>
            <wp:docPr id="2" name="Obraz 2" descr="C:\Users\eboratynska\Desktop\logotyp T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oratynska\Desktop\logotyp TO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194" cy="1147194"/>
                    </a:xfrm>
                    <a:prstGeom prst="rect">
                      <a:avLst/>
                    </a:prstGeom>
                    <a:noFill/>
                    <a:ln>
                      <a:noFill/>
                    </a:ln>
                  </pic:spPr>
                </pic:pic>
              </a:graphicData>
            </a:graphic>
          </wp:inline>
        </w:drawing>
      </w:r>
    </w:p>
    <w:p w14:paraId="527A65FA" w14:textId="77777777" w:rsidR="00125495" w:rsidRPr="004F4690" w:rsidRDefault="00125495">
      <w:pPr>
        <w:spacing w:after="80"/>
        <w:rPr>
          <w:rFonts w:ascii="Open Sans" w:hAnsi="Open Sans" w:cs="Open Sans"/>
        </w:rPr>
      </w:pPr>
    </w:p>
    <w:p w14:paraId="3CA71404" w14:textId="77777777" w:rsidR="00125495" w:rsidRPr="004F4690" w:rsidRDefault="00125495">
      <w:pPr>
        <w:spacing w:after="80"/>
        <w:rPr>
          <w:rFonts w:ascii="Open Sans" w:hAnsi="Open Sans" w:cs="Open Sans"/>
        </w:rPr>
      </w:pPr>
    </w:p>
    <w:p w14:paraId="70B7C261" w14:textId="77777777" w:rsidR="00125495" w:rsidRPr="004F4690" w:rsidRDefault="003A74F4">
      <w:pPr>
        <w:pBdr>
          <w:top w:val="single" w:sz="8" w:space="4" w:color="1F4E79"/>
          <w:bottom w:val="single" w:sz="8" w:space="4" w:color="1F4E79"/>
        </w:pBdr>
        <w:spacing w:after="200"/>
        <w:jc w:val="center"/>
        <w:rPr>
          <w:rFonts w:ascii="Open Sans" w:hAnsi="Open Sans" w:cs="Open Sans"/>
        </w:rPr>
      </w:pPr>
      <w:r w:rsidRPr="004F4690">
        <w:rPr>
          <w:rFonts w:ascii="Open Sans" w:hAnsi="Open Sans" w:cs="Open Sans"/>
          <w:b/>
          <w:bCs/>
          <w:caps/>
          <w:color w:val="1F4E79"/>
          <w:sz w:val="40"/>
          <w:szCs w:val="40"/>
        </w:rPr>
        <w:t>RAPORT ANALITYCZNY</w:t>
      </w:r>
    </w:p>
    <w:p w14:paraId="54A8F6C7" w14:textId="77777777" w:rsidR="00125495" w:rsidRPr="004F4690" w:rsidRDefault="003A74F4">
      <w:pPr>
        <w:spacing w:before="200" w:after="120"/>
        <w:jc w:val="center"/>
        <w:rPr>
          <w:rFonts w:ascii="Open Sans" w:hAnsi="Open Sans" w:cs="Open Sans"/>
        </w:rPr>
      </w:pPr>
      <w:r w:rsidRPr="004F4690">
        <w:rPr>
          <w:rFonts w:ascii="Open Sans" w:hAnsi="Open Sans" w:cs="Open Sans"/>
          <w:b/>
          <w:bCs/>
          <w:color w:val="2E75B6"/>
          <w:sz w:val="36"/>
          <w:szCs w:val="36"/>
        </w:rPr>
        <w:t>Odporność w ruchu –</w:t>
      </w:r>
    </w:p>
    <w:p w14:paraId="71100DBA" w14:textId="77777777" w:rsidR="00125495" w:rsidRPr="004F4690" w:rsidRDefault="003A74F4">
      <w:pPr>
        <w:spacing w:after="320"/>
        <w:jc w:val="center"/>
        <w:rPr>
          <w:rFonts w:ascii="Open Sans" w:hAnsi="Open Sans" w:cs="Open Sans"/>
        </w:rPr>
      </w:pPr>
      <w:r w:rsidRPr="004F4690">
        <w:rPr>
          <w:rFonts w:ascii="Open Sans" w:hAnsi="Open Sans" w:cs="Open Sans"/>
          <w:b/>
          <w:bCs/>
          <w:color w:val="2E75B6"/>
          <w:sz w:val="36"/>
          <w:szCs w:val="36"/>
        </w:rPr>
        <w:t>infrastruktura podwójnego zastosowania</w:t>
      </w:r>
    </w:p>
    <w:p w14:paraId="0FEB85D2" w14:textId="77777777" w:rsidR="00125495" w:rsidRPr="004F4690" w:rsidRDefault="003A74F4">
      <w:pPr>
        <w:spacing w:after="80"/>
        <w:jc w:val="center"/>
        <w:rPr>
          <w:rFonts w:ascii="Open Sans" w:hAnsi="Open Sans" w:cs="Open Sans"/>
        </w:rPr>
      </w:pPr>
      <w:r w:rsidRPr="004F4690">
        <w:rPr>
          <w:rFonts w:ascii="Open Sans" w:hAnsi="Open Sans" w:cs="Open Sans"/>
          <w:color w:val="2E75B6"/>
          <w:sz w:val="30"/>
          <w:szCs w:val="30"/>
        </w:rPr>
        <w:t>w systemie transportowym</w:t>
      </w:r>
    </w:p>
    <w:p w14:paraId="59797678" w14:textId="77777777" w:rsidR="00125495" w:rsidRPr="004F4690" w:rsidRDefault="00125495">
      <w:pPr>
        <w:spacing w:after="80"/>
        <w:rPr>
          <w:rFonts w:ascii="Open Sans" w:hAnsi="Open Sans" w:cs="Open Sans"/>
        </w:rPr>
      </w:pPr>
    </w:p>
    <w:p w14:paraId="23C2C7BE" w14:textId="77777777" w:rsidR="00125495" w:rsidRPr="004F4690" w:rsidRDefault="00125495">
      <w:pPr>
        <w:spacing w:after="80"/>
        <w:rPr>
          <w:rFonts w:ascii="Open Sans" w:hAnsi="Open Sans" w:cs="Open Sans"/>
        </w:rPr>
      </w:pPr>
    </w:p>
    <w:p w14:paraId="027577F4" w14:textId="77777777" w:rsidR="00125495" w:rsidRPr="004F4690" w:rsidRDefault="003A74F4">
      <w:pPr>
        <w:spacing w:after="80"/>
        <w:jc w:val="center"/>
        <w:rPr>
          <w:rFonts w:ascii="Open Sans" w:hAnsi="Open Sans" w:cs="Open Sans"/>
        </w:rPr>
      </w:pPr>
      <w:r w:rsidRPr="004F4690">
        <w:rPr>
          <w:rFonts w:ascii="Open Sans" w:hAnsi="Open Sans" w:cs="Open Sans"/>
          <w:i/>
          <w:iCs/>
          <w:color w:val="555555"/>
        </w:rPr>
        <w:t>Na podstawie 5</w:t>
      </w:r>
      <w:r w:rsidR="004F4690" w:rsidRPr="004F4690">
        <w:rPr>
          <w:rFonts w:ascii="Open Sans" w:hAnsi="Open Sans" w:cs="Open Sans"/>
          <w:i/>
          <w:iCs/>
          <w:color w:val="555555"/>
        </w:rPr>
        <w:t>6</w:t>
      </w:r>
      <w:r w:rsidRPr="004F4690">
        <w:rPr>
          <w:rFonts w:ascii="Open Sans" w:hAnsi="Open Sans" w:cs="Open Sans"/>
          <w:i/>
          <w:iCs/>
          <w:color w:val="555555"/>
        </w:rPr>
        <w:t>. spotkania Transportowego Obserwatorium Badawczego</w:t>
      </w:r>
    </w:p>
    <w:p w14:paraId="6F877A65" w14:textId="77777777" w:rsidR="00125495" w:rsidRPr="004F4690" w:rsidRDefault="003A74F4">
      <w:pPr>
        <w:spacing w:after="80"/>
        <w:jc w:val="center"/>
        <w:rPr>
          <w:rFonts w:ascii="Open Sans" w:hAnsi="Open Sans" w:cs="Open Sans"/>
        </w:rPr>
      </w:pPr>
      <w:r w:rsidRPr="004F4690">
        <w:rPr>
          <w:rFonts w:ascii="Open Sans" w:hAnsi="Open Sans" w:cs="Open Sans"/>
          <w:b/>
          <w:bCs/>
          <w:color w:val="333333"/>
        </w:rPr>
        <w:t>Webinarium | 26 lutego 2026 r.</w:t>
      </w:r>
    </w:p>
    <w:p w14:paraId="3B6F5BB9" w14:textId="77777777" w:rsidR="00125495" w:rsidRPr="004F4690" w:rsidRDefault="00125495">
      <w:pPr>
        <w:spacing w:after="80"/>
        <w:rPr>
          <w:rFonts w:ascii="Open Sans" w:hAnsi="Open Sans" w:cs="Open Sans"/>
        </w:rPr>
      </w:pPr>
    </w:p>
    <w:p w14:paraId="3A1E8952" w14:textId="77777777" w:rsidR="00125495" w:rsidRPr="004F4690" w:rsidRDefault="00125495">
      <w:pPr>
        <w:spacing w:after="80"/>
        <w:rPr>
          <w:rFonts w:ascii="Open Sans" w:hAnsi="Open Sans" w:cs="Open Sans"/>
        </w:rPr>
      </w:pPr>
    </w:p>
    <w:p w14:paraId="4086E2B6" w14:textId="77777777" w:rsidR="00125495" w:rsidRPr="004F4690" w:rsidRDefault="00125495">
      <w:pPr>
        <w:spacing w:after="80"/>
        <w:rPr>
          <w:rFonts w:ascii="Open Sans" w:hAnsi="Open Sans" w:cs="Open Sans"/>
        </w:rPr>
      </w:pPr>
    </w:p>
    <w:p w14:paraId="11B42461" w14:textId="77777777" w:rsidR="00125495" w:rsidRPr="004F4690" w:rsidRDefault="00125495">
      <w:pPr>
        <w:spacing w:after="80"/>
        <w:rPr>
          <w:rFonts w:ascii="Open Sans" w:hAnsi="Open Sans" w:cs="Open Sans"/>
        </w:rPr>
      </w:pPr>
    </w:p>
    <w:p w14:paraId="46E462EC" w14:textId="77777777" w:rsidR="00125495" w:rsidRPr="004F4690" w:rsidRDefault="003A74F4">
      <w:pPr>
        <w:spacing w:after="80"/>
        <w:jc w:val="center"/>
        <w:rPr>
          <w:rFonts w:ascii="Open Sans" w:hAnsi="Open Sans" w:cs="Open Sans"/>
        </w:rPr>
      </w:pPr>
      <w:r w:rsidRPr="004F4690">
        <w:rPr>
          <w:rFonts w:ascii="Open Sans" w:hAnsi="Open Sans" w:cs="Open Sans"/>
          <w:i/>
          <w:iCs/>
          <w:color w:val="888888"/>
          <w:sz w:val="20"/>
          <w:szCs w:val="20"/>
        </w:rPr>
        <w:t>Dokument przeznaczony dla decydentów i interesariuszy sektora transportowego</w:t>
      </w:r>
    </w:p>
    <w:p w14:paraId="42B3CEBA" w14:textId="77777777" w:rsidR="00125495" w:rsidRPr="004F4690" w:rsidRDefault="003A74F4">
      <w:pPr>
        <w:rPr>
          <w:rFonts w:ascii="Open Sans" w:hAnsi="Open Sans" w:cs="Open Sans"/>
        </w:rPr>
      </w:pPr>
      <w:r w:rsidRPr="004F4690">
        <w:rPr>
          <w:rFonts w:ascii="Open Sans" w:hAnsi="Open Sans" w:cs="Open Sans"/>
        </w:rPr>
        <w:br w:type="page"/>
      </w:r>
    </w:p>
    <w:p w14:paraId="070E8AFE" w14:textId="77777777" w:rsidR="00125495" w:rsidRPr="004F4690" w:rsidRDefault="003A74F4">
      <w:pPr>
        <w:pStyle w:val="Nagwek1"/>
        <w:pBdr>
          <w:bottom w:val="single" w:sz="6" w:space="4" w:color="2E75B6"/>
        </w:pBdr>
        <w:rPr>
          <w:rFonts w:ascii="Open Sans" w:hAnsi="Open Sans" w:cs="Open Sans"/>
        </w:rPr>
      </w:pPr>
      <w:r w:rsidRPr="004F4690">
        <w:rPr>
          <w:rFonts w:ascii="Open Sans" w:hAnsi="Open Sans" w:cs="Open Sans"/>
        </w:rPr>
        <w:lastRenderedPageBreak/>
        <w:t>Streszczenie wykonawcze</w:t>
      </w:r>
    </w:p>
    <w:p w14:paraId="53F6E872" w14:textId="77777777" w:rsidR="00125495" w:rsidRPr="004F4690" w:rsidRDefault="003A74F4">
      <w:pPr>
        <w:spacing w:before="60" w:after="80"/>
        <w:jc w:val="both"/>
        <w:rPr>
          <w:rFonts w:ascii="Open Sans" w:hAnsi="Open Sans" w:cs="Open Sans"/>
        </w:rPr>
      </w:pPr>
      <w:r w:rsidRPr="004F4690">
        <w:rPr>
          <w:rFonts w:ascii="Open Sans" w:hAnsi="Open Sans" w:cs="Open Sans"/>
        </w:rPr>
        <w:t>Niniejszy raport stanowi a</w:t>
      </w:r>
      <w:r w:rsidR="004F4690" w:rsidRPr="004F4690">
        <w:rPr>
          <w:rFonts w:ascii="Open Sans" w:hAnsi="Open Sans" w:cs="Open Sans"/>
        </w:rPr>
        <w:t>nalityczne opracowanie treści 56</w:t>
      </w:r>
      <w:r w:rsidRPr="004F4690">
        <w:rPr>
          <w:rFonts w:ascii="Open Sans" w:hAnsi="Open Sans" w:cs="Open Sans"/>
        </w:rPr>
        <w:t>. spotkania Transportowego Obserwatorium Badawczego (TOB) zorganizowanego przez Centrum Unijnych Projekt</w:t>
      </w:r>
      <w:r w:rsidR="004F4690" w:rsidRPr="004F4690">
        <w:rPr>
          <w:rFonts w:ascii="Open Sans" w:hAnsi="Open Sans" w:cs="Open Sans"/>
        </w:rPr>
        <w:t xml:space="preserve">ów Transportowych (CUPT) </w:t>
      </w:r>
      <w:r w:rsidRPr="004F4690">
        <w:rPr>
          <w:rFonts w:ascii="Open Sans" w:hAnsi="Open Sans" w:cs="Open Sans"/>
        </w:rPr>
        <w:t xml:space="preserve">26 lutego 2026 r. Tematem przewodnim było projektowanie i wdrażanie infrastruktury transportowej podwójnego zastosowania (ang. dual </w:t>
      </w:r>
      <w:proofErr w:type="spellStart"/>
      <w:r w:rsidRPr="004F4690">
        <w:rPr>
          <w:rFonts w:ascii="Open Sans" w:hAnsi="Open Sans" w:cs="Open Sans"/>
        </w:rPr>
        <w:t>use</w:t>
      </w:r>
      <w:proofErr w:type="spellEnd"/>
      <w:r w:rsidRPr="004F4690">
        <w:rPr>
          <w:rFonts w:ascii="Open Sans" w:hAnsi="Open Sans" w:cs="Open Sans"/>
        </w:rPr>
        <w:t>) jako kluczowego elementu systemu odporności państwa.</w:t>
      </w:r>
    </w:p>
    <w:p w14:paraId="424043C4" w14:textId="77777777" w:rsidR="00125495" w:rsidRPr="004F4690" w:rsidRDefault="003A74F4">
      <w:pPr>
        <w:spacing w:before="60" w:after="80"/>
        <w:jc w:val="both"/>
        <w:rPr>
          <w:rFonts w:ascii="Open Sans" w:hAnsi="Open Sans" w:cs="Open Sans"/>
        </w:rPr>
      </w:pPr>
      <w:r w:rsidRPr="004F4690">
        <w:rPr>
          <w:rFonts w:ascii="Open Sans" w:hAnsi="Open Sans" w:cs="Open Sans"/>
        </w:rPr>
        <w:t xml:space="preserve">Webinarium zgromadziło </w:t>
      </w:r>
      <w:r w:rsidR="004F4690" w:rsidRPr="004F4690">
        <w:rPr>
          <w:rFonts w:ascii="Open Sans" w:hAnsi="Open Sans" w:cs="Open Sans"/>
        </w:rPr>
        <w:t xml:space="preserve">ponad 150 osób, w tym </w:t>
      </w:r>
      <w:r w:rsidRPr="004F4690">
        <w:rPr>
          <w:rFonts w:ascii="Open Sans" w:hAnsi="Open Sans" w:cs="Open Sans"/>
        </w:rPr>
        <w:t>przedstawicieli Ministerstwa Infrastruktury, Ministerstwa Spraw Wewnętrznych i Administracji, PKP S.A., PKP PLK, POLREGIO S.A., Zarządu Transportu Miejskiego w Warszawie, Górnośląsko-Zagłębiowskiej Metropolii, Politechniki Śląskiej, Szkoły Głównej Gospodarstwa Wiejskiego oraz środowisk doradztwa strategicznego. Dyskusja objęła cztery sesje tematyczne oraz sesję podsumowującą.</w:t>
      </w:r>
    </w:p>
    <w:p w14:paraId="367494B0" w14:textId="77777777" w:rsidR="00125495" w:rsidRPr="004F4690" w:rsidRDefault="00125495">
      <w:pPr>
        <w:spacing w:after="80"/>
        <w:rPr>
          <w:rFonts w:ascii="Open Sans" w:hAnsi="Open Sans" w:cs="Open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00891064"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3178FFA7" w14:textId="77777777" w:rsidR="00125495" w:rsidRPr="004F4690" w:rsidRDefault="003A74F4">
            <w:pPr>
              <w:jc w:val="center"/>
              <w:rPr>
                <w:rFonts w:ascii="Open Sans" w:hAnsi="Open Sans" w:cs="Open Sans"/>
              </w:rPr>
            </w:pPr>
            <w:r w:rsidRPr="004F4690">
              <w:rPr>
                <w:rFonts w:ascii="Open Sans" w:hAnsi="Open Sans" w:cs="Open Sans"/>
                <w:b/>
                <w:bCs/>
                <w:color w:val="1F4E79"/>
                <w:sz w:val="20"/>
                <w:szCs w:val="20"/>
              </w:rPr>
              <w:t>DIAGNOZA</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09F469BC" w14:textId="77777777" w:rsidR="00125495" w:rsidRPr="004F4690" w:rsidRDefault="003A74F4">
            <w:pPr>
              <w:jc w:val="both"/>
              <w:rPr>
                <w:rFonts w:ascii="Open Sans" w:hAnsi="Open Sans" w:cs="Open Sans"/>
              </w:rPr>
            </w:pPr>
            <w:r w:rsidRPr="004F4690">
              <w:rPr>
                <w:rFonts w:ascii="Open Sans" w:hAnsi="Open Sans" w:cs="Open Sans"/>
                <w:i/>
                <w:iCs/>
              </w:rPr>
              <w:t xml:space="preserve">Polska dysponuje jedną z najszybciej rozwijających się sieci transportowych w Europie, lecz jednocześnie jedną z najsłabiej zbadanych pod kątem odporności systemowej. Istniejące dokumenty planistyczne traktują odporność wąsko – głównie w kontekście </w:t>
            </w:r>
            <w:r w:rsidR="00412187">
              <w:rPr>
                <w:rFonts w:ascii="Open Sans" w:hAnsi="Open Sans" w:cs="Open Sans"/>
                <w:i/>
                <w:iCs/>
              </w:rPr>
              <w:t>poszczególnych elementów infrastruktury punktowej (</w:t>
            </w:r>
            <w:r w:rsidRPr="004F4690">
              <w:rPr>
                <w:rFonts w:ascii="Open Sans" w:hAnsi="Open Sans" w:cs="Open Sans"/>
                <w:i/>
                <w:iCs/>
              </w:rPr>
              <w:t>mostów i tuneli</w:t>
            </w:r>
            <w:r w:rsidR="00412187">
              <w:rPr>
                <w:rFonts w:ascii="Open Sans" w:hAnsi="Open Sans" w:cs="Open Sans"/>
                <w:i/>
                <w:iCs/>
              </w:rPr>
              <w:t>), czy liniowej</w:t>
            </w:r>
            <w:r w:rsidRPr="004F4690">
              <w:rPr>
                <w:rFonts w:ascii="Open Sans" w:hAnsi="Open Sans" w:cs="Open Sans"/>
                <w:i/>
                <w:iCs/>
              </w:rPr>
              <w:t xml:space="preserve"> – pomijając sieciowy charakter zagrożeń.</w:t>
            </w:r>
          </w:p>
        </w:tc>
      </w:tr>
    </w:tbl>
    <w:p w14:paraId="25467D8F" w14:textId="77777777" w:rsidR="00125495" w:rsidRPr="004F4690" w:rsidRDefault="00125495">
      <w:pPr>
        <w:spacing w:after="80"/>
        <w:rPr>
          <w:rFonts w:ascii="Open Sans" w:hAnsi="Open Sans" w:cs="Open Sans"/>
        </w:rPr>
      </w:pPr>
    </w:p>
    <w:p w14:paraId="1C4B9764" w14:textId="77777777" w:rsidR="00125495" w:rsidRPr="004F4690" w:rsidRDefault="004F4690">
      <w:pPr>
        <w:spacing w:before="60" w:after="80"/>
        <w:jc w:val="both"/>
        <w:rPr>
          <w:rFonts w:ascii="Open Sans" w:hAnsi="Open Sans" w:cs="Open Sans"/>
        </w:rPr>
      </w:pPr>
      <w:r w:rsidRPr="004F4690">
        <w:rPr>
          <w:rFonts w:ascii="Open Sans" w:hAnsi="Open Sans" w:cs="Open Sans"/>
        </w:rPr>
        <w:t>Główne</w:t>
      </w:r>
      <w:r w:rsidR="003A74F4" w:rsidRPr="004F4690">
        <w:rPr>
          <w:rFonts w:ascii="Open Sans" w:hAnsi="Open Sans" w:cs="Open Sans"/>
        </w:rPr>
        <w:t xml:space="preserve"> wnioski raportu:</w:t>
      </w:r>
    </w:p>
    <w:p w14:paraId="1AFB9E66" w14:textId="77777777" w:rsidR="00125495" w:rsidRPr="004F4690" w:rsidRDefault="003A74F4">
      <w:pPr>
        <w:pStyle w:val="Akapitzlist"/>
        <w:numPr>
          <w:ilvl w:val="0"/>
          <w:numId w:val="2"/>
        </w:numPr>
        <w:spacing w:before="40" w:after="40"/>
        <w:rPr>
          <w:rFonts w:ascii="Open Sans" w:hAnsi="Open Sans" w:cs="Open Sans"/>
        </w:rPr>
      </w:pPr>
      <w:r w:rsidRPr="004F4690">
        <w:rPr>
          <w:rFonts w:ascii="Open Sans" w:hAnsi="Open Sans" w:cs="Open Sans"/>
        </w:rPr>
        <w:t>Infrastruktura transportowa stanowi element krytyczny systemu bezpieczeństwa państwa, jednak w praktyce planistycznej jest wciąż traktowana jako usługa, a nie jako zasób strategiczny.</w:t>
      </w:r>
    </w:p>
    <w:p w14:paraId="41F880B0" w14:textId="77777777" w:rsidR="00125495" w:rsidRPr="004F4690" w:rsidRDefault="003A74F4">
      <w:pPr>
        <w:pStyle w:val="Akapitzlist"/>
        <w:numPr>
          <w:ilvl w:val="0"/>
          <w:numId w:val="2"/>
        </w:numPr>
        <w:spacing w:before="40" w:after="40"/>
        <w:rPr>
          <w:rFonts w:ascii="Open Sans" w:hAnsi="Open Sans" w:cs="Open Sans"/>
        </w:rPr>
      </w:pPr>
      <w:r w:rsidRPr="004F4690">
        <w:rPr>
          <w:rFonts w:ascii="Open Sans" w:hAnsi="Open Sans" w:cs="Open Sans"/>
        </w:rPr>
        <w:t xml:space="preserve">Dual </w:t>
      </w:r>
      <w:proofErr w:type="spellStart"/>
      <w:r w:rsidRPr="004F4690">
        <w:rPr>
          <w:rFonts w:ascii="Open Sans" w:hAnsi="Open Sans" w:cs="Open Sans"/>
        </w:rPr>
        <w:t>use</w:t>
      </w:r>
      <w:proofErr w:type="spellEnd"/>
      <w:r w:rsidRPr="004F4690">
        <w:rPr>
          <w:rFonts w:ascii="Open Sans" w:hAnsi="Open Sans" w:cs="Open Sans"/>
        </w:rPr>
        <w:t xml:space="preserve"> nie oznacza militaryzacji infrastruktury cywilnej – lecz racjonalne projektowanie z uwzględnieniem marginesów operacyjnych umożliwiających wykorzystanie w sytuacjach kryzysowych.</w:t>
      </w:r>
    </w:p>
    <w:p w14:paraId="756DC906" w14:textId="77777777" w:rsidR="00125495" w:rsidRPr="004F4690" w:rsidRDefault="003A74F4">
      <w:pPr>
        <w:pStyle w:val="Akapitzlist"/>
        <w:numPr>
          <w:ilvl w:val="0"/>
          <w:numId w:val="2"/>
        </w:numPr>
        <w:spacing w:before="40" w:after="40"/>
        <w:rPr>
          <w:rFonts w:ascii="Open Sans" w:hAnsi="Open Sans" w:cs="Open Sans"/>
        </w:rPr>
      </w:pPr>
      <w:r w:rsidRPr="004F4690">
        <w:rPr>
          <w:rFonts w:ascii="Open Sans" w:hAnsi="Open Sans" w:cs="Open Sans"/>
        </w:rPr>
        <w:t xml:space="preserve">Polska stoi przed ostatnim oknem czasowym, by włączyć wymogi odporności do projektów współfinansowanych z funduszy europejskich. </w:t>
      </w:r>
      <w:r w:rsidR="004F4690" w:rsidRPr="004F4690">
        <w:rPr>
          <w:rFonts w:ascii="Open Sans" w:hAnsi="Open Sans" w:cs="Open Sans"/>
        </w:rPr>
        <w:t>Dostosowanie</w:t>
      </w:r>
      <w:r w:rsidRPr="004F4690">
        <w:rPr>
          <w:rFonts w:ascii="Open Sans" w:hAnsi="Open Sans" w:cs="Open Sans"/>
        </w:rPr>
        <w:t xml:space="preserve"> istniejących obiektów bę</w:t>
      </w:r>
      <w:r w:rsidR="004F4690" w:rsidRPr="004F4690">
        <w:rPr>
          <w:rFonts w:ascii="Open Sans" w:hAnsi="Open Sans" w:cs="Open Sans"/>
        </w:rPr>
        <w:t>dzie wielokrotnie kosztowniejsze</w:t>
      </w:r>
      <w:r w:rsidRPr="004F4690">
        <w:rPr>
          <w:rFonts w:ascii="Open Sans" w:hAnsi="Open Sans" w:cs="Open Sans"/>
        </w:rPr>
        <w:t>.</w:t>
      </w:r>
    </w:p>
    <w:p w14:paraId="0FC5CEB0" w14:textId="77777777" w:rsidR="00125495" w:rsidRPr="004F4690" w:rsidRDefault="003A74F4">
      <w:pPr>
        <w:pStyle w:val="Akapitzlist"/>
        <w:numPr>
          <w:ilvl w:val="0"/>
          <w:numId w:val="2"/>
        </w:numPr>
        <w:spacing w:before="40" w:after="40"/>
        <w:rPr>
          <w:rFonts w:ascii="Open Sans" w:hAnsi="Open Sans" w:cs="Open Sans"/>
        </w:rPr>
      </w:pPr>
      <w:r w:rsidRPr="004F4690">
        <w:rPr>
          <w:rFonts w:ascii="Open Sans" w:hAnsi="Open Sans" w:cs="Open Sans"/>
        </w:rPr>
        <w:t>Fragmentacja kompetencyjna (wojsko, samorządy, zarządcy infrastruktury, przewoźnicy) stanowi systemową barierę dla skutecznej odporności transportowej.</w:t>
      </w:r>
    </w:p>
    <w:p w14:paraId="3296F1CE" w14:textId="77777777" w:rsidR="00125495" w:rsidRPr="004F4690" w:rsidRDefault="003A74F4">
      <w:pPr>
        <w:pStyle w:val="Akapitzlist"/>
        <w:numPr>
          <w:ilvl w:val="0"/>
          <w:numId w:val="2"/>
        </w:numPr>
        <w:spacing w:before="40" w:after="40"/>
        <w:rPr>
          <w:rFonts w:ascii="Open Sans" w:hAnsi="Open Sans" w:cs="Open Sans"/>
        </w:rPr>
      </w:pPr>
      <w:r w:rsidRPr="004F4690">
        <w:rPr>
          <w:rFonts w:ascii="Open Sans" w:hAnsi="Open Sans" w:cs="Open Sans"/>
        </w:rPr>
        <w:t>Polskie aglomeracje nie posiadają w pełni przetestowanych protokołów ewakuacji; symulacje wskazują na istnienie punktów krytycznych przy blokowaniu zaledwie 20% węzłów sieci.</w:t>
      </w:r>
    </w:p>
    <w:p w14:paraId="63C74AB1" w14:textId="77777777" w:rsidR="00125495" w:rsidRPr="004F4690" w:rsidRDefault="00125495">
      <w:pPr>
        <w:spacing w:after="80"/>
        <w:rPr>
          <w:rFonts w:ascii="Open Sans" w:hAnsi="Open Sans" w:cs="Open Sans"/>
        </w:rPr>
      </w:pPr>
    </w:p>
    <w:p w14:paraId="6F8966DA" w14:textId="77777777" w:rsidR="00125495" w:rsidRPr="004F4690" w:rsidRDefault="003A74F4">
      <w:pPr>
        <w:rPr>
          <w:rFonts w:ascii="Open Sans" w:hAnsi="Open Sans" w:cs="Open Sans"/>
        </w:rPr>
      </w:pPr>
      <w:r w:rsidRPr="004F4690">
        <w:rPr>
          <w:rFonts w:ascii="Open Sans" w:hAnsi="Open Sans" w:cs="Open Sans"/>
        </w:rPr>
        <w:br w:type="page"/>
      </w:r>
    </w:p>
    <w:p w14:paraId="053BB162" w14:textId="77777777" w:rsidR="00125495" w:rsidRPr="004F4690" w:rsidRDefault="003A74F4" w:rsidP="004F4690">
      <w:pPr>
        <w:pStyle w:val="Nagwek1"/>
        <w:pBdr>
          <w:bottom w:val="single" w:sz="6" w:space="4" w:color="2E75B6"/>
        </w:pBdr>
        <w:rPr>
          <w:rFonts w:ascii="Open Sans" w:hAnsi="Open Sans" w:cs="Open Sans"/>
        </w:rPr>
      </w:pPr>
      <w:r w:rsidRPr="004F4690">
        <w:rPr>
          <w:rFonts w:ascii="Open Sans" w:hAnsi="Open Sans" w:cs="Open Sans"/>
        </w:rPr>
        <w:lastRenderedPageBreak/>
        <w:t>1. Kontekst i znaczenie problemu</w:t>
      </w:r>
    </w:p>
    <w:p w14:paraId="5E10BD90" w14:textId="77777777" w:rsidR="00125495" w:rsidRPr="004F4690" w:rsidRDefault="003A74F4" w:rsidP="004F4690">
      <w:pPr>
        <w:pStyle w:val="Nagwek2"/>
        <w:rPr>
          <w:rFonts w:ascii="Open Sans" w:hAnsi="Open Sans" w:cs="Open Sans"/>
        </w:rPr>
      </w:pPr>
      <w:r w:rsidRPr="004F4690">
        <w:rPr>
          <w:rFonts w:ascii="Open Sans" w:hAnsi="Open Sans" w:cs="Open Sans"/>
        </w:rPr>
        <w:t>1.1. Odporność systemu transportowego – definicja i zakres</w:t>
      </w:r>
    </w:p>
    <w:p w14:paraId="434529A9"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Odporność (ang. </w:t>
      </w:r>
      <w:proofErr w:type="spellStart"/>
      <w:r w:rsidRPr="004F4690">
        <w:rPr>
          <w:rFonts w:ascii="Open Sans" w:hAnsi="Open Sans" w:cs="Open Sans"/>
        </w:rPr>
        <w:t>resilience</w:t>
      </w:r>
      <w:proofErr w:type="spellEnd"/>
      <w:r w:rsidRPr="004F4690">
        <w:rPr>
          <w:rFonts w:ascii="Open Sans" w:hAnsi="Open Sans" w:cs="Open Sans"/>
        </w:rPr>
        <w:t>) systemu transportowego należy rozumieć jako zdolność do absorpcji zakłóceń, adaptacji do nowych warunków oraz sprawnego powrotu do funkcjonalności po zdarzeniu kryzysowym. Jest to kategoria sieciowa: podatność systemu wyznaczana jest przez jego najsłabszy węzeł. Zablokowanie jednego kluczowego wiaduktu nad obwodnicą może paraliżować łańcuchy logistyczne całego regionu.</w:t>
      </w:r>
    </w:p>
    <w:p w14:paraId="4F5C04E5" w14:textId="77777777" w:rsidR="00125495" w:rsidRPr="004F4690" w:rsidRDefault="003A74F4" w:rsidP="004F4690">
      <w:pPr>
        <w:spacing w:before="60" w:after="80"/>
        <w:rPr>
          <w:rFonts w:ascii="Open Sans" w:hAnsi="Open Sans" w:cs="Open Sans"/>
        </w:rPr>
      </w:pPr>
      <w:r w:rsidRPr="004F4690">
        <w:rPr>
          <w:rFonts w:ascii="Open Sans" w:hAnsi="Open Sans" w:cs="Open Sans"/>
        </w:rPr>
        <w:t>Współczesne zagrożenia dla infrastruktury transportowej mają charakter wielowymiarowy i obejmują: klęski żywiołowe i zdarzenia klimatyczne (powodzie, huragany, oblodzenie), ataki hybrydowe i cybernetyczne na systemy sterowania ruchem, zdarzenia terrorystyczne wymierzone w węzły o dużym natężeniu ruchu, długotrwałe awarie systemów energetycznych oraz scenariusze wojskowe wymagające masowych przemieszczeń.</w:t>
      </w:r>
    </w:p>
    <w:p w14:paraId="1834B07E" w14:textId="77777777" w:rsidR="00125495" w:rsidRPr="004F4690" w:rsidRDefault="003A74F4" w:rsidP="004F4690">
      <w:pPr>
        <w:pStyle w:val="Nagwek2"/>
        <w:rPr>
          <w:rFonts w:ascii="Open Sans" w:hAnsi="Open Sans" w:cs="Open Sans"/>
        </w:rPr>
      </w:pPr>
      <w:r w:rsidRPr="004F4690">
        <w:rPr>
          <w:rFonts w:ascii="Open Sans" w:hAnsi="Open Sans" w:cs="Open Sans"/>
        </w:rPr>
        <w:t>1.2. Infrastruktura podwójnego zastosowania – istota koncepcji</w:t>
      </w:r>
    </w:p>
    <w:p w14:paraId="38638972"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Dual </w:t>
      </w:r>
      <w:proofErr w:type="spellStart"/>
      <w:r w:rsidRPr="004F4690">
        <w:rPr>
          <w:rFonts w:ascii="Open Sans" w:hAnsi="Open Sans" w:cs="Open Sans"/>
        </w:rPr>
        <w:t>use</w:t>
      </w:r>
      <w:proofErr w:type="spellEnd"/>
      <w:r w:rsidRPr="004F4690">
        <w:rPr>
          <w:rFonts w:ascii="Open Sans" w:hAnsi="Open Sans" w:cs="Open Sans"/>
        </w:rPr>
        <w:t xml:space="preserve"> w transporcie oznacza projektowanie infrastruktury cywilnej z uwzględnieniem potrzeb obronnych i kryzysowych przy minimalnym wzroście kosztów. Przykłady praktyczne to projektowanie mostów na wyższe klasy obciążenia (np. 60 t zamiast 40 t – różnica kosztu ok. 5%, przy pełnej gotowości dla przejazdu pojazdów wojskowych), tworzenie alternatywnych osi drogowych umożliwiających ominięcie kluczowych węzłów, czy standaryzacja gabarytów tuneli i wiaduktów.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3CAA6135"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5D9CB2AE" w14:textId="77777777" w:rsidR="00125495" w:rsidRPr="004F4690" w:rsidRDefault="003A74F4" w:rsidP="004F4690">
            <w:pPr>
              <w:rPr>
                <w:rFonts w:ascii="Open Sans" w:hAnsi="Open Sans" w:cs="Open Sans"/>
              </w:rPr>
            </w:pPr>
            <w:r w:rsidRPr="004F4690">
              <w:rPr>
                <w:rFonts w:ascii="Open Sans" w:hAnsi="Open Sans" w:cs="Open Sans"/>
                <w:b/>
                <w:bCs/>
                <w:color w:val="1F4E79"/>
                <w:sz w:val="20"/>
                <w:szCs w:val="20"/>
              </w:rPr>
              <w:t>KLUCZOWY ARGUMENT</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5F7F9600" w14:textId="77777777" w:rsidR="00125495" w:rsidRPr="004F4690" w:rsidRDefault="003A74F4" w:rsidP="00412187">
            <w:pPr>
              <w:rPr>
                <w:rFonts w:ascii="Open Sans" w:hAnsi="Open Sans" w:cs="Open Sans"/>
              </w:rPr>
            </w:pPr>
            <w:r w:rsidRPr="004F4690">
              <w:rPr>
                <w:rFonts w:ascii="Open Sans" w:hAnsi="Open Sans" w:cs="Open Sans"/>
                <w:i/>
                <w:iCs/>
              </w:rPr>
              <w:t xml:space="preserve">Most projektowany na 60 ton zamiast 40 ton generuje zaledwie 5% </w:t>
            </w:r>
            <w:r w:rsidR="00412187">
              <w:rPr>
                <w:rFonts w:ascii="Open Sans" w:hAnsi="Open Sans" w:cs="Open Sans"/>
                <w:i/>
                <w:iCs/>
              </w:rPr>
              <w:t>dodatkowych kosztów</w:t>
            </w:r>
            <w:r w:rsidRPr="004F4690">
              <w:rPr>
                <w:rFonts w:ascii="Open Sans" w:hAnsi="Open Sans" w:cs="Open Sans"/>
                <w:i/>
                <w:iCs/>
              </w:rPr>
              <w:t>, a jednocześnie daje 100% możliwości operacyjnych w sytuacji kryzysowej. To zmiana logiki projektowania, nie zmiany przeznaczenia.</w:t>
            </w:r>
          </w:p>
        </w:tc>
      </w:tr>
    </w:tbl>
    <w:p w14:paraId="6F5FF49C" w14:textId="77777777" w:rsidR="00125495" w:rsidRPr="004F4690" w:rsidRDefault="00125495" w:rsidP="004F4690">
      <w:pPr>
        <w:spacing w:after="80"/>
        <w:rPr>
          <w:rFonts w:ascii="Open Sans" w:hAnsi="Open Sans" w:cs="Open Sans"/>
        </w:rPr>
      </w:pPr>
    </w:p>
    <w:p w14:paraId="4F37F404" w14:textId="77777777" w:rsidR="00125495" w:rsidRPr="004F4690" w:rsidRDefault="003A74F4" w:rsidP="004F4690">
      <w:pPr>
        <w:pStyle w:val="Nagwek2"/>
        <w:rPr>
          <w:rFonts w:ascii="Open Sans" w:hAnsi="Open Sans" w:cs="Open Sans"/>
        </w:rPr>
      </w:pPr>
      <w:r w:rsidRPr="004F4690">
        <w:rPr>
          <w:rFonts w:ascii="Open Sans" w:hAnsi="Open Sans" w:cs="Open Sans"/>
        </w:rPr>
        <w:t>1.3. Kontekst regulacyjny UE</w:t>
      </w:r>
    </w:p>
    <w:p w14:paraId="3099144C" w14:textId="77777777" w:rsidR="00125495" w:rsidRPr="004F4690" w:rsidRDefault="003A74F4" w:rsidP="00412187">
      <w:pPr>
        <w:spacing w:before="60" w:after="80"/>
        <w:rPr>
          <w:rFonts w:ascii="Open Sans" w:hAnsi="Open Sans" w:cs="Open Sans"/>
        </w:rPr>
      </w:pPr>
      <w:r w:rsidRPr="004F4690">
        <w:rPr>
          <w:rFonts w:ascii="Open Sans" w:hAnsi="Open Sans" w:cs="Open Sans"/>
        </w:rPr>
        <w:t xml:space="preserve">Rozporządzenie UE o mobilności wojskowej nakłada na państwa członkowskie wymóg dostosowania sieci TEN-T do standardów umożliwiających przemieszczanie sił zbrojnych NATO. Polska, </w:t>
      </w:r>
      <w:r w:rsidR="00412187">
        <w:rPr>
          <w:rFonts w:ascii="Open Sans" w:hAnsi="Open Sans" w:cs="Open Sans"/>
        </w:rPr>
        <w:t>stanowiąca wschodnią flankę NATO</w:t>
      </w:r>
      <w:r w:rsidRPr="004F4690">
        <w:rPr>
          <w:rFonts w:ascii="Open Sans" w:hAnsi="Open Sans" w:cs="Open Sans"/>
        </w:rPr>
        <w:t xml:space="preserve">, ponosi szczególną odpowiedzialność za zapewnienie drożności korytarzy tranzytowych. Obowiązujące regulacje europejskie oraz zapowiadane zaostrzenie wymogów dotyczących sieci TEN-T tworzą ramy prawne, które w perspektywie 3–5 lat staną się wiążące dla wszystkich </w:t>
      </w:r>
      <w:proofErr w:type="spellStart"/>
      <w:r w:rsidRPr="004F4690">
        <w:rPr>
          <w:rFonts w:ascii="Open Sans" w:hAnsi="Open Sans" w:cs="Open Sans"/>
        </w:rPr>
        <w:t>megaprojektów</w:t>
      </w:r>
      <w:proofErr w:type="spellEnd"/>
      <w:r w:rsidRPr="004F4690">
        <w:rPr>
          <w:rFonts w:ascii="Open Sans" w:hAnsi="Open Sans" w:cs="Open Sans"/>
        </w:rPr>
        <w:t xml:space="preserve"> infrastrukturalnych.</w:t>
      </w:r>
    </w:p>
    <w:p w14:paraId="7BAC6F16" w14:textId="77777777" w:rsidR="00125495" w:rsidRPr="004F4690" w:rsidRDefault="00125495" w:rsidP="004F4690">
      <w:pPr>
        <w:spacing w:after="80"/>
        <w:rPr>
          <w:rFonts w:ascii="Open Sans" w:hAnsi="Open Sans" w:cs="Open Sans"/>
        </w:rPr>
      </w:pPr>
    </w:p>
    <w:p w14:paraId="212EAA23" w14:textId="77777777" w:rsidR="00125495" w:rsidRPr="004F4690" w:rsidRDefault="003A74F4" w:rsidP="004F4690">
      <w:pPr>
        <w:rPr>
          <w:rFonts w:ascii="Open Sans" w:hAnsi="Open Sans" w:cs="Open Sans"/>
        </w:rPr>
      </w:pPr>
      <w:r w:rsidRPr="004F4690">
        <w:rPr>
          <w:rFonts w:ascii="Open Sans" w:hAnsi="Open Sans" w:cs="Open Sans"/>
        </w:rPr>
        <w:br w:type="page"/>
      </w:r>
    </w:p>
    <w:p w14:paraId="1641C008" w14:textId="77777777" w:rsidR="00125495" w:rsidRPr="004F4690" w:rsidRDefault="003A74F4" w:rsidP="004F4690">
      <w:pPr>
        <w:pStyle w:val="Nagwek1"/>
        <w:pBdr>
          <w:bottom w:val="single" w:sz="6" w:space="4" w:color="2E75B6"/>
        </w:pBdr>
        <w:rPr>
          <w:rFonts w:ascii="Open Sans" w:hAnsi="Open Sans" w:cs="Open Sans"/>
        </w:rPr>
      </w:pPr>
      <w:r w:rsidRPr="004F4690">
        <w:rPr>
          <w:rFonts w:ascii="Open Sans" w:hAnsi="Open Sans" w:cs="Open Sans"/>
        </w:rPr>
        <w:lastRenderedPageBreak/>
        <w:t>2. Analiza problemów systemowych</w:t>
      </w:r>
    </w:p>
    <w:p w14:paraId="7370B909" w14:textId="77777777" w:rsidR="00125495" w:rsidRPr="004F4690" w:rsidRDefault="003A74F4" w:rsidP="004F4690">
      <w:pPr>
        <w:pStyle w:val="Nagwek2"/>
        <w:rPr>
          <w:rFonts w:ascii="Open Sans" w:hAnsi="Open Sans" w:cs="Open Sans"/>
        </w:rPr>
      </w:pPr>
      <w:r w:rsidRPr="004F4690">
        <w:rPr>
          <w:rFonts w:ascii="Open Sans" w:hAnsi="Open Sans" w:cs="Open Sans"/>
        </w:rPr>
        <w:t>2.1. Fragmentacja decyzyjna i brak wspólnego języka</w:t>
      </w:r>
    </w:p>
    <w:p w14:paraId="46778F12"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Jednym z najpoważniejszych wyzwań zidentyfikowanych podczas webinarium jest strukturalna fragmentacja kompetencji w zakresie planowania odporności transportowej. W Polsce zarządzanie kryzysowe realizowane jest przez równoległe, </w:t>
      </w:r>
      <w:r w:rsidR="00E97CBE">
        <w:rPr>
          <w:rFonts w:ascii="Open Sans" w:hAnsi="Open Sans" w:cs="Open Sans"/>
        </w:rPr>
        <w:t xml:space="preserve">jak wskazują eksperci - </w:t>
      </w:r>
      <w:r w:rsidRPr="004F4690">
        <w:rPr>
          <w:rFonts w:ascii="Open Sans" w:hAnsi="Open Sans" w:cs="Open Sans"/>
        </w:rPr>
        <w:t>słabo skoordynowane łańcuchy decyzyjne: rządowy (ministerstwa), samorządowy (gminy, metropolie), wojskowy oraz zarządcy infrastruktury (PKP PLK, GDDKiA). W sytuacji kryzysu transportowego na dużą skalę nie jest jasne, kto faktycznie podejmuje decyzje operacyjne i w jakim czasie.</w:t>
      </w:r>
    </w:p>
    <w:p w14:paraId="73B888AB" w14:textId="77777777" w:rsidR="00125495" w:rsidRPr="004F4690" w:rsidRDefault="003A74F4" w:rsidP="004F4690">
      <w:pPr>
        <w:spacing w:before="60" w:after="80"/>
        <w:rPr>
          <w:rFonts w:ascii="Open Sans" w:hAnsi="Open Sans" w:cs="Open Sans"/>
        </w:rPr>
      </w:pPr>
      <w:r w:rsidRPr="004F4690">
        <w:rPr>
          <w:rFonts w:ascii="Open Sans" w:hAnsi="Open Sans" w:cs="Open Sans"/>
        </w:rPr>
        <w:t>Szczególnie problematyczny jest brak wspólnych protokołów między podmiotami kolejowymi: PKP S.A., PKP PLK, POLREGIO i innymi przewoźnikami operują w oparciu o odmienne standardy bezpieczeństwa, co utrudnia skoordynowaną reakcję w sytuacjach kryzysowych. Pytanie o to, kto ma prawo zamknąć węzeł kolejowy bez konsultacji i w ciągu sekund – pozostaje bez jednoznacznej odpowiedzi.</w:t>
      </w:r>
    </w:p>
    <w:p w14:paraId="095FEDE1" w14:textId="77777777" w:rsidR="00125495" w:rsidRPr="004F4690" w:rsidRDefault="003A74F4" w:rsidP="004F4690">
      <w:pPr>
        <w:pStyle w:val="Nagwek2"/>
        <w:rPr>
          <w:rFonts w:ascii="Open Sans" w:hAnsi="Open Sans" w:cs="Open Sans"/>
        </w:rPr>
      </w:pPr>
      <w:r w:rsidRPr="004F4690">
        <w:rPr>
          <w:rFonts w:ascii="Open Sans" w:hAnsi="Open Sans" w:cs="Open Sans"/>
        </w:rPr>
        <w:t>2.2. Luka w planowaniu ewakuacyjnym</w:t>
      </w:r>
    </w:p>
    <w:p w14:paraId="403577A0" w14:textId="77777777" w:rsidR="00125495" w:rsidRPr="004F4690" w:rsidRDefault="003A74F4" w:rsidP="00412187">
      <w:pPr>
        <w:spacing w:before="60" w:after="80"/>
        <w:rPr>
          <w:rFonts w:ascii="Open Sans" w:hAnsi="Open Sans" w:cs="Open Sans"/>
        </w:rPr>
      </w:pPr>
      <w:r w:rsidRPr="004F4690">
        <w:rPr>
          <w:rFonts w:ascii="Open Sans" w:hAnsi="Open Sans" w:cs="Open Sans"/>
        </w:rPr>
        <w:t xml:space="preserve">Ewakuacja ludności stanowi ostateczny test infrastruktury transportowej. Tymczasem dostępne dane wskazują, że żadna polska aglomeracja nie przeprowadziła kompleksowego ćwiczenia ewakuacyjnego testującego infrastrukturę transportową jako system. Symulacje komputerowe wykazały, że zablokowanie zaledwie 20% węzłów w modelu polskiej aglomeracji powoduje </w:t>
      </w:r>
      <w:r w:rsidR="00412187">
        <w:rPr>
          <w:rFonts w:ascii="Open Sans" w:hAnsi="Open Sans" w:cs="Open Sans"/>
        </w:rPr>
        <w:t>brak</w:t>
      </w:r>
      <w:r w:rsidR="00412187" w:rsidRPr="004F4690">
        <w:rPr>
          <w:rFonts w:ascii="Open Sans" w:hAnsi="Open Sans" w:cs="Open Sans"/>
        </w:rPr>
        <w:t xml:space="preserve"> </w:t>
      </w:r>
      <w:r w:rsidRPr="004F4690">
        <w:rPr>
          <w:rFonts w:ascii="Open Sans" w:hAnsi="Open Sans" w:cs="Open Sans"/>
        </w:rPr>
        <w:t xml:space="preserve">przepustowości </w:t>
      </w:r>
      <w:r w:rsidR="004306E0">
        <w:rPr>
          <w:rFonts w:ascii="Open Sans" w:hAnsi="Open Sans" w:cs="Open Sans"/>
        </w:rPr>
        <w:t xml:space="preserve">na </w:t>
      </w:r>
      <w:r w:rsidRPr="004F4690">
        <w:rPr>
          <w:rFonts w:ascii="Open Sans" w:hAnsi="Open Sans" w:cs="Open Sans"/>
        </w:rPr>
        <w:t>całej sieci, identyfikując konkretne punkty krytyczne, które nie są uwzględnione w aktualnych planach ciągłości działania.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49C4269C"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5E3B1961" w14:textId="77777777" w:rsidR="00125495" w:rsidRPr="004F4690" w:rsidRDefault="003A74F4" w:rsidP="004F4690">
            <w:pPr>
              <w:rPr>
                <w:rFonts w:ascii="Open Sans" w:hAnsi="Open Sans" w:cs="Open Sans"/>
              </w:rPr>
            </w:pPr>
            <w:r w:rsidRPr="004F4690">
              <w:rPr>
                <w:rFonts w:ascii="Open Sans" w:hAnsi="Open Sans" w:cs="Open Sans"/>
                <w:b/>
                <w:bCs/>
                <w:color w:val="1F4E79"/>
                <w:sz w:val="20"/>
                <w:szCs w:val="20"/>
              </w:rPr>
              <w:t>LUKA KRYTYCZNA</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1C49796E" w14:textId="77777777" w:rsidR="00125495" w:rsidRPr="004F4690" w:rsidRDefault="003A74F4" w:rsidP="0023270D">
            <w:pPr>
              <w:rPr>
                <w:rFonts w:ascii="Open Sans" w:hAnsi="Open Sans" w:cs="Open Sans"/>
              </w:rPr>
            </w:pPr>
            <w:r w:rsidRPr="004F4690">
              <w:rPr>
                <w:rFonts w:ascii="Open Sans" w:hAnsi="Open Sans" w:cs="Open Sans"/>
                <w:i/>
                <w:iCs/>
              </w:rPr>
              <w:t xml:space="preserve">Polska nie posiada przetestowanych protokołów ewakuacji żadnej dużej aglomeracji miejskiej. </w:t>
            </w:r>
          </w:p>
        </w:tc>
      </w:tr>
    </w:tbl>
    <w:p w14:paraId="050A0A9D" w14:textId="77777777" w:rsidR="00125495" w:rsidRPr="004F4690" w:rsidRDefault="00125495" w:rsidP="004F4690">
      <w:pPr>
        <w:spacing w:after="80"/>
        <w:rPr>
          <w:rFonts w:ascii="Open Sans" w:hAnsi="Open Sans" w:cs="Open Sans"/>
        </w:rPr>
      </w:pPr>
    </w:p>
    <w:p w14:paraId="6D45D7A3" w14:textId="77777777" w:rsidR="00125495" w:rsidRPr="004F4690" w:rsidRDefault="003A74F4" w:rsidP="004F4690">
      <w:pPr>
        <w:pStyle w:val="Nagwek2"/>
        <w:rPr>
          <w:rFonts w:ascii="Open Sans" w:hAnsi="Open Sans" w:cs="Open Sans"/>
        </w:rPr>
      </w:pPr>
      <w:r w:rsidRPr="004F4690">
        <w:rPr>
          <w:rFonts w:ascii="Open Sans" w:hAnsi="Open Sans" w:cs="Open Sans"/>
        </w:rPr>
        <w:t>2.3. Zagrożenia asymetryczne i infrastruktura kolejowa</w:t>
      </w:r>
    </w:p>
    <w:p w14:paraId="2B6E87AB" w14:textId="77777777" w:rsidR="00125495" w:rsidRPr="004F4690" w:rsidRDefault="003A74F4" w:rsidP="004F4690">
      <w:pPr>
        <w:spacing w:before="60" w:after="80"/>
        <w:rPr>
          <w:rFonts w:ascii="Open Sans" w:hAnsi="Open Sans" w:cs="Open Sans"/>
        </w:rPr>
      </w:pPr>
      <w:r w:rsidRPr="004F4690">
        <w:rPr>
          <w:rFonts w:ascii="Open Sans" w:hAnsi="Open Sans" w:cs="Open Sans"/>
        </w:rPr>
        <w:t>Infrastruktura kolejowa cechuje się szczególną podatnością na zagrożenia asymetryczne: atak przeprowadzony przez podmiot niepaństwowy przy minimalnych nakładach może generować nieproporcjonalnie duże skutki operacyjne. Dworzec kolejowy skupia tysiące osób bez wcześniejszego planowania, stanowiąc jednocześnie jeden z najtrudniejszych do zabezpieczenia obiektów publicznych. Nieruchomości kolejowe – magazyny, bocznice, tereny PKP – mogą stanowić istotny zasób logistyczny w sytuacjach kryzysowych, jednak brak planów ich kryzysowego wykorzystania poza funkcją transportową.</w:t>
      </w:r>
    </w:p>
    <w:p w14:paraId="4A5783E9" w14:textId="77777777" w:rsidR="00125495" w:rsidRPr="004F4690" w:rsidRDefault="003A74F4" w:rsidP="004F4690">
      <w:pPr>
        <w:pStyle w:val="Nagwek2"/>
        <w:rPr>
          <w:rFonts w:ascii="Open Sans" w:hAnsi="Open Sans" w:cs="Open Sans"/>
        </w:rPr>
      </w:pPr>
      <w:r w:rsidRPr="004F4690">
        <w:rPr>
          <w:rFonts w:ascii="Open Sans" w:hAnsi="Open Sans" w:cs="Open Sans"/>
        </w:rPr>
        <w:t>2.4. Odporność na poziomie samorządów</w:t>
      </w:r>
    </w:p>
    <w:p w14:paraId="1A6C64DA"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Badania odporności gmin wskazują na znaczące zróżnicowanie poziomu przygotowania między jednostkami samorządu terytorialnego. Większość planów zarządzania kryzysowego na poziomie gminy nie uwzględnia scenariuszy dotyczących infrastruktury transportowej jako systemu sieciowego. Pamięć instytucjonalna dotycząca przeszłych kryzysów transportowych – np. zniszczeń wojennych Warszawy – nie jest systematycznie </w:t>
      </w:r>
      <w:r w:rsidRPr="004F4690">
        <w:rPr>
          <w:rFonts w:ascii="Open Sans" w:hAnsi="Open Sans" w:cs="Open Sans"/>
        </w:rPr>
        <w:lastRenderedPageBreak/>
        <w:t>inkorporowana do współczesnych planów odporności.</w:t>
      </w:r>
      <w:r w:rsidR="0023270D">
        <w:rPr>
          <w:rFonts w:ascii="Open Sans" w:hAnsi="Open Sans" w:cs="Open Sans"/>
        </w:rPr>
        <w:t xml:space="preserve"> Ponadto na przestrzeni lat zmieniają się zagrożenia.</w:t>
      </w:r>
    </w:p>
    <w:p w14:paraId="4B65C58D" w14:textId="77777777" w:rsidR="00125495" w:rsidRPr="004F4690" w:rsidRDefault="003A74F4" w:rsidP="004306E0">
      <w:pPr>
        <w:spacing w:before="60" w:after="80"/>
        <w:rPr>
          <w:rFonts w:ascii="Open Sans" w:hAnsi="Open Sans" w:cs="Open Sans"/>
        </w:rPr>
      </w:pPr>
      <w:r w:rsidRPr="004F4690">
        <w:rPr>
          <w:rFonts w:ascii="Open Sans" w:hAnsi="Open Sans" w:cs="Open Sans"/>
        </w:rPr>
        <w:t xml:space="preserve">Górnośląsko-Zagłębiowska Metropolia stanowi ciekawy przypadek policentrycznego systemu transportowego: brak jednego centrum </w:t>
      </w:r>
      <w:r w:rsidR="004306E0">
        <w:rPr>
          <w:rFonts w:ascii="Open Sans" w:hAnsi="Open Sans" w:cs="Open Sans"/>
        </w:rPr>
        <w:t>podejmowana decyzji</w:t>
      </w:r>
      <w:r w:rsidR="004306E0" w:rsidRPr="004F4690">
        <w:rPr>
          <w:rFonts w:ascii="Open Sans" w:hAnsi="Open Sans" w:cs="Open Sans"/>
        </w:rPr>
        <w:t xml:space="preserve"> </w:t>
      </w:r>
      <w:r w:rsidRPr="004F4690">
        <w:rPr>
          <w:rFonts w:ascii="Open Sans" w:hAnsi="Open Sans" w:cs="Open Sans"/>
        </w:rPr>
        <w:t>zwiększa odporność na pojedyncze punkty awarii, ale jednocześnie utrudnia koordynację i tworzenie wspólnych procedur. Historyczna infrastruktura przemysłowa konurbacji śląskiej – bocznice i koleje zakładowe – może stanowić rezerwową sieć transportową, jednak jej fizyczna dostępność i stan techniczny wymagają weryfikacji.</w:t>
      </w:r>
    </w:p>
    <w:p w14:paraId="1A58A192" w14:textId="77777777" w:rsidR="00125495" w:rsidRPr="004F4690" w:rsidRDefault="003A74F4" w:rsidP="004F4690">
      <w:pPr>
        <w:pStyle w:val="Nagwek2"/>
        <w:rPr>
          <w:rFonts w:ascii="Open Sans" w:hAnsi="Open Sans" w:cs="Open Sans"/>
        </w:rPr>
      </w:pPr>
      <w:r w:rsidRPr="004F4690">
        <w:rPr>
          <w:rFonts w:ascii="Open Sans" w:hAnsi="Open Sans" w:cs="Open Sans"/>
        </w:rPr>
        <w:t>2.5. Zasoby ludzkie i gotowość psychologiczna</w:t>
      </w:r>
    </w:p>
    <w:p w14:paraId="553B0E5E" w14:textId="77777777" w:rsidR="00125495" w:rsidRPr="004F4690" w:rsidRDefault="003A74F4" w:rsidP="004F4690">
      <w:pPr>
        <w:spacing w:before="60" w:after="80"/>
        <w:rPr>
          <w:rFonts w:ascii="Open Sans" w:hAnsi="Open Sans" w:cs="Open Sans"/>
        </w:rPr>
      </w:pPr>
      <w:r w:rsidRPr="004F4690">
        <w:rPr>
          <w:rFonts w:ascii="Open Sans" w:hAnsi="Open Sans" w:cs="Open Sans"/>
        </w:rPr>
        <w:t>Systemy mogą być zaprojektowane idealnie – jednak w sytuacji kryzysu to ludzie je obsługują. Gotowość psychologiczna i operacyjna personelu transportowego (kierowcy, motorniczy, dyspozytorzy) w warunkach ograniczonej łączności i wysokiego stresu stanowi element często pomijany w planowaniu odporności. Teoria zarządzania kryzysowego wskazuje na konieczność regularnych ćwiczeń i szkoleń symulacyjnych jako podstawy budowania odporności operacyjnej personelu.</w:t>
      </w:r>
    </w:p>
    <w:p w14:paraId="55A30C0E" w14:textId="77777777" w:rsidR="00125495" w:rsidRPr="004F4690" w:rsidRDefault="00125495" w:rsidP="004F4690">
      <w:pPr>
        <w:spacing w:after="80"/>
        <w:rPr>
          <w:rFonts w:ascii="Open Sans" w:hAnsi="Open Sans" w:cs="Open Sans"/>
        </w:rPr>
      </w:pPr>
    </w:p>
    <w:p w14:paraId="6B12621B" w14:textId="77777777" w:rsidR="00125495" w:rsidRPr="004F4690" w:rsidRDefault="003A74F4" w:rsidP="004F4690">
      <w:pPr>
        <w:rPr>
          <w:rFonts w:ascii="Open Sans" w:hAnsi="Open Sans" w:cs="Open Sans"/>
        </w:rPr>
      </w:pPr>
      <w:r w:rsidRPr="004F4690">
        <w:rPr>
          <w:rFonts w:ascii="Open Sans" w:hAnsi="Open Sans" w:cs="Open Sans"/>
        </w:rPr>
        <w:br w:type="page"/>
      </w:r>
    </w:p>
    <w:p w14:paraId="3B4A8AAA" w14:textId="77777777" w:rsidR="00125495" w:rsidRPr="004F4690" w:rsidRDefault="003A74F4" w:rsidP="004F4690">
      <w:pPr>
        <w:pStyle w:val="Nagwek1"/>
        <w:pBdr>
          <w:bottom w:val="single" w:sz="6" w:space="4" w:color="2E75B6"/>
        </w:pBdr>
        <w:rPr>
          <w:rFonts w:ascii="Open Sans" w:hAnsi="Open Sans" w:cs="Open Sans"/>
        </w:rPr>
      </w:pPr>
      <w:r w:rsidRPr="004F4690">
        <w:rPr>
          <w:rFonts w:ascii="Open Sans" w:hAnsi="Open Sans" w:cs="Open Sans"/>
        </w:rPr>
        <w:lastRenderedPageBreak/>
        <w:t xml:space="preserve">3. </w:t>
      </w:r>
      <w:proofErr w:type="spellStart"/>
      <w:r w:rsidRPr="004F4690">
        <w:rPr>
          <w:rFonts w:ascii="Open Sans" w:hAnsi="Open Sans" w:cs="Open Sans"/>
        </w:rPr>
        <w:t>Megaprojekty</w:t>
      </w:r>
      <w:proofErr w:type="spellEnd"/>
      <w:r w:rsidRPr="004F4690">
        <w:rPr>
          <w:rFonts w:ascii="Open Sans" w:hAnsi="Open Sans" w:cs="Open Sans"/>
        </w:rPr>
        <w:t xml:space="preserve"> transportowe a dual </w:t>
      </w:r>
      <w:proofErr w:type="spellStart"/>
      <w:r w:rsidRPr="004F4690">
        <w:rPr>
          <w:rFonts w:ascii="Open Sans" w:hAnsi="Open Sans" w:cs="Open Sans"/>
        </w:rPr>
        <w:t>use</w:t>
      </w:r>
      <w:proofErr w:type="spellEnd"/>
    </w:p>
    <w:p w14:paraId="35B6621E" w14:textId="77777777" w:rsidR="00125495" w:rsidRPr="004F4690" w:rsidRDefault="003A74F4" w:rsidP="004306E0">
      <w:pPr>
        <w:spacing w:before="60" w:after="80"/>
        <w:rPr>
          <w:rFonts w:ascii="Open Sans" w:hAnsi="Open Sans" w:cs="Open Sans"/>
        </w:rPr>
      </w:pPr>
      <w:r w:rsidRPr="004F4690">
        <w:rPr>
          <w:rFonts w:ascii="Open Sans" w:hAnsi="Open Sans" w:cs="Open Sans"/>
        </w:rPr>
        <w:t xml:space="preserve">Trzy kluczowe polskie </w:t>
      </w:r>
      <w:proofErr w:type="spellStart"/>
      <w:r w:rsidRPr="004F4690">
        <w:rPr>
          <w:rFonts w:ascii="Open Sans" w:hAnsi="Open Sans" w:cs="Open Sans"/>
        </w:rPr>
        <w:t>megaprojekty</w:t>
      </w:r>
      <w:proofErr w:type="spellEnd"/>
      <w:r w:rsidRPr="004F4690">
        <w:rPr>
          <w:rFonts w:ascii="Open Sans" w:hAnsi="Open Sans" w:cs="Open Sans"/>
        </w:rPr>
        <w:t xml:space="preserve"> transportowe – </w:t>
      </w:r>
      <w:r w:rsidR="004306E0">
        <w:rPr>
          <w:rFonts w:ascii="Open Sans" w:hAnsi="Open Sans" w:cs="Open Sans"/>
        </w:rPr>
        <w:t>Port Polska</w:t>
      </w:r>
      <w:r w:rsidR="004306E0" w:rsidRPr="004F4690">
        <w:rPr>
          <w:rFonts w:ascii="Open Sans" w:hAnsi="Open Sans" w:cs="Open Sans"/>
        </w:rPr>
        <w:t xml:space="preserve"> </w:t>
      </w:r>
      <w:r w:rsidRPr="004F4690">
        <w:rPr>
          <w:rFonts w:ascii="Open Sans" w:hAnsi="Open Sans" w:cs="Open Sans"/>
        </w:rPr>
        <w:t xml:space="preserve">(Centralny Port Komunikacyjny), </w:t>
      </w:r>
      <w:proofErr w:type="spellStart"/>
      <w:r w:rsidRPr="004F4690">
        <w:rPr>
          <w:rFonts w:ascii="Open Sans" w:hAnsi="Open Sans" w:cs="Open Sans"/>
        </w:rPr>
        <w:t>Rail</w:t>
      </w:r>
      <w:proofErr w:type="spellEnd"/>
      <w:r w:rsidRPr="004F4690">
        <w:rPr>
          <w:rFonts w:ascii="Open Sans" w:hAnsi="Open Sans" w:cs="Open Sans"/>
        </w:rPr>
        <w:t xml:space="preserve"> </w:t>
      </w:r>
      <w:proofErr w:type="spellStart"/>
      <w:r w:rsidRPr="004F4690">
        <w:rPr>
          <w:rFonts w:ascii="Open Sans" w:hAnsi="Open Sans" w:cs="Open Sans"/>
        </w:rPr>
        <w:t>Baltica</w:t>
      </w:r>
      <w:proofErr w:type="spellEnd"/>
      <w:r w:rsidRPr="004F4690">
        <w:rPr>
          <w:rFonts w:ascii="Open Sans" w:hAnsi="Open Sans" w:cs="Open Sans"/>
        </w:rPr>
        <w:t xml:space="preserve"> oraz Via </w:t>
      </w:r>
      <w:proofErr w:type="spellStart"/>
      <w:r w:rsidRPr="004F4690">
        <w:rPr>
          <w:rFonts w:ascii="Open Sans" w:hAnsi="Open Sans" w:cs="Open Sans"/>
        </w:rPr>
        <w:t>Carpatia</w:t>
      </w:r>
      <w:proofErr w:type="spellEnd"/>
      <w:r w:rsidRPr="004F4690">
        <w:rPr>
          <w:rFonts w:ascii="Open Sans" w:hAnsi="Open Sans" w:cs="Open Sans"/>
        </w:rPr>
        <w:t xml:space="preserve"> – są na różnym etapie integracji wymagań dual </w:t>
      </w:r>
      <w:proofErr w:type="spellStart"/>
      <w:r w:rsidRPr="004F4690">
        <w:rPr>
          <w:rFonts w:ascii="Open Sans" w:hAnsi="Open Sans" w:cs="Open Sans"/>
        </w:rPr>
        <w:t>use</w:t>
      </w:r>
      <w:proofErr w:type="spellEnd"/>
      <w:r w:rsidRPr="004F4690">
        <w:rPr>
          <w:rFonts w:ascii="Open Sans" w:hAnsi="Open Sans" w:cs="Open Sans"/>
        </w:rPr>
        <w:t>:</w:t>
      </w:r>
    </w:p>
    <w:p w14:paraId="30DEE1E1" w14:textId="77777777" w:rsidR="00125495" w:rsidRPr="004F4690" w:rsidRDefault="004306E0" w:rsidP="004F4690">
      <w:pPr>
        <w:spacing w:before="200" w:after="60"/>
        <w:rPr>
          <w:rFonts w:ascii="Open Sans" w:hAnsi="Open Sans" w:cs="Open Sans"/>
        </w:rPr>
      </w:pPr>
      <w:r>
        <w:rPr>
          <w:rFonts w:ascii="Open Sans" w:hAnsi="Open Sans" w:cs="Open Sans"/>
          <w:b/>
          <w:bCs/>
          <w:color w:val="444444"/>
        </w:rPr>
        <w:t>Port Polska</w:t>
      </w:r>
      <w:r w:rsidRPr="004F4690">
        <w:rPr>
          <w:rFonts w:ascii="Open Sans" w:hAnsi="Open Sans" w:cs="Open Sans"/>
          <w:b/>
          <w:bCs/>
          <w:color w:val="444444"/>
        </w:rPr>
        <w:t xml:space="preserve"> </w:t>
      </w:r>
      <w:r w:rsidR="003A74F4" w:rsidRPr="004F4690">
        <w:rPr>
          <w:rFonts w:ascii="Open Sans" w:hAnsi="Open Sans" w:cs="Open Sans"/>
          <w:b/>
          <w:bCs/>
          <w:color w:val="444444"/>
        </w:rPr>
        <w:t>(Centralny Port Komunikacyjny)</w:t>
      </w:r>
    </w:p>
    <w:p w14:paraId="718C4B6D" w14:textId="77777777" w:rsidR="00125495" w:rsidRPr="004F4690" w:rsidRDefault="003A74F4" w:rsidP="004306E0">
      <w:pPr>
        <w:spacing w:before="60" w:after="80"/>
        <w:rPr>
          <w:rFonts w:ascii="Open Sans" w:hAnsi="Open Sans" w:cs="Open Sans"/>
        </w:rPr>
      </w:pPr>
      <w:r w:rsidRPr="004F4690">
        <w:rPr>
          <w:rFonts w:ascii="Open Sans" w:hAnsi="Open Sans" w:cs="Open Sans"/>
        </w:rPr>
        <w:t xml:space="preserve">Projekt generuje potencjał dual </w:t>
      </w:r>
      <w:proofErr w:type="spellStart"/>
      <w:r w:rsidRPr="004F4690">
        <w:rPr>
          <w:rFonts w:ascii="Open Sans" w:hAnsi="Open Sans" w:cs="Open Sans"/>
        </w:rPr>
        <w:t>use</w:t>
      </w:r>
      <w:proofErr w:type="spellEnd"/>
      <w:r w:rsidRPr="004F4690">
        <w:rPr>
          <w:rFonts w:ascii="Open Sans" w:hAnsi="Open Sans" w:cs="Open Sans"/>
        </w:rPr>
        <w:t xml:space="preserve"> zarówno w zakresie infrastruktury lotniskowej (możliwość obsługi wojskowych operacji logistycznych), jak i sieci </w:t>
      </w:r>
      <w:r w:rsidR="004306E0">
        <w:rPr>
          <w:rFonts w:ascii="Open Sans" w:hAnsi="Open Sans" w:cs="Open Sans"/>
        </w:rPr>
        <w:t xml:space="preserve">dróg i </w:t>
      </w:r>
      <w:r w:rsidRPr="004F4690">
        <w:rPr>
          <w:rFonts w:ascii="Open Sans" w:hAnsi="Open Sans" w:cs="Open Sans"/>
        </w:rPr>
        <w:t>kolei. Wymaga jednak wyraźnego uregulowania wymagań dot. klas obciążeń, gabarytów i protokołów przejmowania kontroli w sytuacjach kryzysowych na etapie projektowym.</w:t>
      </w:r>
    </w:p>
    <w:p w14:paraId="2E369ADF" w14:textId="77777777" w:rsidR="00125495" w:rsidRPr="004F4690" w:rsidRDefault="003A74F4" w:rsidP="004F4690">
      <w:pPr>
        <w:spacing w:before="200" w:after="60"/>
        <w:rPr>
          <w:rFonts w:ascii="Open Sans" w:hAnsi="Open Sans" w:cs="Open Sans"/>
        </w:rPr>
      </w:pPr>
      <w:proofErr w:type="spellStart"/>
      <w:r w:rsidRPr="004F4690">
        <w:rPr>
          <w:rFonts w:ascii="Open Sans" w:hAnsi="Open Sans" w:cs="Open Sans"/>
          <w:b/>
          <w:bCs/>
          <w:color w:val="444444"/>
        </w:rPr>
        <w:t>Rail</w:t>
      </w:r>
      <w:proofErr w:type="spellEnd"/>
      <w:r w:rsidRPr="004F4690">
        <w:rPr>
          <w:rFonts w:ascii="Open Sans" w:hAnsi="Open Sans" w:cs="Open Sans"/>
          <w:b/>
          <w:bCs/>
          <w:color w:val="444444"/>
        </w:rPr>
        <w:t xml:space="preserve"> </w:t>
      </w:r>
      <w:proofErr w:type="spellStart"/>
      <w:r w:rsidRPr="004F4690">
        <w:rPr>
          <w:rFonts w:ascii="Open Sans" w:hAnsi="Open Sans" w:cs="Open Sans"/>
          <w:b/>
          <w:bCs/>
          <w:color w:val="444444"/>
        </w:rPr>
        <w:t>Baltica</w:t>
      </w:r>
      <w:proofErr w:type="spellEnd"/>
    </w:p>
    <w:p w14:paraId="7FE023AA" w14:textId="77777777" w:rsidR="00125495" w:rsidRPr="004F4690" w:rsidRDefault="003A74F4" w:rsidP="004F4690">
      <w:pPr>
        <w:spacing w:before="60" w:after="80"/>
        <w:rPr>
          <w:rFonts w:ascii="Open Sans" w:hAnsi="Open Sans" w:cs="Open Sans"/>
        </w:rPr>
      </w:pPr>
      <w:r w:rsidRPr="004F4690">
        <w:rPr>
          <w:rFonts w:ascii="Open Sans" w:hAnsi="Open Sans" w:cs="Open Sans"/>
        </w:rPr>
        <w:t>Projekt z założenia jest planowany z uwzględnieniem mobilności wojskowej NATO. Standaryzacja szerokości toru (1435 mm), gabarytów i zdolności do szybkiego przeładunku towarów wojskowych wbudowana jest w specyfikacje techniczne. Pozostaje pytanie o interoperacyjność z siecią polskich połączeń regionalnych.</w:t>
      </w:r>
    </w:p>
    <w:p w14:paraId="54C53BF9" w14:textId="77777777" w:rsidR="00125495" w:rsidRPr="004F4690" w:rsidRDefault="003A74F4" w:rsidP="004F4690">
      <w:pPr>
        <w:spacing w:before="200" w:after="60"/>
        <w:rPr>
          <w:rFonts w:ascii="Open Sans" w:hAnsi="Open Sans" w:cs="Open Sans"/>
        </w:rPr>
      </w:pPr>
      <w:r w:rsidRPr="004F4690">
        <w:rPr>
          <w:rFonts w:ascii="Open Sans" w:hAnsi="Open Sans" w:cs="Open Sans"/>
          <w:b/>
          <w:bCs/>
          <w:color w:val="444444"/>
        </w:rPr>
        <w:t xml:space="preserve">Via </w:t>
      </w:r>
      <w:proofErr w:type="spellStart"/>
      <w:r w:rsidRPr="004F4690">
        <w:rPr>
          <w:rFonts w:ascii="Open Sans" w:hAnsi="Open Sans" w:cs="Open Sans"/>
          <w:b/>
          <w:bCs/>
          <w:color w:val="444444"/>
        </w:rPr>
        <w:t>Carpatia</w:t>
      </w:r>
      <w:proofErr w:type="spellEnd"/>
    </w:p>
    <w:p w14:paraId="2D9AAC2E"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Trasa o strategicznym znaczeniu dla połączeń Polska–Ukraina i korytarzy tranzytowych NATO. Ocena poziomu implementacji wymagań dual </w:t>
      </w:r>
      <w:proofErr w:type="spellStart"/>
      <w:r w:rsidRPr="004F4690">
        <w:rPr>
          <w:rFonts w:ascii="Open Sans" w:hAnsi="Open Sans" w:cs="Open Sans"/>
        </w:rPr>
        <w:t>use</w:t>
      </w:r>
      <w:proofErr w:type="spellEnd"/>
      <w:r w:rsidRPr="004F4690">
        <w:rPr>
          <w:rFonts w:ascii="Open Sans" w:hAnsi="Open Sans" w:cs="Open Sans"/>
        </w:rPr>
        <w:t xml:space="preserve"> (nośność mostów, parametry węzłów, miejsca postoju dla pojazdów ciężkich) wymaga systematycznego audytu.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2AB88D2F"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21CC29B1" w14:textId="77777777" w:rsidR="00125495" w:rsidRPr="004F4690" w:rsidRDefault="003A74F4" w:rsidP="004F4690">
            <w:pPr>
              <w:rPr>
                <w:rFonts w:ascii="Open Sans" w:hAnsi="Open Sans" w:cs="Open Sans"/>
              </w:rPr>
            </w:pPr>
            <w:r w:rsidRPr="004F4690">
              <w:rPr>
                <w:rFonts w:ascii="Open Sans" w:hAnsi="Open Sans" w:cs="Open Sans"/>
                <w:b/>
                <w:bCs/>
                <w:color w:val="1F4E79"/>
                <w:sz w:val="20"/>
                <w:szCs w:val="20"/>
              </w:rPr>
              <w:t>OKNO CZASOWE</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306841FE" w14:textId="77777777" w:rsidR="00125495" w:rsidRPr="004F4690" w:rsidRDefault="003A74F4" w:rsidP="004F4690">
            <w:pPr>
              <w:rPr>
                <w:rFonts w:ascii="Open Sans" w:hAnsi="Open Sans" w:cs="Open Sans"/>
              </w:rPr>
            </w:pPr>
            <w:r w:rsidRPr="004F4690">
              <w:rPr>
                <w:rFonts w:ascii="Open Sans" w:hAnsi="Open Sans" w:cs="Open Sans"/>
                <w:i/>
                <w:iCs/>
              </w:rPr>
              <w:t xml:space="preserve">Polska dysponuje jeszcze kilkuletnim oknem możliwości wbudowania wymogów odporności w trwające projekty finansowane z funduszy UE. </w:t>
            </w:r>
            <w:proofErr w:type="spellStart"/>
            <w:r w:rsidRPr="004F4690">
              <w:rPr>
                <w:rFonts w:ascii="Open Sans" w:hAnsi="Open Sans" w:cs="Open Sans"/>
                <w:i/>
                <w:iCs/>
              </w:rPr>
              <w:t>Retrofit</w:t>
            </w:r>
            <w:proofErr w:type="spellEnd"/>
            <w:r w:rsidRPr="004F4690">
              <w:rPr>
                <w:rFonts w:ascii="Open Sans" w:hAnsi="Open Sans" w:cs="Open Sans"/>
                <w:i/>
                <w:iCs/>
              </w:rPr>
              <w:t xml:space="preserve"> istniejących obiektów jest wielokrotnie kosztowniejszy </w:t>
            </w:r>
            <w:r w:rsidR="004306E0">
              <w:rPr>
                <w:rFonts w:ascii="Open Sans" w:hAnsi="Open Sans" w:cs="Open Sans"/>
                <w:i/>
                <w:iCs/>
              </w:rPr>
              <w:t xml:space="preserve">i powoduje czasowe ograniczenia w przepustowości </w:t>
            </w:r>
            <w:r w:rsidRPr="004F4690">
              <w:rPr>
                <w:rFonts w:ascii="Open Sans" w:hAnsi="Open Sans" w:cs="Open Sans"/>
                <w:i/>
                <w:iCs/>
              </w:rPr>
              <w:t>niż wbudowanie wymagań na etapie projektowania.</w:t>
            </w:r>
          </w:p>
        </w:tc>
      </w:tr>
    </w:tbl>
    <w:p w14:paraId="050D0ABC" w14:textId="77777777" w:rsidR="00125495" w:rsidRPr="004F4690" w:rsidRDefault="00125495" w:rsidP="004F4690">
      <w:pPr>
        <w:spacing w:after="80"/>
        <w:rPr>
          <w:rFonts w:ascii="Open Sans" w:hAnsi="Open Sans" w:cs="Open Sans"/>
        </w:rPr>
      </w:pPr>
    </w:p>
    <w:p w14:paraId="60618CC9" w14:textId="77777777" w:rsidR="00125495" w:rsidRPr="004F4690" w:rsidRDefault="003A74F4" w:rsidP="004F4690">
      <w:pPr>
        <w:pStyle w:val="Nagwek2"/>
        <w:rPr>
          <w:rFonts w:ascii="Open Sans" w:hAnsi="Open Sans" w:cs="Open Sans"/>
        </w:rPr>
      </w:pPr>
      <w:r w:rsidRPr="004F4690">
        <w:rPr>
          <w:rFonts w:ascii="Open Sans" w:hAnsi="Open Sans" w:cs="Open Sans"/>
        </w:rPr>
        <w:t>3.1. Infrastruktura miękka – rowerowa i piesza</w:t>
      </w:r>
    </w:p>
    <w:p w14:paraId="1962E798" w14:textId="77777777" w:rsidR="00125495" w:rsidRPr="004F4690" w:rsidRDefault="003A74F4" w:rsidP="004F4690">
      <w:pPr>
        <w:spacing w:before="60" w:after="80"/>
        <w:rPr>
          <w:rFonts w:ascii="Open Sans" w:hAnsi="Open Sans" w:cs="Open Sans"/>
        </w:rPr>
      </w:pPr>
      <w:r w:rsidRPr="004F4690">
        <w:rPr>
          <w:rFonts w:ascii="Open Sans" w:hAnsi="Open Sans" w:cs="Open Sans"/>
        </w:rPr>
        <w:t>Dyskusja podczas webinarium wskazała na często pomijany aspekt: infrastruktura rowerowa i piesza może być jedyną funkcjonującą warstwą transportu miejskiego w przypadku poważnego kryzysu energetycznego lub komunikacyjnego. Jej uwzględnienie w planach odporności transportowej jako rezerwy systemowej jest krokiem wymagającym jedynie zmiany podejścia planistycznego, a nie znaczących nakładów finansowych.</w:t>
      </w:r>
    </w:p>
    <w:p w14:paraId="025B6D44" w14:textId="77777777" w:rsidR="00125495" w:rsidRPr="004F4690" w:rsidRDefault="00125495" w:rsidP="004F4690">
      <w:pPr>
        <w:spacing w:after="80"/>
        <w:rPr>
          <w:rFonts w:ascii="Open Sans" w:hAnsi="Open Sans" w:cs="Open Sans"/>
        </w:rPr>
      </w:pPr>
    </w:p>
    <w:p w14:paraId="087B8247" w14:textId="77777777" w:rsidR="00125495" w:rsidRPr="004F4690" w:rsidRDefault="003A74F4" w:rsidP="004F4690">
      <w:pPr>
        <w:rPr>
          <w:rFonts w:ascii="Open Sans" w:hAnsi="Open Sans" w:cs="Open Sans"/>
        </w:rPr>
      </w:pPr>
      <w:r w:rsidRPr="004F4690">
        <w:rPr>
          <w:rFonts w:ascii="Open Sans" w:hAnsi="Open Sans" w:cs="Open Sans"/>
        </w:rPr>
        <w:br w:type="page"/>
      </w:r>
    </w:p>
    <w:p w14:paraId="05419698" w14:textId="77777777" w:rsidR="00125495" w:rsidRPr="004F4690" w:rsidRDefault="003A74F4" w:rsidP="004F4690">
      <w:pPr>
        <w:pStyle w:val="Nagwek1"/>
        <w:pBdr>
          <w:bottom w:val="single" w:sz="6" w:space="4" w:color="2E75B6"/>
        </w:pBdr>
        <w:rPr>
          <w:rFonts w:ascii="Open Sans" w:hAnsi="Open Sans" w:cs="Open Sans"/>
        </w:rPr>
      </w:pPr>
      <w:r w:rsidRPr="004F4690">
        <w:rPr>
          <w:rFonts w:ascii="Open Sans" w:hAnsi="Open Sans" w:cs="Open Sans"/>
        </w:rPr>
        <w:lastRenderedPageBreak/>
        <w:t>4. Rekomendacje dla decydentów</w:t>
      </w:r>
    </w:p>
    <w:p w14:paraId="403B038D" w14:textId="77777777" w:rsidR="00125495" w:rsidRPr="004F4690" w:rsidRDefault="003A74F4" w:rsidP="004F4690">
      <w:pPr>
        <w:spacing w:before="60" w:after="80"/>
        <w:rPr>
          <w:rFonts w:ascii="Open Sans" w:hAnsi="Open Sans" w:cs="Open Sans"/>
        </w:rPr>
      </w:pPr>
      <w:r w:rsidRPr="004F4690">
        <w:rPr>
          <w:rFonts w:ascii="Open Sans" w:hAnsi="Open Sans" w:cs="Open Sans"/>
        </w:rPr>
        <w:t>Na podstawie analizy treści webinarium i dyskusji ekspertów formułujemy następujące rekomendacje, pogrupowane według adresata i horyzontu czasowego:</w:t>
      </w:r>
    </w:p>
    <w:p w14:paraId="3304079A" w14:textId="77777777" w:rsidR="00125495" w:rsidRPr="004F4690" w:rsidRDefault="00125495" w:rsidP="004F4690">
      <w:pPr>
        <w:spacing w:after="80"/>
        <w:rPr>
          <w:rFonts w:ascii="Open Sans" w:hAnsi="Open Sans" w:cs="Open Sans"/>
        </w:rPr>
      </w:pPr>
    </w:p>
    <w:p w14:paraId="3CA4678D" w14:textId="77777777" w:rsidR="00125495" w:rsidRPr="004F4690" w:rsidRDefault="003A74F4" w:rsidP="004F4690">
      <w:pPr>
        <w:pStyle w:val="Nagwek2"/>
        <w:rPr>
          <w:rFonts w:ascii="Open Sans" w:hAnsi="Open Sans" w:cs="Open Sans"/>
        </w:rPr>
      </w:pPr>
      <w:r w:rsidRPr="004F4690">
        <w:rPr>
          <w:rFonts w:ascii="Open Sans" w:hAnsi="Open Sans" w:cs="Open Sans"/>
        </w:rPr>
        <w:t>4.1. Tabela rekomendacji priorytetowych</w:t>
      </w:r>
    </w:p>
    <w:p w14:paraId="0A256671" w14:textId="77777777" w:rsidR="00125495" w:rsidRPr="004F4690" w:rsidRDefault="00125495" w:rsidP="004F4690">
      <w:pPr>
        <w:spacing w:after="80"/>
        <w:rPr>
          <w:rFonts w:ascii="Open Sans" w:hAnsi="Open Sans" w:cs="Open Sans"/>
        </w:rPr>
      </w:pP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800"/>
        <w:gridCol w:w="1600"/>
      </w:tblGrid>
      <w:tr w:rsidR="00142968" w:rsidRPr="004F4690" w14:paraId="6011469B" w14:textId="77777777" w:rsidTr="00142968">
        <w:trPr>
          <w:tblHeader/>
        </w:trPr>
        <w:tc>
          <w:tcPr>
            <w:tcW w:w="4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57D7A4D6" w14:textId="77777777" w:rsidR="00142968" w:rsidRPr="004F4690" w:rsidRDefault="00142968" w:rsidP="004F4690">
            <w:pPr>
              <w:rPr>
                <w:rFonts w:ascii="Open Sans" w:hAnsi="Open Sans" w:cs="Open Sans"/>
              </w:rPr>
            </w:pPr>
            <w:r w:rsidRPr="004F4690">
              <w:rPr>
                <w:rFonts w:ascii="Open Sans" w:hAnsi="Open Sans" w:cs="Open Sans"/>
                <w:b/>
                <w:bCs/>
                <w:color w:val="FFFFFF"/>
                <w:sz w:val="20"/>
                <w:szCs w:val="20"/>
              </w:rPr>
              <w:t>Rekomendacja</w:t>
            </w:r>
          </w:p>
        </w:tc>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06DB90E5" w14:textId="77777777" w:rsidR="00142968" w:rsidRPr="004F4690" w:rsidRDefault="00142968" w:rsidP="004F4690">
            <w:pPr>
              <w:rPr>
                <w:rFonts w:ascii="Open Sans" w:hAnsi="Open Sans" w:cs="Open Sans"/>
              </w:rPr>
            </w:pPr>
            <w:r w:rsidRPr="004F4690">
              <w:rPr>
                <w:rFonts w:ascii="Open Sans" w:hAnsi="Open Sans" w:cs="Open Sans"/>
                <w:b/>
                <w:bCs/>
                <w:color w:val="FFFFFF"/>
                <w:sz w:val="20"/>
                <w:szCs w:val="20"/>
              </w:rPr>
              <w:t>Adresat</w:t>
            </w:r>
          </w:p>
        </w:tc>
        <w:tc>
          <w:tcPr>
            <w:tcW w:w="16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30524AEE" w14:textId="77777777" w:rsidR="00142968" w:rsidRPr="004F4690" w:rsidRDefault="00142968" w:rsidP="004F4690">
            <w:pPr>
              <w:rPr>
                <w:rFonts w:ascii="Open Sans" w:hAnsi="Open Sans" w:cs="Open Sans"/>
              </w:rPr>
            </w:pPr>
            <w:r w:rsidRPr="004F4690">
              <w:rPr>
                <w:rFonts w:ascii="Open Sans" w:hAnsi="Open Sans" w:cs="Open Sans"/>
                <w:b/>
                <w:bCs/>
                <w:color w:val="FFFFFF"/>
                <w:sz w:val="20"/>
                <w:szCs w:val="20"/>
              </w:rPr>
              <w:t>Priorytet</w:t>
            </w:r>
          </w:p>
        </w:tc>
      </w:tr>
      <w:tr w:rsidR="00142968" w:rsidRPr="004F4690" w14:paraId="430DF17A"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CE805A"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Ustanowić jedną platformę koordynacyjną (np. Komitet Odporności Transportowej) łączącą MI, MSWiA, MON, CUPT i samorządy</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A1EC095"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Rząd RP / MI</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CEDD55" w14:textId="77777777" w:rsidR="00142968" w:rsidRPr="004F4690" w:rsidRDefault="00142968" w:rsidP="004F4690">
            <w:pPr>
              <w:rPr>
                <w:rFonts w:ascii="Open Sans" w:hAnsi="Open Sans" w:cs="Open Sans"/>
              </w:rPr>
            </w:pPr>
            <w:r w:rsidRPr="004F4690">
              <w:rPr>
                <w:rFonts w:ascii="Open Sans" w:hAnsi="Open Sans" w:cs="Open Sans"/>
                <w:b/>
                <w:bCs/>
                <w:color w:val="C00000"/>
                <w:sz w:val="20"/>
                <w:szCs w:val="20"/>
              </w:rPr>
              <w:t>Krytyczny</w:t>
            </w:r>
          </w:p>
        </w:tc>
      </w:tr>
      <w:tr w:rsidR="00142968" w:rsidRPr="004F4690" w14:paraId="29925E5F"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F5A8DE"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 xml:space="preserve">Zdefiniować minimalne standardy dual </w:t>
            </w:r>
            <w:proofErr w:type="spellStart"/>
            <w:r w:rsidRPr="004F4690">
              <w:rPr>
                <w:rFonts w:ascii="Open Sans" w:hAnsi="Open Sans" w:cs="Open Sans"/>
                <w:color w:val="222222"/>
                <w:sz w:val="20"/>
                <w:szCs w:val="20"/>
              </w:rPr>
              <w:t>use</w:t>
            </w:r>
            <w:proofErr w:type="spellEnd"/>
            <w:r w:rsidRPr="004F4690">
              <w:rPr>
                <w:rFonts w:ascii="Open Sans" w:hAnsi="Open Sans" w:cs="Open Sans"/>
                <w:color w:val="222222"/>
                <w:sz w:val="20"/>
                <w:szCs w:val="20"/>
              </w:rPr>
              <w:t xml:space="preserve"> jako kryterium formalne dla projektów dofinansowanych z UE (nośność, gabaryt, parametry ewakuacyjne)</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35C146E"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MI / CUPT</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889A41" w14:textId="77777777" w:rsidR="00142968" w:rsidRPr="004F4690" w:rsidRDefault="00142968" w:rsidP="004F4690">
            <w:pPr>
              <w:rPr>
                <w:rFonts w:ascii="Open Sans" w:hAnsi="Open Sans" w:cs="Open Sans"/>
              </w:rPr>
            </w:pPr>
            <w:r w:rsidRPr="004F4690">
              <w:rPr>
                <w:rFonts w:ascii="Open Sans" w:hAnsi="Open Sans" w:cs="Open Sans"/>
                <w:b/>
                <w:bCs/>
                <w:color w:val="C00000"/>
                <w:sz w:val="20"/>
                <w:szCs w:val="20"/>
              </w:rPr>
              <w:t>Krytyczny</w:t>
            </w:r>
          </w:p>
        </w:tc>
      </w:tr>
      <w:tr w:rsidR="00142968" w:rsidRPr="004F4690" w14:paraId="6B8634F8"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3B232C"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Przeprowadzić kompleksowe ćwiczenie ewakuacyjne co najmniej jednej aglomeracji z pełnym udziałem operatorów transportu</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C145D2"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MSWiA / Samorządy</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A0666C" w14:textId="77777777" w:rsidR="00142968" w:rsidRPr="004F4690" w:rsidRDefault="00142968" w:rsidP="004F4690">
            <w:pPr>
              <w:rPr>
                <w:rFonts w:ascii="Open Sans" w:hAnsi="Open Sans" w:cs="Open Sans"/>
              </w:rPr>
            </w:pPr>
            <w:r w:rsidRPr="004F4690">
              <w:rPr>
                <w:rFonts w:ascii="Open Sans" w:hAnsi="Open Sans" w:cs="Open Sans"/>
                <w:b/>
                <w:bCs/>
                <w:color w:val="BF6000"/>
                <w:sz w:val="20"/>
                <w:szCs w:val="20"/>
              </w:rPr>
              <w:t>Wysoki</w:t>
            </w:r>
          </w:p>
        </w:tc>
      </w:tr>
      <w:tr w:rsidR="00142968" w:rsidRPr="004F4690" w14:paraId="598480BC"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AAF220"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Zlecić audyt kluczowych węzłów sieci TEN-T pod kątem zgodności z wymogami mobilności wojskowej NATO</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7177BFC"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MI / PKP PLK</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AFC3B88" w14:textId="77777777" w:rsidR="00142968" w:rsidRPr="004F4690" w:rsidRDefault="00142968" w:rsidP="004F4690">
            <w:pPr>
              <w:rPr>
                <w:rFonts w:ascii="Open Sans" w:hAnsi="Open Sans" w:cs="Open Sans"/>
              </w:rPr>
            </w:pPr>
            <w:r w:rsidRPr="004F4690">
              <w:rPr>
                <w:rFonts w:ascii="Open Sans" w:hAnsi="Open Sans" w:cs="Open Sans"/>
                <w:b/>
                <w:bCs/>
                <w:color w:val="BF6000"/>
                <w:sz w:val="20"/>
                <w:szCs w:val="20"/>
              </w:rPr>
              <w:t>Wysoki</w:t>
            </w:r>
          </w:p>
        </w:tc>
      </w:tr>
      <w:tr w:rsidR="00142968" w:rsidRPr="004F4690" w14:paraId="0D7092B6"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4B8C34"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Ujednolicić standardy bezpieczeństwa i protokoły kryzysowe między PKP S.A., PKP PLK, POLREGIO i innymi przewoźnikami kolejowymi</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4E93EA"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MI / PKP Grupa</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D8D367F" w14:textId="77777777" w:rsidR="00142968" w:rsidRPr="004F4690" w:rsidRDefault="00142968" w:rsidP="004F4690">
            <w:pPr>
              <w:rPr>
                <w:rFonts w:ascii="Open Sans" w:hAnsi="Open Sans" w:cs="Open Sans"/>
              </w:rPr>
            </w:pPr>
            <w:r w:rsidRPr="004F4690">
              <w:rPr>
                <w:rFonts w:ascii="Open Sans" w:hAnsi="Open Sans" w:cs="Open Sans"/>
                <w:b/>
                <w:bCs/>
                <w:color w:val="BF6000"/>
                <w:sz w:val="20"/>
                <w:szCs w:val="20"/>
              </w:rPr>
              <w:t>Wysoki</w:t>
            </w:r>
          </w:p>
        </w:tc>
      </w:tr>
      <w:tr w:rsidR="00142968" w:rsidRPr="004F4690" w14:paraId="41FCB233"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B90B29"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Zinwentaryzować i ocenić przydatność historycznej infrastruktury przemysłowej (bocznice, koleje zakładowe) dla celów kryzysowych</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EE02D3"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Samorządy / MI</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EF5E2C" w14:textId="77777777" w:rsidR="00142968" w:rsidRPr="004F4690" w:rsidRDefault="00142968" w:rsidP="004F4690">
            <w:pPr>
              <w:rPr>
                <w:rFonts w:ascii="Open Sans" w:hAnsi="Open Sans" w:cs="Open Sans"/>
              </w:rPr>
            </w:pPr>
            <w:r w:rsidRPr="004F4690">
              <w:rPr>
                <w:rFonts w:ascii="Open Sans" w:hAnsi="Open Sans" w:cs="Open Sans"/>
                <w:b/>
                <w:bCs/>
                <w:color w:val="375623"/>
                <w:sz w:val="20"/>
                <w:szCs w:val="20"/>
              </w:rPr>
              <w:t>Średni</w:t>
            </w:r>
          </w:p>
        </w:tc>
      </w:tr>
      <w:tr w:rsidR="00142968" w:rsidRPr="004F4690" w14:paraId="69AA48D8"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4D1DCE"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Opracować programy szkoleniowe dot. gotowości psychologicznej i operacyjnej dla personelu transportu publicznego</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7D220F"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ZTM / Operatorzy</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6905219" w14:textId="77777777" w:rsidR="00142968" w:rsidRPr="004F4690" w:rsidRDefault="00142968" w:rsidP="004F4690">
            <w:pPr>
              <w:rPr>
                <w:rFonts w:ascii="Open Sans" w:hAnsi="Open Sans" w:cs="Open Sans"/>
              </w:rPr>
            </w:pPr>
            <w:r w:rsidRPr="004F4690">
              <w:rPr>
                <w:rFonts w:ascii="Open Sans" w:hAnsi="Open Sans" w:cs="Open Sans"/>
                <w:b/>
                <w:bCs/>
                <w:color w:val="375623"/>
                <w:sz w:val="20"/>
                <w:szCs w:val="20"/>
              </w:rPr>
              <w:t>Średni</w:t>
            </w:r>
          </w:p>
        </w:tc>
      </w:tr>
      <w:tr w:rsidR="00142968" w:rsidRPr="004F4690" w14:paraId="631740F5"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B97669"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Uwzględnić infrastrukturę rowerową i pieszą jako warstwę rezerwową w miejskich planach odporności transportowej</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A008239"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Samorządy</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9083A6" w14:textId="77777777" w:rsidR="00142968" w:rsidRPr="004F4690" w:rsidRDefault="00142968" w:rsidP="004F4690">
            <w:pPr>
              <w:rPr>
                <w:rFonts w:ascii="Open Sans" w:hAnsi="Open Sans" w:cs="Open Sans"/>
              </w:rPr>
            </w:pPr>
            <w:r w:rsidRPr="004F4690">
              <w:rPr>
                <w:rFonts w:ascii="Open Sans" w:hAnsi="Open Sans" w:cs="Open Sans"/>
                <w:b/>
                <w:bCs/>
                <w:color w:val="375623"/>
                <w:sz w:val="20"/>
                <w:szCs w:val="20"/>
              </w:rPr>
              <w:t>Średni</w:t>
            </w:r>
          </w:p>
        </w:tc>
      </w:tr>
      <w:tr w:rsidR="00142968" w:rsidRPr="004F4690" w14:paraId="7F6DB933"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23E60D"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 xml:space="preserve">Uregulować prawnie kompetencje decyzyjne w łańcuchu zarządzania </w:t>
            </w:r>
            <w:r w:rsidRPr="004F4690">
              <w:rPr>
                <w:rFonts w:ascii="Open Sans" w:hAnsi="Open Sans" w:cs="Open Sans"/>
                <w:color w:val="222222"/>
                <w:sz w:val="20"/>
                <w:szCs w:val="20"/>
              </w:rPr>
              <w:lastRenderedPageBreak/>
              <w:t>kryzysowego infrastrukturą transportową (kto decyduje w ciągu sekund)</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23D3B8B"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lastRenderedPageBreak/>
              <w:t>MSWiA / MON / MI</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220D86" w14:textId="77777777" w:rsidR="00142968" w:rsidRPr="004F4690" w:rsidRDefault="00142968" w:rsidP="004F4690">
            <w:pPr>
              <w:rPr>
                <w:rFonts w:ascii="Open Sans" w:hAnsi="Open Sans" w:cs="Open Sans"/>
              </w:rPr>
            </w:pPr>
            <w:r w:rsidRPr="004F4690">
              <w:rPr>
                <w:rFonts w:ascii="Open Sans" w:hAnsi="Open Sans" w:cs="Open Sans"/>
                <w:b/>
                <w:bCs/>
                <w:color w:val="C00000"/>
                <w:sz w:val="20"/>
                <w:szCs w:val="20"/>
              </w:rPr>
              <w:t>Krytyczny</w:t>
            </w:r>
          </w:p>
        </w:tc>
      </w:tr>
      <w:tr w:rsidR="00142968" w:rsidRPr="004F4690" w14:paraId="6B33F424" w14:textId="77777777" w:rsidTr="00142968">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66CC78" w14:textId="77777777" w:rsidR="00142968" w:rsidRPr="004F4690" w:rsidRDefault="00142968" w:rsidP="004F4690">
            <w:pPr>
              <w:rPr>
                <w:rFonts w:ascii="Open Sans" w:hAnsi="Open Sans" w:cs="Open Sans"/>
              </w:rPr>
            </w:pPr>
            <w:r w:rsidRPr="004F4690">
              <w:rPr>
                <w:rFonts w:ascii="Open Sans" w:hAnsi="Open Sans" w:cs="Open Sans"/>
                <w:color w:val="222222"/>
                <w:sz w:val="20"/>
                <w:szCs w:val="20"/>
              </w:rPr>
              <w:t>Zintegrować dane o odporności transportowej z Krajowym Systemem Zarządzania Kryzysowego</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5BEE3A6" w14:textId="77777777" w:rsidR="00142968" w:rsidRPr="004F4690" w:rsidRDefault="003C5A56" w:rsidP="004F4690">
            <w:pPr>
              <w:rPr>
                <w:rFonts w:ascii="Open Sans" w:hAnsi="Open Sans" w:cs="Open Sans"/>
              </w:rPr>
            </w:pPr>
            <w:r>
              <w:rPr>
                <w:rFonts w:ascii="Open Sans" w:hAnsi="Open Sans" w:cs="Open Sans"/>
                <w:color w:val="222222"/>
                <w:sz w:val="20"/>
                <w:szCs w:val="20"/>
              </w:rPr>
              <w:t xml:space="preserve">RCB </w:t>
            </w:r>
          </w:p>
        </w:tc>
        <w:tc>
          <w:tcPr>
            <w:tcW w:w="1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73018CA" w14:textId="77777777" w:rsidR="00142968" w:rsidRPr="004F4690" w:rsidRDefault="00142968" w:rsidP="004F4690">
            <w:pPr>
              <w:rPr>
                <w:rFonts w:ascii="Open Sans" w:hAnsi="Open Sans" w:cs="Open Sans"/>
              </w:rPr>
            </w:pPr>
            <w:r w:rsidRPr="004F4690">
              <w:rPr>
                <w:rFonts w:ascii="Open Sans" w:hAnsi="Open Sans" w:cs="Open Sans"/>
                <w:b/>
                <w:bCs/>
                <w:color w:val="BF6000"/>
                <w:sz w:val="20"/>
                <w:szCs w:val="20"/>
              </w:rPr>
              <w:t>Wysoki</w:t>
            </w:r>
          </w:p>
        </w:tc>
      </w:tr>
    </w:tbl>
    <w:p w14:paraId="432A0576" w14:textId="77777777" w:rsidR="00125495" w:rsidRPr="004F4690" w:rsidRDefault="00125495" w:rsidP="004F4690">
      <w:pPr>
        <w:spacing w:after="80"/>
        <w:rPr>
          <w:rFonts w:ascii="Open Sans" w:hAnsi="Open Sans" w:cs="Open Sans"/>
        </w:rPr>
      </w:pPr>
    </w:p>
    <w:p w14:paraId="3E20476D" w14:textId="77777777" w:rsidR="00125495" w:rsidRPr="004F4690" w:rsidRDefault="00125495" w:rsidP="004F4690">
      <w:pPr>
        <w:spacing w:after="80"/>
        <w:rPr>
          <w:rFonts w:ascii="Open Sans" w:hAnsi="Open Sans" w:cs="Open Sans"/>
        </w:rPr>
      </w:pPr>
    </w:p>
    <w:p w14:paraId="7760E5FA" w14:textId="77777777" w:rsidR="00125495" w:rsidRPr="004F4690" w:rsidRDefault="003A74F4" w:rsidP="004F4690">
      <w:pPr>
        <w:pStyle w:val="Nagwek2"/>
        <w:rPr>
          <w:rFonts w:ascii="Open Sans" w:hAnsi="Open Sans" w:cs="Open Sans"/>
        </w:rPr>
      </w:pPr>
      <w:r w:rsidRPr="004F4690">
        <w:rPr>
          <w:rFonts w:ascii="Open Sans" w:hAnsi="Open Sans" w:cs="Open Sans"/>
        </w:rPr>
        <w:t>4.2. Rekomendacje szczegółowe</w:t>
      </w:r>
    </w:p>
    <w:p w14:paraId="5B63AFAA" w14:textId="77777777" w:rsidR="00125495" w:rsidRPr="004F4690" w:rsidRDefault="003A74F4" w:rsidP="004F4690">
      <w:pPr>
        <w:spacing w:before="200" w:after="60"/>
        <w:rPr>
          <w:rFonts w:ascii="Open Sans" w:hAnsi="Open Sans" w:cs="Open Sans"/>
        </w:rPr>
      </w:pPr>
      <w:r w:rsidRPr="004F4690">
        <w:rPr>
          <w:rFonts w:ascii="Open Sans" w:hAnsi="Open Sans" w:cs="Open Sans"/>
          <w:b/>
          <w:bCs/>
          <w:color w:val="444444"/>
        </w:rPr>
        <w:t>Dla Ministerstwa Infrastruktury</w:t>
      </w:r>
    </w:p>
    <w:p w14:paraId="1A56F2BD"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Kluczowym krokiem legislacyjnym jest nowelizacja przepisów technicznych dotyczących projektowania obiektów infrastruktury transportowej finansowanych ze środków publicznych, wprowadzająca jako standard minimalny parametry dual </w:t>
      </w:r>
      <w:proofErr w:type="spellStart"/>
      <w:r w:rsidRPr="004F4690">
        <w:rPr>
          <w:rFonts w:ascii="Open Sans" w:hAnsi="Open Sans" w:cs="Open Sans"/>
        </w:rPr>
        <w:t>use</w:t>
      </w:r>
      <w:proofErr w:type="spellEnd"/>
      <w:r w:rsidRPr="004F4690">
        <w:rPr>
          <w:rFonts w:ascii="Open Sans" w:hAnsi="Open Sans" w:cs="Open Sans"/>
        </w:rPr>
        <w:t>: nośność mostów i wiaduktów min. 60 t, gabaryt skrajni dla pojazdów wojskowych, oznakowanie objazdów kryzysowych. Rekomenduje się również stworzenie centralnej bazy danych punktów krytycznych sieci transportowej (wąskich gardeł), aktualizowanej co 2 lata na podstawie modelowania sieciowego.</w:t>
      </w:r>
    </w:p>
    <w:p w14:paraId="14AAF84E" w14:textId="77777777" w:rsidR="00125495" w:rsidRPr="004F4690" w:rsidRDefault="003A74F4" w:rsidP="004F4690">
      <w:pPr>
        <w:spacing w:before="200" w:after="60"/>
        <w:rPr>
          <w:rFonts w:ascii="Open Sans" w:hAnsi="Open Sans" w:cs="Open Sans"/>
        </w:rPr>
      </w:pPr>
      <w:r w:rsidRPr="004F4690">
        <w:rPr>
          <w:rFonts w:ascii="Open Sans" w:hAnsi="Open Sans" w:cs="Open Sans"/>
          <w:b/>
          <w:bCs/>
          <w:color w:val="444444"/>
        </w:rPr>
        <w:t>Dla samorządów – miast i metropolii</w:t>
      </w:r>
    </w:p>
    <w:p w14:paraId="7E049249" w14:textId="77777777" w:rsidR="00125495" w:rsidRPr="004F4690" w:rsidRDefault="003A74F4" w:rsidP="004F4690">
      <w:pPr>
        <w:spacing w:before="60" w:after="80"/>
        <w:rPr>
          <w:rFonts w:ascii="Open Sans" w:hAnsi="Open Sans" w:cs="Open Sans"/>
        </w:rPr>
      </w:pPr>
      <w:r w:rsidRPr="004F4690">
        <w:rPr>
          <w:rFonts w:ascii="Open Sans" w:hAnsi="Open Sans" w:cs="Open Sans"/>
        </w:rPr>
        <w:t>Samorządy powinny dokonać rewizji miejscowych planów zarządzania kryzysowego pod kątem scenariuszy sieciowej awarii infrastruktury transportowej. W szczególności rekomenduje się: opracowanie protokołów przejmowania funkcji kluczowych linii przez sieć zastępczą (wzorem protokołu ZTM dla metra), zinwentaryzowanie alternatywnych punktów koncentracji i rozproszenia pasażerów, oraz cykliczne (co 3 lata) ćwiczenia symulacyjne angażujące operatorów transportu, służby ratunkowe i administrację.</w:t>
      </w:r>
    </w:p>
    <w:p w14:paraId="106D0571" w14:textId="77777777" w:rsidR="00125495" w:rsidRPr="004F4690" w:rsidRDefault="003A74F4" w:rsidP="004F4690">
      <w:pPr>
        <w:spacing w:before="200" w:after="60"/>
        <w:rPr>
          <w:rFonts w:ascii="Open Sans" w:hAnsi="Open Sans" w:cs="Open Sans"/>
        </w:rPr>
      </w:pPr>
      <w:r w:rsidRPr="004F4690">
        <w:rPr>
          <w:rFonts w:ascii="Open Sans" w:hAnsi="Open Sans" w:cs="Open Sans"/>
          <w:b/>
          <w:bCs/>
          <w:color w:val="444444"/>
        </w:rPr>
        <w:t>Dla PKP Grupy i zarządców infrastruktury kolejowej</w:t>
      </w:r>
    </w:p>
    <w:p w14:paraId="41766A89"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Priorytetem jest opracowanie wspólnego, </w:t>
      </w:r>
      <w:proofErr w:type="spellStart"/>
      <w:r w:rsidRPr="004F4690">
        <w:rPr>
          <w:rFonts w:ascii="Open Sans" w:hAnsi="Open Sans" w:cs="Open Sans"/>
        </w:rPr>
        <w:t>interoperacyjnego</w:t>
      </w:r>
      <w:proofErr w:type="spellEnd"/>
      <w:r w:rsidRPr="004F4690">
        <w:rPr>
          <w:rFonts w:ascii="Open Sans" w:hAnsi="Open Sans" w:cs="Open Sans"/>
        </w:rPr>
        <w:t xml:space="preserve"> protokołu zarządzania kryzysowego dla całej grupy PKP i niezależnych przewoźników, definiującego jasny łańcuch decyzyjny na poziomie operacyjnym. Nieruchomości kolejowe – tereny, magazyny, bocznice – powinny zostać objęte inwentaryzacją pod kątem przydatności w scenariuszach kryzysowych. Rekomenduje się również przeprowadzenie analizy podatności infrastruktury kolejowej na ataki asymetryczne i cybernetyczne, z identyfikacją priorytetowych obszarów wzmocnienia.</w:t>
      </w:r>
    </w:p>
    <w:p w14:paraId="76E1E33B" w14:textId="77777777" w:rsidR="00125495" w:rsidRPr="004F4690" w:rsidRDefault="003A74F4" w:rsidP="004F4690">
      <w:pPr>
        <w:spacing w:before="200" w:after="60"/>
        <w:rPr>
          <w:rFonts w:ascii="Open Sans" w:hAnsi="Open Sans" w:cs="Open Sans"/>
        </w:rPr>
      </w:pPr>
      <w:r w:rsidRPr="004F4690">
        <w:rPr>
          <w:rFonts w:ascii="Open Sans" w:hAnsi="Open Sans" w:cs="Open Sans"/>
          <w:b/>
          <w:bCs/>
          <w:color w:val="444444"/>
        </w:rPr>
        <w:t>Dla branży projektowej i inżynierskiej</w:t>
      </w:r>
    </w:p>
    <w:p w14:paraId="52D749FD"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Firmy projektowe powinny aktywnie budować kompetencje w zakresie dual </w:t>
      </w:r>
      <w:proofErr w:type="spellStart"/>
      <w:r w:rsidRPr="004F4690">
        <w:rPr>
          <w:rFonts w:ascii="Open Sans" w:hAnsi="Open Sans" w:cs="Open Sans"/>
        </w:rPr>
        <w:t>use</w:t>
      </w:r>
      <w:proofErr w:type="spellEnd"/>
      <w:r w:rsidRPr="004F4690">
        <w:rPr>
          <w:rFonts w:ascii="Open Sans" w:hAnsi="Open Sans" w:cs="Open Sans"/>
        </w:rPr>
        <w:t xml:space="preserve"> design, traktując to jako przewagę konkurencyjną w przetargach na infrastrukturę finansowaną ze środków europejskich. Regulacje UE dotyczące mobilności wojskowej i odporności sieci TEN-T będą zaostrzane – branża, która wyprzedzi te wymogi, zyska pozycję preferowanego wykonawcy. Rekomenduje się tworzenie konsorcjów projektowych łączących ekspertyzę cywilną z wojskową.</w:t>
      </w:r>
    </w:p>
    <w:p w14:paraId="283E5CFB" w14:textId="77777777" w:rsidR="00125495" w:rsidRPr="004F4690" w:rsidRDefault="00125495" w:rsidP="004F4690">
      <w:pPr>
        <w:spacing w:after="80"/>
        <w:rPr>
          <w:rFonts w:ascii="Open Sans" w:hAnsi="Open Sans" w:cs="Open Sans"/>
        </w:rPr>
      </w:pPr>
    </w:p>
    <w:p w14:paraId="7B81DC80" w14:textId="77777777" w:rsidR="00125495" w:rsidRPr="004F4690" w:rsidRDefault="003A74F4" w:rsidP="004F4690">
      <w:pPr>
        <w:pStyle w:val="Nagwek1"/>
        <w:pBdr>
          <w:bottom w:val="single" w:sz="6" w:space="4" w:color="2E75B6"/>
        </w:pBdr>
        <w:rPr>
          <w:rFonts w:ascii="Open Sans" w:hAnsi="Open Sans" w:cs="Open Sans"/>
        </w:rPr>
      </w:pPr>
      <w:r w:rsidRPr="004F4690">
        <w:rPr>
          <w:rFonts w:ascii="Open Sans" w:hAnsi="Open Sans" w:cs="Open Sans"/>
        </w:rPr>
        <w:lastRenderedPageBreak/>
        <w:t>5. Wnioski końcowe</w:t>
      </w:r>
    </w:p>
    <w:p w14:paraId="3FF51A1A" w14:textId="77777777" w:rsidR="00125495" w:rsidRPr="004F4690" w:rsidRDefault="003A74F4" w:rsidP="004F4690">
      <w:pPr>
        <w:spacing w:before="60" w:after="80"/>
        <w:rPr>
          <w:rFonts w:ascii="Open Sans" w:hAnsi="Open Sans" w:cs="Open Sans"/>
        </w:rPr>
      </w:pPr>
      <w:r w:rsidRPr="004F4690">
        <w:rPr>
          <w:rFonts w:ascii="Open Sans" w:hAnsi="Open Sans" w:cs="Open Sans"/>
        </w:rPr>
        <w:t xml:space="preserve">Webinarium TOB z 26 lutego 2026 r. ujawniło fundamentalną sprzeczność w polskim podejściu do infrastruktury transportowej: szybkie inwestycje w sieć idą w parze z powolną zmianą myślenia o odporności tej sieci. Polska ma jeszcze kilka lat intensywnego cyklu inwestycyjnego – i jest to ostatni moment, by wbudować odporność w nowe projekty zamiast płacić wielokrotnie więcej za </w:t>
      </w:r>
      <w:r w:rsidR="00E55682">
        <w:rPr>
          <w:rFonts w:ascii="Open Sans" w:hAnsi="Open Sans" w:cs="Open Sans"/>
        </w:rPr>
        <w:t xml:space="preserve">ich </w:t>
      </w:r>
      <w:r w:rsidR="00142968">
        <w:rPr>
          <w:rFonts w:ascii="Open Sans" w:hAnsi="Open Sans" w:cs="Open Sans"/>
        </w:rPr>
        <w:t>dostosowanie</w:t>
      </w:r>
      <w:r w:rsidRPr="004F4690">
        <w:rPr>
          <w:rFonts w:ascii="Open Sans" w:hAnsi="Open Sans" w:cs="Open Sans"/>
        </w:rPr>
        <w:t>.</w:t>
      </w:r>
    </w:p>
    <w:p w14:paraId="38F73E2C" w14:textId="77777777" w:rsidR="00125495" w:rsidRPr="004F4690" w:rsidRDefault="003A74F4" w:rsidP="004F4690">
      <w:pPr>
        <w:spacing w:before="60" w:after="80"/>
        <w:rPr>
          <w:rFonts w:ascii="Open Sans" w:hAnsi="Open Sans" w:cs="Open Sans"/>
        </w:rPr>
      </w:pPr>
      <w:r w:rsidRPr="004F4690">
        <w:rPr>
          <w:rFonts w:ascii="Open Sans" w:hAnsi="Open Sans" w:cs="Open Sans"/>
        </w:rPr>
        <w:t>Trzy najważniejsze wnioski, które nie mogą pozostać bez odpowiedzi decydentów:</w:t>
      </w:r>
    </w:p>
    <w:p w14:paraId="0018F8F4" w14:textId="77777777" w:rsidR="00125495" w:rsidRPr="004F4690" w:rsidRDefault="00125495" w:rsidP="004F4690">
      <w:pPr>
        <w:spacing w:after="80"/>
        <w:rPr>
          <w:rFonts w:ascii="Open Sans" w:hAnsi="Open Sans" w:cs="Open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30A8AB67"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59134962" w14:textId="77777777" w:rsidR="00125495" w:rsidRPr="004F4690" w:rsidRDefault="003A74F4" w:rsidP="004F4690">
            <w:pPr>
              <w:rPr>
                <w:rFonts w:ascii="Open Sans" w:hAnsi="Open Sans" w:cs="Open Sans"/>
              </w:rPr>
            </w:pPr>
            <w:r w:rsidRPr="004F4690">
              <w:rPr>
                <w:rFonts w:ascii="Open Sans" w:hAnsi="Open Sans" w:cs="Open Sans"/>
                <w:b/>
                <w:bCs/>
                <w:color w:val="1F4E79"/>
                <w:sz w:val="20"/>
                <w:szCs w:val="20"/>
              </w:rPr>
              <w:t>WNIOSEK 1</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53F31CE7" w14:textId="77777777" w:rsidR="00125495" w:rsidRPr="004F4690" w:rsidRDefault="003A74F4" w:rsidP="00E55682">
            <w:pPr>
              <w:rPr>
                <w:rFonts w:ascii="Open Sans" w:hAnsi="Open Sans" w:cs="Open Sans"/>
              </w:rPr>
            </w:pPr>
            <w:r w:rsidRPr="004F4690">
              <w:rPr>
                <w:rFonts w:ascii="Open Sans" w:hAnsi="Open Sans" w:cs="Open Sans"/>
                <w:i/>
                <w:iCs/>
              </w:rPr>
              <w:t xml:space="preserve">Odporność transportowa to nie projekt inwestycyjny – to zmiana sposobu myślenia. </w:t>
            </w:r>
            <w:r w:rsidR="00E55682">
              <w:rPr>
                <w:rFonts w:ascii="Open Sans" w:hAnsi="Open Sans" w:cs="Open Sans"/>
                <w:i/>
                <w:iCs/>
              </w:rPr>
              <w:t>W</w:t>
            </w:r>
            <w:r w:rsidRPr="004F4690">
              <w:rPr>
                <w:rFonts w:ascii="Open Sans" w:hAnsi="Open Sans" w:cs="Open Sans"/>
                <w:i/>
                <w:iCs/>
              </w:rPr>
              <w:t xml:space="preserve">ymaga </w:t>
            </w:r>
            <w:r w:rsidR="00E55682">
              <w:rPr>
                <w:rFonts w:ascii="Open Sans" w:hAnsi="Open Sans" w:cs="Open Sans"/>
                <w:i/>
                <w:iCs/>
              </w:rPr>
              <w:t>nie tyle</w:t>
            </w:r>
            <w:r w:rsidRPr="004F4690">
              <w:rPr>
                <w:rFonts w:ascii="Open Sans" w:hAnsi="Open Sans" w:cs="Open Sans"/>
                <w:i/>
                <w:iCs/>
              </w:rPr>
              <w:t xml:space="preserve"> budżetu, lecz decyzji o przyjęciu nowego słownika pojęć i nowej logiki planowania na wszystkich szczeblach administracji.</w:t>
            </w:r>
          </w:p>
        </w:tc>
      </w:tr>
    </w:tbl>
    <w:p w14:paraId="51C44DF5" w14:textId="77777777" w:rsidR="00125495" w:rsidRPr="004F4690" w:rsidRDefault="00125495" w:rsidP="004F4690">
      <w:pPr>
        <w:spacing w:after="80"/>
        <w:rPr>
          <w:rFonts w:ascii="Open Sans" w:hAnsi="Open Sans" w:cs="Open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613ADDDE"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72EF8B0A" w14:textId="77777777" w:rsidR="00125495" w:rsidRPr="004F4690" w:rsidRDefault="003A74F4" w:rsidP="004F4690">
            <w:pPr>
              <w:rPr>
                <w:rFonts w:ascii="Open Sans" w:hAnsi="Open Sans" w:cs="Open Sans"/>
              </w:rPr>
            </w:pPr>
            <w:r w:rsidRPr="004F4690">
              <w:rPr>
                <w:rFonts w:ascii="Open Sans" w:hAnsi="Open Sans" w:cs="Open Sans"/>
                <w:b/>
                <w:bCs/>
                <w:color w:val="1F4E79"/>
                <w:sz w:val="20"/>
                <w:szCs w:val="20"/>
              </w:rPr>
              <w:t>WNIOSEK 2</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6AB5F312" w14:textId="77777777" w:rsidR="00125495" w:rsidRPr="004F4690" w:rsidRDefault="003A74F4" w:rsidP="004F4690">
            <w:pPr>
              <w:rPr>
                <w:rFonts w:ascii="Open Sans" w:hAnsi="Open Sans" w:cs="Open Sans"/>
              </w:rPr>
            </w:pPr>
            <w:r w:rsidRPr="004F4690">
              <w:rPr>
                <w:rFonts w:ascii="Open Sans" w:hAnsi="Open Sans" w:cs="Open Sans"/>
                <w:i/>
                <w:iCs/>
              </w:rPr>
              <w:t>Fragmentacja kompetencyjna jest dziś poważniejszą barierą dla odporności niż brak środków finansowych. Stworzenie mechanizmu koordynacji między resortami, samorządami i zarządcami infrastruktury ma wyższy priorytet niż jakikolwiek pojedynczy projekt inwestycyjny.</w:t>
            </w:r>
          </w:p>
        </w:tc>
      </w:tr>
    </w:tbl>
    <w:p w14:paraId="2A5E6FCE" w14:textId="77777777" w:rsidR="00125495" w:rsidRPr="004F4690" w:rsidRDefault="00125495" w:rsidP="004F4690">
      <w:pPr>
        <w:spacing w:after="80"/>
        <w:rPr>
          <w:rFonts w:ascii="Open Sans" w:hAnsi="Open Sans" w:cs="Open San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1440"/>
        <w:gridCol w:w="7586"/>
      </w:tblGrid>
      <w:tr w:rsidR="00125495" w:rsidRPr="004F4690" w14:paraId="00FCAF8E" w14:textId="77777777">
        <w:tc>
          <w:tcPr>
            <w:tcW w:w="1440" w:type="dxa"/>
            <w:tcBorders>
              <w:top w:val="single" w:sz="1" w:space="0" w:color="CCCCCC"/>
              <w:left w:val="single" w:sz="1" w:space="0" w:color="CCCCCC"/>
              <w:bottom w:val="single" w:sz="1" w:space="0" w:color="CCCCCC"/>
            </w:tcBorders>
            <w:shd w:val="clear" w:color="auto" w:fill="D6E4F0"/>
            <w:tcMar>
              <w:top w:w="80" w:type="dxa"/>
              <w:left w:w="120" w:type="dxa"/>
              <w:bottom w:w="80" w:type="dxa"/>
              <w:right w:w="120" w:type="dxa"/>
            </w:tcMar>
            <w:vAlign w:val="center"/>
          </w:tcPr>
          <w:p w14:paraId="03F409BB" w14:textId="77777777" w:rsidR="00125495" w:rsidRPr="004F4690" w:rsidRDefault="003A74F4" w:rsidP="004F4690">
            <w:pPr>
              <w:rPr>
                <w:rFonts w:ascii="Open Sans" w:hAnsi="Open Sans" w:cs="Open Sans"/>
              </w:rPr>
            </w:pPr>
            <w:r w:rsidRPr="004F4690">
              <w:rPr>
                <w:rFonts w:ascii="Open Sans" w:hAnsi="Open Sans" w:cs="Open Sans"/>
                <w:b/>
                <w:bCs/>
                <w:color w:val="C00000"/>
                <w:sz w:val="20"/>
                <w:szCs w:val="20"/>
              </w:rPr>
              <w:t>WNIOSEK 3</w:t>
            </w:r>
          </w:p>
        </w:tc>
        <w:tc>
          <w:tcPr>
            <w:tcW w:w="7586" w:type="dxa"/>
            <w:tcBorders>
              <w:top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442600E2" w14:textId="77777777" w:rsidR="00125495" w:rsidRPr="004F4690" w:rsidRDefault="003A74F4" w:rsidP="00E55682">
            <w:pPr>
              <w:rPr>
                <w:rFonts w:ascii="Open Sans" w:hAnsi="Open Sans" w:cs="Open Sans"/>
              </w:rPr>
            </w:pPr>
            <w:r w:rsidRPr="004F4690">
              <w:rPr>
                <w:rFonts w:ascii="Open Sans" w:hAnsi="Open Sans" w:cs="Open Sans"/>
                <w:i/>
                <w:iCs/>
              </w:rPr>
              <w:t xml:space="preserve">Ataki na </w:t>
            </w:r>
            <w:r w:rsidR="00142968" w:rsidRPr="004F4690">
              <w:rPr>
                <w:rFonts w:ascii="Open Sans" w:hAnsi="Open Sans" w:cs="Open Sans"/>
                <w:i/>
                <w:iCs/>
              </w:rPr>
              <w:t>infrastrukturę</w:t>
            </w:r>
            <w:r w:rsidRPr="004F4690">
              <w:rPr>
                <w:rFonts w:ascii="Open Sans" w:hAnsi="Open Sans" w:cs="Open Sans"/>
                <w:i/>
                <w:iCs/>
              </w:rPr>
              <w:t xml:space="preserve"> </w:t>
            </w:r>
            <w:r w:rsidR="00E55682" w:rsidRPr="004F4690">
              <w:rPr>
                <w:rFonts w:ascii="Open Sans" w:hAnsi="Open Sans" w:cs="Open Sans"/>
                <w:i/>
                <w:iCs/>
              </w:rPr>
              <w:t>transportow</w:t>
            </w:r>
            <w:r w:rsidR="00E55682">
              <w:rPr>
                <w:rFonts w:ascii="Open Sans" w:hAnsi="Open Sans" w:cs="Open Sans"/>
                <w:i/>
                <w:iCs/>
              </w:rPr>
              <w:t>ą</w:t>
            </w:r>
            <w:r w:rsidR="00E55682" w:rsidRPr="004F4690">
              <w:rPr>
                <w:rFonts w:ascii="Open Sans" w:hAnsi="Open Sans" w:cs="Open Sans"/>
                <w:i/>
                <w:iCs/>
              </w:rPr>
              <w:t xml:space="preserve"> </w:t>
            </w:r>
            <w:r w:rsidR="00142968" w:rsidRPr="004F4690">
              <w:rPr>
                <w:rFonts w:ascii="Open Sans" w:hAnsi="Open Sans" w:cs="Open Sans"/>
                <w:i/>
                <w:iCs/>
              </w:rPr>
              <w:t>są</w:t>
            </w:r>
            <w:r w:rsidRPr="004F4690">
              <w:rPr>
                <w:rFonts w:ascii="Open Sans" w:hAnsi="Open Sans" w:cs="Open Sans"/>
                <w:i/>
                <w:iCs/>
              </w:rPr>
              <w:t xml:space="preserve"> przewidywalne. Nazywanie ich czarnymi </w:t>
            </w:r>
            <w:r w:rsidR="00142968" w:rsidRPr="004F4690">
              <w:rPr>
                <w:rFonts w:ascii="Open Sans" w:hAnsi="Open Sans" w:cs="Open Sans"/>
                <w:i/>
                <w:iCs/>
              </w:rPr>
              <w:t>łabędziami</w:t>
            </w:r>
            <w:r w:rsidRPr="004F4690">
              <w:rPr>
                <w:rFonts w:ascii="Open Sans" w:hAnsi="Open Sans" w:cs="Open Sans"/>
                <w:i/>
                <w:iCs/>
              </w:rPr>
              <w:t xml:space="preserve"> jest intelektualnie nieuczciwe i politycznie wygodne. Polska potrzebuje instytucjonalnej odwagi do planowania </w:t>
            </w:r>
            <w:r w:rsidR="00142968" w:rsidRPr="004F4690">
              <w:rPr>
                <w:rFonts w:ascii="Open Sans" w:hAnsi="Open Sans" w:cs="Open Sans"/>
                <w:i/>
                <w:iCs/>
              </w:rPr>
              <w:t>według</w:t>
            </w:r>
            <w:r w:rsidRPr="004F4690">
              <w:rPr>
                <w:rFonts w:ascii="Open Sans" w:hAnsi="Open Sans" w:cs="Open Sans"/>
                <w:i/>
                <w:iCs/>
              </w:rPr>
              <w:t xml:space="preserve"> scenariuszy, </w:t>
            </w:r>
            <w:r w:rsidR="00142968" w:rsidRPr="004F4690">
              <w:rPr>
                <w:rFonts w:ascii="Open Sans" w:hAnsi="Open Sans" w:cs="Open Sans"/>
                <w:i/>
                <w:iCs/>
              </w:rPr>
              <w:t>które</w:t>
            </w:r>
            <w:r w:rsidRPr="004F4690">
              <w:rPr>
                <w:rFonts w:ascii="Open Sans" w:hAnsi="Open Sans" w:cs="Open Sans"/>
                <w:i/>
                <w:iCs/>
              </w:rPr>
              <w:t xml:space="preserve"> nie </w:t>
            </w:r>
            <w:r w:rsidR="00142968" w:rsidRPr="004F4690">
              <w:rPr>
                <w:rFonts w:ascii="Open Sans" w:hAnsi="Open Sans" w:cs="Open Sans"/>
                <w:i/>
                <w:iCs/>
              </w:rPr>
              <w:t>są</w:t>
            </w:r>
            <w:r w:rsidRPr="004F4690">
              <w:rPr>
                <w:rFonts w:ascii="Open Sans" w:hAnsi="Open Sans" w:cs="Open Sans"/>
                <w:i/>
                <w:iCs/>
              </w:rPr>
              <w:t xml:space="preserve"> przyjemne, ale </w:t>
            </w:r>
            <w:r w:rsidR="00142968" w:rsidRPr="004F4690">
              <w:rPr>
                <w:rFonts w:ascii="Open Sans" w:hAnsi="Open Sans" w:cs="Open Sans"/>
                <w:i/>
                <w:iCs/>
              </w:rPr>
              <w:t>są</w:t>
            </w:r>
            <w:r w:rsidR="00142968">
              <w:rPr>
                <w:rFonts w:ascii="Open Sans" w:hAnsi="Open Sans" w:cs="Open Sans"/>
                <w:i/>
                <w:iCs/>
              </w:rPr>
              <w:t xml:space="preserve"> niestety</w:t>
            </w:r>
            <w:r w:rsidRPr="004F4690">
              <w:rPr>
                <w:rFonts w:ascii="Open Sans" w:hAnsi="Open Sans" w:cs="Open Sans"/>
                <w:i/>
                <w:iCs/>
              </w:rPr>
              <w:t xml:space="preserve"> prawdopodobne.</w:t>
            </w:r>
          </w:p>
        </w:tc>
      </w:tr>
    </w:tbl>
    <w:p w14:paraId="78E778B4" w14:textId="77777777" w:rsidR="00125495" w:rsidRPr="004F4690" w:rsidRDefault="00125495" w:rsidP="004F4690">
      <w:pPr>
        <w:spacing w:after="80"/>
        <w:rPr>
          <w:rFonts w:ascii="Open Sans" w:hAnsi="Open Sans" w:cs="Open Sans"/>
        </w:rPr>
      </w:pPr>
    </w:p>
    <w:p w14:paraId="630E9257" w14:textId="77777777" w:rsidR="00125495" w:rsidRPr="004F4690" w:rsidRDefault="00125495" w:rsidP="004F4690">
      <w:pPr>
        <w:spacing w:after="80"/>
        <w:rPr>
          <w:rFonts w:ascii="Open Sans" w:hAnsi="Open Sans" w:cs="Open Sans"/>
        </w:rPr>
      </w:pPr>
    </w:p>
    <w:p w14:paraId="41111036" w14:textId="77777777" w:rsidR="00125495" w:rsidRPr="004F4690" w:rsidRDefault="00125495" w:rsidP="004F4690">
      <w:pPr>
        <w:spacing w:after="80"/>
        <w:rPr>
          <w:rFonts w:ascii="Open Sans" w:hAnsi="Open Sans" w:cs="Open Sans"/>
        </w:rPr>
      </w:pPr>
    </w:p>
    <w:p w14:paraId="46A7C414" w14:textId="77777777" w:rsidR="00125495" w:rsidRPr="004F4690" w:rsidRDefault="00125495" w:rsidP="004F4690">
      <w:pPr>
        <w:spacing w:after="80"/>
        <w:rPr>
          <w:rFonts w:ascii="Open Sans" w:hAnsi="Open Sans" w:cs="Open Sans"/>
        </w:rPr>
      </w:pPr>
    </w:p>
    <w:p w14:paraId="2D1A12A7" w14:textId="77777777" w:rsidR="00125495" w:rsidRPr="004F4690" w:rsidRDefault="003A74F4" w:rsidP="004F4690">
      <w:pPr>
        <w:pBdr>
          <w:top w:val="single" w:sz="4" w:space="4" w:color="CCCCCC"/>
        </w:pBdr>
        <w:spacing w:before="160" w:after="60"/>
        <w:rPr>
          <w:rFonts w:ascii="Open Sans" w:hAnsi="Open Sans" w:cs="Open Sans"/>
        </w:rPr>
      </w:pPr>
      <w:r w:rsidRPr="004F4690">
        <w:rPr>
          <w:rFonts w:ascii="Open Sans" w:hAnsi="Open Sans" w:cs="Open Sans"/>
          <w:i/>
          <w:iCs/>
          <w:color w:val="888888"/>
          <w:sz w:val="18"/>
          <w:szCs w:val="18"/>
        </w:rPr>
        <w:t>Raport oprac</w:t>
      </w:r>
      <w:r w:rsidR="003C5A56">
        <w:rPr>
          <w:rFonts w:ascii="Open Sans" w:hAnsi="Open Sans" w:cs="Open Sans"/>
          <w:i/>
          <w:iCs/>
          <w:color w:val="888888"/>
          <w:sz w:val="18"/>
          <w:szCs w:val="18"/>
        </w:rPr>
        <w:t>owany na podstawie materiałów 56</w:t>
      </w:r>
      <w:r w:rsidRPr="004F4690">
        <w:rPr>
          <w:rFonts w:ascii="Open Sans" w:hAnsi="Open Sans" w:cs="Open Sans"/>
          <w:i/>
          <w:iCs/>
          <w:color w:val="888888"/>
          <w:sz w:val="18"/>
          <w:szCs w:val="18"/>
        </w:rPr>
        <w:t>. spotkania TOB (26.02.2026).</w:t>
      </w:r>
    </w:p>
    <w:p w14:paraId="5C4A4CE9" w14:textId="77777777" w:rsidR="00125495" w:rsidRPr="004F4690" w:rsidRDefault="003A74F4" w:rsidP="004F4690">
      <w:pPr>
        <w:rPr>
          <w:rFonts w:ascii="Open Sans" w:hAnsi="Open Sans" w:cs="Open Sans"/>
        </w:rPr>
      </w:pPr>
      <w:r w:rsidRPr="004F4690">
        <w:rPr>
          <w:rFonts w:ascii="Open Sans" w:hAnsi="Open Sans" w:cs="Open Sans"/>
          <w:i/>
          <w:iCs/>
          <w:color w:val="888888"/>
          <w:sz w:val="18"/>
          <w:szCs w:val="18"/>
        </w:rPr>
        <w:t>Centrum Unijnych Projektów Transportowych | Departament Analiz Transportowych | kontakt: www.cupt.gov.pl</w:t>
      </w:r>
    </w:p>
    <w:sectPr w:rsidR="00125495" w:rsidRPr="004F469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DD0F" w14:textId="77777777" w:rsidR="004F45D7" w:rsidRDefault="004F45D7">
      <w:r>
        <w:separator/>
      </w:r>
    </w:p>
  </w:endnote>
  <w:endnote w:type="continuationSeparator" w:id="0">
    <w:p w14:paraId="2CC68DF0" w14:textId="77777777" w:rsidR="004F45D7" w:rsidRDefault="004F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F743" w14:textId="77777777" w:rsidR="00125495" w:rsidRDefault="003A74F4">
    <w:pPr>
      <w:pBdr>
        <w:top w:val="single" w:sz="4" w:space="2" w:color="2E75B6"/>
      </w:pBdr>
      <w:tabs>
        <w:tab w:val="right" w:pos="9026"/>
      </w:tabs>
      <w:spacing w:before="80"/>
    </w:pPr>
    <w:r>
      <w:rPr>
        <w:color w:val="666666"/>
        <w:sz w:val="18"/>
        <w:szCs w:val="18"/>
      </w:rPr>
      <w:t>Centrum Unijnych Projektów Transportowych | Transportowe Obserwatorium Badawcze</w:t>
    </w:r>
    <w:r>
      <w:rPr>
        <w:color w:val="666666"/>
        <w:sz w:val="18"/>
        <w:szCs w:val="18"/>
      </w:rPr>
      <w:tab/>
      <w:t xml:space="preserve">Strona </w:t>
    </w:r>
    <w:r>
      <w:rPr>
        <w:color w:val="666666"/>
        <w:sz w:val="18"/>
        <w:szCs w:val="18"/>
      </w:rPr>
      <w:fldChar w:fldCharType="begin"/>
    </w:r>
    <w:r>
      <w:rPr>
        <w:color w:val="666666"/>
        <w:sz w:val="18"/>
        <w:szCs w:val="18"/>
      </w:rPr>
      <w:instrText>PAGE</w:instrText>
    </w:r>
    <w:r>
      <w:rPr>
        <w:color w:val="666666"/>
        <w:sz w:val="18"/>
        <w:szCs w:val="18"/>
      </w:rPr>
      <w:fldChar w:fldCharType="separate"/>
    </w:r>
    <w:r w:rsidR="005D3385">
      <w:rPr>
        <w:noProof/>
        <w:color w:val="666666"/>
        <w:sz w:val="18"/>
        <w:szCs w:val="18"/>
      </w:rPr>
      <w:t>9</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EF08" w14:textId="77777777" w:rsidR="004F45D7" w:rsidRDefault="004F45D7">
      <w:r>
        <w:separator/>
      </w:r>
    </w:p>
  </w:footnote>
  <w:footnote w:type="continuationSeparator" w:id="0">
    <w:p w14:paraId="33E44029" w14:textId="77777777" w:rsidR="004F45D7" w:rsidRDefault="004F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4537" w14:textId="77777777" w:rsidR="00125495" w:rsidRDefault="004F4690">
    <w:pPr>
      <w:pBdr>
        <w:bottom w:val="single" w:sz="6" w:space="2" w:color="2E75B6"/>
      </w:pBdr>
      <w:spacing w:after="80"/>
    </w:pPr>
    <w:r>
      <w:rPr>
        <w:color w:val="666666"/>
        <w:sz w:val="18"/>
        <w:szCs w:val="18"/>
      </w:rPr>
      <w:t>RAPORT ANALITYCZNY | 56</w:t>
    </w:r>
    <w:r w:rsidR="003A74F4">
      <w:rPr>
        <w:color w:val="666666"/>
        <w:sz w:val="18"/>
        <w:szCs w:val="18"/>
      </w:rPr>
      <w:t>. spotkanie TOB - CUPT | 26.02.2026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1287"/>
    <w:multiLevelType w:val="hybridMultilevel"/>
    <w:tmpl w:val="0510AA36"/>
    <w:lvl w:ilvl="0" w:tplc="77FC933E">
      <w:start w:val="1"/>
      <w:numFmt w:val="decimal"/>
      <w:lvlText w:val="%1."/>
      <w:lvlJc w:val="left"/>
      <w:pPr>
        <w:ind w:left="720" w:hanging="360"/>
      </w:pPr>
    </w:lvl>
    <w:lvl w:ilvl="1" w:tplc="1CA8BABE">
      <w:numFmt w:val="decimal"/>
      <w:lvlText w:val=""/>
      <w:lvlJc w:val="left"/>
    </w:lvl>
    <w:lvl w:ilvl="2" w:tplc="C394A7FA">
      <w:numFmt w:val="decimal"/>
      <w:lvlText w:val=""/>
      <w:lvlJc w:val="left"/>
    </w:lvl>
    <w:lvl w:ilvl="3" w:tplc="C0865832">
      <w:numFmt w:val="decimal"/>
      <w:lvlText w:val=""/>
      <w:lvlJc w:val="left"/>
    </w:lvl>
    <w:lvl w:ilvl="4" w:tplc="041C0292">
      <w:numFmt w:val="decimal"/>
      <w:lvlText w:val=""/>
      <w:lvlJc w:val="left"/>
    </w:lvl>
    <w:lvl w:ilvl="5" w:tplc="D3D2B33E">
      <w:numFmt w:val="decimal"/>
      <w:lvlText w:val=""/>
      <w:lvlJc w:val="left"/>
    </w:lvl>
    <w:lvl w:ilvl="6" w:tplc="0A0AA072">
      <w:numFmt w:val="decimal"/>
      <w:lvlText w:val=""/>
      <w:lvlJc w:val="left"/>
    </w:lvl>
    <w:lvl w:ilvl="7" w:tplc="A9D4C96A">
      <w:numFmt w:val="decimal"/>
      <w:lvlText w:val=""/>
      <w:lvlJc w:val="left"/>
    </w:lvl>
    <w:lvl w:ilvl="8" w:tplc="83ACE81E">
      <w:numFmt w:val="decimal"/>
      <w:lvlText w:val=""/>
      <w:lvlJc w:val="left"/>
    </w:lvl>
  </w:abstractNum>
  <w:abstractNum w:abstractNumId="1" w15:restartNumberingAfterBreak="0">
    <w:nsid w:val="38525F70"/>
    <w:multiLevelType w:val="hybridMultilevel"/>
    <w:tmpl w:val="0CB28076"/>
    <w:lvl w:ilvl="0" w:tplc="9EF472D8">
      <w:start w:val="1"/>
      <w:numFmt w:val="bullet"/>
      <w:lvlText w:val="•"/>
      <w:lvlJc w:val="left"/>
      <w:pPr>
        <w:ind w:left="720" w:hanging="360"/>
      </w:pPr>
      <w:rPr>
        <w:color w:val="2E75B6"/>
      </w:rPr>
    </w:lvl>
    <w:lvl w:ilvl="1" w:tplc="3DC07822">
      <w:numFmt w:val="decimal"/>
      <w:lvlText w:val=""/>
      <w:lvlJc w:val="left"/>
    </w:lvl>
    <w:lvl w:ilvl="2" w:tplc="0C102A4A">
      <w:numFmt w:val="decimal"/>
      <w:lvlText w:val=""/>
      <w:lvlJc w:val="left"/>
    </w:lvl>
    <w:lvl w:ilvl="3" w:tplc="E836ED00">
      <w:numFmt w:val="decimal"/>
      <w:lvlText w:val=""/>
      <w:lvlJc w:val="left"/>
    </w:lvl>
    <w:lvl w:ilvl="4" w:tplc="BCF2051C">
      <w:numFmt w:val="decimal"/>
      <w:lvlText w:val=""/>
      <w:lvlJc w:val="left"/>
    </w:lvl>
    <w:lvl w:ilvl="5" w:tplc="6EF2AAE0">
      <w:numFmt w:val="decimal"/>
      <w:lvlText w:val=""/>
      <w:lvlJc w:val="left"/>
    </w:lvl>
    <w:lvl w:ilvl="6" w:tplc="C8D63340">
      <w:numFmt w:val="decimal"/>
      <w:lvlText w:val=""/>
      <w:lvlJc w:val="left"/>
    </w:lvl>
    <w:lvl w:ilvl="7" w:tplc="8FC2AFB6">
      <w:numFmt w:val="decimal"/>
      <w:lvlText w:val=""/>
      <w:lvlJc w:val="left"/>
    </w:lvl>
    <w:lvl w:ilvl="8" w:tplc="4B349D6E">
      <w:numFmt w:val="decimal"/>
      <w:lvlText w:val=""/>
      <w:lvlJc w:val="left"/>
    </w:lvl>
  </w:abstractNum>
  <w:abstractNum w:abstractNumId="2" w15:restartNumberingAfterBreak="0">
    <w:nsid w:val="543258EF"/>
    <w:multiLevelType w:val="hybridMultilevel"/>
    <w:tmpl w:val="0FF0B15C"/>
    <w:lvl w:ilvl="0" w:tplc="921CABA0">
      <w:start w:val="1"/>
      <w:numFmt w:val="bullet"/>
      <w:lvlText w:val="●"/>
      <w:lvlJc w:val="left"/>
      <w:pPr>
        <w:ind w:left="720" w:hanging="360"/>
      </w:pPr>
    </w:lvl>
    <w:lvl w:ilvl="1" w:tplc="C2DC0662">
      <w:start w:val="1"/>
      <w:numFmt w:val="bullet"/>
      <w:lvlText w:val="○"/>
      <w:lvlJc w:val="left"/>
      <w:pPr>
        <w:ind w:left="1440" w:hanging="360"/>
      </w:pPr>
    </w:lvl>
    <w:lvl w:ilvl="2" w:tplc="330A7CE6">
      <w:start w:val="1"/>
      <w:numFmt w:val="bullet"/>
      <w:lvlText w:val="■"/>
      <w:lvlJc w:val="left"/>
      <w:pPr>
        <w:ind w:left="2160" w:hanging="360"/>
      </w:pPr>
    </w:lvl>
    <w:lvl w:ilvl="3" w:tplc="1F78C63A">
      <w:start w:val="1"/>
      <w:numFmt w:val="bullet"/>
      <w:lvlText w:val="●"/>
      <w:lvlJc w:val="left"/>
      <w:pPr>
        <w:ind w:left="2880" w:hanging="360"/>
      </w:pPr>
    </w:lvl>
    <w:lvl w:ilvl="4" w:tplc="2A2890A2">
      <w:start w:val="1"/>
      <w:numFmt w:val="bullet"/>
      <w:lvlText w:val="○"/>
      <w:lvlJc w:val="left"/>
      <w:pPr>
        <w:ind w:left="3600" w:hanging="360"/>
      </w:pPr>
    </w:lvl>
    <w:lvl w:ilvl="5" w:tplc="121064E0">
      <w:start w:val="1"/>
      <w:numFmt w:val="bullet"/>
      <w:lvlText w:val="■"/>
      <w:lvlJc w:val="left"/>
      <w:pPr>
        <w:ind w:left="4320" w:hanging="360"/>
      </w:pPr>
    </w:lvl>
    <w:lvl w:ilvl="6" w:tplc="6B68DC3E">
      <w:start w:val="1"/>
      <w:numFmt w:val="bullet"/>
      <w:lvlText w:val="●"/>
      <w:lvlJc w:val="left"/>
      <w:pPr>
        <w:ind w:left="5040" w:hanging="360"/>
      </w:pPr>
    </w:lvl>
    <w:lvl w:ilvl="7" w:tplc="E6EED9D0">
      <w:start w:val="1"/>
      <w:numFmt w:val="bullet"/>
      <w:lvlText w:val="●"/>
      <w:lvlJc w:val="left"/>
      <w:pPr>
        <w:ind w:left="5760" w:hanging="360"/>
      </w:pPr>
    </w:lvl>
    <w:lvl w:ilvl="8" w:tplc="96140050">
      <w:start w:val="1"/>
      <w:numFmt w:val="bullet"/>
      <w:lvlText w:val="●"/>
      <w:lvlJc w:val="left"/>
      <w:pPr>
        <w:ind w:left="6480" w:hanging="360"/>
      </w:pPr>
    </w:lvl>
  </w:abstractNum>
  <w:num w:numId="1" w16cid:durableId="1738162430">
    <w:abstractNumId w:val="2"/>
    <w:lvlOverride w:ilvl="0">
      <w:startOverride w:val="1"/>
    </w:lvlOverride>
  </w:num>
  <w:num w:numId="2" w16cid:durableId="5379358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95"/>
    <w:rsid w:val="0006137E"/>
    <w:rsid w:val="00125495"/>
    <w:rsid w:val="00142968"/>
    <w:rsid w:val="00214E9C"/>
    <w:rsid w:val="0023270D"/>
    <w:rsid w:val="002821CD"/>
    <w:rsid w:val="002A25C7"/>
    <w:rsid w:val="002C4288"/>
    <w:rsid w:val="003A74F4"/>
    <w:rsid w:val="003C5A56"/>
    <w:rsid w:val="00412187"/>
    <w:rsid w:val="004306E0"/>
    <w:rsid w:val="004F45D7"/>
    <w:rsid w:val="004F4690"/>
    <w:rsid w:val="005D3385"/>
    <w:rsid w:val="00641433"/>
    <w:rsid w:val="006F7F13"/>
    <w:rsid w:val="007E2C6C"/>
    <w:rsid w:val="007E2ECF"/>
    <w:rsid w:val="00C2222B"/>
    <w:rsid w:val="00E55682"/>
    <w:rsid w:val="00E97CBE"/>
    <w:rsid w:val="00F97BC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2020"/>
  <w15:docId w15:val="{24C3E806-EE90-4652-86E5-DBA5D7DD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qFormat/>
    <w:pPr>
      <w:spacing w:before="360" w:after="120"/>
      <w:outlineLvl w:val="0"/>
    </w:pPr>
    <w:rPr>
      <w:b/>
      <w:bCs/>
      <w:color w:val="1F4E79"/>
      <w:sz w:val="28"/>
      <w:szCs w:val="28"/>
    </w:rPr>
  </w:style>
  <w:style w:type="paragraph" w:styleId="Nagwek2">
    <w:name w:val="heading 2"/>
    <w:qFormat/>
    <w:pPr>
      <w:spacing w:before="240" w:after="80"/>
      <w:outlineLvl w:val="1"/>
    </w:pPr>
    <w:rPr>
      <w:b/>
      <w:bCs/>
      <w:color w:val="2E75B6"/>
      <w:sz w:val="24"/>
      <w:szCs w:val="24"/>
    </w:rPr>
  </w:style>
  <w:style w:type="paragraph" w:styleId="Nagwek3">
    <w:name w:val="heading 3"/>
    <w:qFormat/>
    <w:pPr>
      <w:outlineLvl w:val="2"/>
    </w:pPr>
    <w:rPr>
      <w:color w:val="1F4D78"/>
      <w:sz w:val="24"/>
      <w:szCs w:val="24"/>
    </w:rPr>
  </w:style>
  <w:style w:type="paragraph" w:styleId="Nagwek4">
    <w:name w:val="heading 4"/>
    <w:qFormat/>
    <w:pPr>
      <w:outlineLvl w:val="3"/>
    </w:pPr>
    <w:rPr>
      <w:i/>
      <w:iCs/>
      <w:color w:val="2E74B5"/>
    </w:rPr>
  </w:style>
  <w:style w:type="paragraph" w:styleId="Nagwek5">
    <w:name w:val="heading 5"/>
    <w:qFormat/>
    <w:pPr>
      <w:outlineLvl w:val="4"/>
    </w:pPr>
    <w:rPr>
      <w:color w:val="2E74B5"/>
    </w:rPr>
  </w:style>
  <w:style w:type="paragraph" w:styleId="Nagwek6">
    <w:name w:val="heading 6"/>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F4690"/>
    <w:pPr>
      <w:tabs>
        <w:tab w:val="center" w:pos="4536"/>
        <w:tab w:val="right" w:pos="9072"/>
      </w:tabs>
    </w:pPr>
  </w:style>
  <w:style w:type="character" w:customStyle="1" w:styleId="NagwekZnak">
    <w:name w:val="Nagłówek Znak"/>
    <w:basedOn w:val="Domylnaczcionkaakapitu"/>
    <w:link w:val="Nagwek"/>
    <w:uiPriority w:val="99"/>
    <w:rsid w:val="004F4690"/>
  </w:style>
  <w:style w:type="paragraph" w:styleId="Stopka">
    <w:name w:val="footer"/>
    <w:basedOn w:val="Normalny"/>
    <w:link w:val="StopkaZnak"/>
    <w:uiPriority w:val="99"/>
    <w:unhideWhenUsed/>
    <w:rsid w:val="004F4690"/>
    <w:pPr>
      <w:tabs>
        <w:tab w:val="center" w:pos="4536"/>
        <w:tab w:val="right" w:pos="9072"/>
      </w:tabs>
    </w:pPr>
  </w:style>
  <w:style w:type="character" w:customStyle="1" w:styleId="StopkaZnak">
    <w:name w:val="Stopka Znak"/>
    <w:basedOn w:val="Domylnaczcionkaakapitu"/>
    <w:link w:val="Stopka"/>
    <w:uiPriority w:val="99"/>
    <w:rsid w:val="004F4690"/>
  </w:style>
  <w:style w:type="paragraph" w:styleId="NormalnyWeb">
    <w:name w:val="Normal (Web)"/>
    <w:basedOn w:val="Normalny"/>
    <w:uiPriority w:val="99"/>
    <w:semiHidden/>
    <w:unhideWhenUsed/>
    <w:rsid w:val="004F4690"/>
    <w:pPr>
      <w:spacing w:before="100" w:beforeAutospacing="1" w:after="100" w:afterAutospacing="1"/>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1218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2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02812">
      <w:bodyDiv w:val="1"/>
      <w:marLeft w:val="0"/>
      <w:marRight w:val="0"/>
      <w:marTop w:val="0"/>
      <w:marBottom w:val="0"/>
      <w:divBdr>
        <w:top w:val="none" w:sz="0" w:space="0" w:color="auto"/>
        <w:left w:val="none" w:sz="0" w:space="0" w:color="auto"/>
        <w:bottom w:val="none" w:sz="0" w:space="0" w:color="auto"/>
        <w:right w:val="none" w:sz="0" w:space="0" w:color="auto"/>
      </w:divBdr>
    </w:div>
    <w:div w:id="1778020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2246</Words>
  <Characters>13477</Characters>
  <Application>Microsoft Office Word</Application>
  <DocSecurity>4</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cupt.local</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Marta Pytkowska</cp:lastModifiedBy>
  <cp:revision>2</cp:revision>
  <dcterms:created xsi:type="dcterms:W3CDTF">2026-06-18T12:57:00Z</dcterms:created>
  <dcterms:modified xsi:type="dcterms:W3CDTF">2026-06-18T12:57:00Z</dcterms:modified>
</cp:coreProperties>
</file>