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charts/chart23.xml" ContentType="application/vnd.openxmlformats-officedocument.drawingml.chart+xml"/>
  <Override PartName="/word/charts/style23.xml" ContentType="application/vnd.ms-office.chartstyle+xml"/>
  <Override PartName="/word/charts/colors23.xml" ContentType="application/vnd.ms-office.chartcolorstyle+xml"/>
  <Override PartName="/word/charts/chart24.xml" ContentType="application/vnd.openxmlformats-officedocument.drawingml.chart+xml"/>
  <Override PartName="/word/charts/style24.xml" ContentType="application/vnd.ms-office.chartstyle+xml"/>
  <Override PartName="/word/charts/colors24.xml" ContentType="application/vnd.ms-office.chartcolorstyle+xml"/>
  <Override PartName="/word/charts/chart25.xml" ContentType="application/vnd.openxmlformats-officedocument.drawingml.chart+xml"/>
  <Override PartName="/word/charts/style25.xml" ContentType="application/vnd.ms-office.chartstyle+xml"/>
  <Override PartName="/word/charts/colors25.xml" ContentType="application/vnd.ms-office.chartcolorstyle+xml"/>
  <Override PartName="/word/charts/chart26.xml" ContentType="application/vnd.openxmlformats-officedocument.drawingml.chart+xml"/>
  <Override PartName="/word/charts/style26.xml" ContentType="application/vnd.ms-office.chartstyle+xml"/>
  <Override PartName="/word/charts/colors26.xml" ContentType="application/vnd.ms-office.chartcolorstyle+xml"/>
  <Override PartName="/word/charts/chart27.xml" ContentType="application/vnd.openxmlformats-officedocument.drawingml.chart+xml"/>
  <Override PartName="/word/charts/style27.xml" ContentType="application/vnd.ms-office.chartstyle+xml"/>
  <Override PartName="/word/charts/colors27.xml" ContentType="application/vnd.ms-office.chartcolorstyle+xml"/>
  <Override PartName="/word/charts/chart28.xml" ContentType="application/vnd.openxmlformats-officedocument.drawingml.chart+xml"/>
  <Override PartName="/word/charts/style28.xml" ContentType="application/vnd.ms-office.chartstyle+xml"/>
  <Override PartName="/word/charts/colors28.xml" ContentType="application/vnd.ms-office.chartcolorstyle+xml"/>
  <Override PartName="/word/charts/chart29.xml" ContentType="application/vnd.openxmlformats-officedocument.drawingml.chart+xml"/>
  <Override PartName="/word/charts/style29.xml" ContentType="application/vnd.ms-office.chartstyle+xml"/>
  <Override PartName="/word/charts/colors29.xml" ContentType="application/vnd.ms-office.chartcolorstyle+xml"/>
  <Override PartName="/word/charts/chart30.xml" ContentType="application/vnd.openxmlformats-officedocument.drawingml.chart+xml"/>
  <Override PartName="/word/charts/style30.xml" ContentType="application/vnd.ms-office.chartstyle+xml"/>
  <Override PartName="/word/charts/colors30.xml" ContentType="application/vnd.ms-office.chartcolorstyle+xml"/>
  <Override PartName="/word/charts/chart31.xml" ContentType="application/vnd.openxmlformats-officedocument.drawingml.chart+xml"/>
  <Override PartName="/word/charts/style31.xml" ContentType="application/vnd.ms-office.chartstyle+xml"/>
  <Override PartName="/word/charts/colors31.xml" ContentType="application/vnd.ms-office.chartcolorstyle+xml"/>
  <Override PartName="/word/charts/chart32.xml" ContentType="application/vnd.openxmlformats-officedocument.drawingml.chart+xml"/>
  <Override PartName="/word/charts/style32.xml" ContentType="application/vnd.ms-office.chartstyle+xml"/>
  <Override PartName="/word/charts/colors32.xml" ContentType="application/vnd.ms-office.chartcolorstyle+xml"/>
  <Override PartName="/word/charts/chart33.xml" ContentType="application/vnd.openxmlformats-officedocument.drawingml.chart+xml"/>
  <Override PartName="/word/charts/style33.xml" ContentType="application/vnd.ms-office.chartstyle+xml"/>
  <Override PartName="/word/charts/colors33.xml" ContentType="application/vnd.ms-office.chartcolorstyle+xml"/>
  <Override PartName="/word/charts/chart34.xml" ContentType="application/vnd.openxmlformats-officedocument.drawingml.chart+xml"/>
  <Override PartName="/word/charts/style34.xml" ContentType="application/vnd.ms-office.chartstyle+xml"/>
  <Override PartName="/word/charts/colors34.xml" ContentType="application/vnd.ms-office.chartcolorstyle+xml"/>
  <Override PartName="/word/charts/chart35.xml" ContentType="application/vnd.openxmlformats-officedocument.drawingml.chart+xml"/>
  <Override PartName="/word/charts/style35.xml" ContentType="application/vnd.ms-office.chartstyle+xml"/>
  <Override PartName="/word/charts/colors35.xml" ContentType="application/vnd.ms-office.chartcolorstyle+xml"/>
  <Override PartName="/word/charts/chart36.xml" ContentType="application/vnd.openxmlformats-officedocument.drawingml.chart+xml"/>
  <Override PartName="/word/charts/style36.xml" ContentType="application/vnd.ms-office.chartstyle+xml"/>
  <Override PartName="/word/charts/colors36.xml" ContentType="application/vnd.ms-office.chartcolorstyle+xml"/>
  <Override PartName="/word/charts/chart37.xml" ContentType="application/vnd.openxmlformats-officedocument.drawingml.chart+xml"/>
  <Override PartName="/word/charts/style37.xml" ContentType="application/vnd.ms-office.chartstyle+xml"/>
  <Override PartName="/word/charts/colors37.xml" ContentType="application/vnd.ms-office.chartcolorstyle+xml"/>
  <Override PartName="/word/charts/chart38.xml" ContentType="application/vnd.openxmlformats-officedocument.drawingml.chart+xml"/>
  <Override PartName="/word/charts/style38.xml" ContentType="application/vnd.ms-office.chartstyle+xml"/>
  <Override PartName="/word/charts/colors38.xml" ContentType="application/vnd.ms-office.chartcolorstyle+xml"/>
  <Override PartName="/word/charts/chart39.xml" ContentType="application/vnd.openxmlformats-officedocument.drawingml.chart+xml"/>
  <Override PartName="/word/charts/style39.xml" ContentType="application/vnd.ms-office.chartstyle+xml"/>
  <Override PartName="/word/charts/colors39.xml" ContentType="application/vnd.ms-office.chartcolorstyle+xml"/>
  <Override PartName="/word/charts/chart40.xml" ContentType="application/vnd.openxmlformats-officedocument.drawingml.chart+xml"/>
  <Override PartName="/word/charts/style40.xml" ContentType="application/vnd.ms-office.chartstyle+xml"/>
  <Override PartName="/word/charts/colors40.xml" ContentType="application/vnd.ms-office.chartcolorstyle+xml"/>
  <Override PartName="/word/charts/chart41.xml" ContentType="application/vnd.openxmlformats-officedocument.drawingml.chart+xml"/>
  <Override PartName="/word/charts/style41.xml" ContentType="application/vnd.ms-office.chartstyle+xml"/>
  <Override PartName="/word/charts/colors41.xml" ContentType="application/vnd.ms-office.chartcolorstyle+xml"/>
  <Override PartName="/word/charts/chart42.xml" ContentType="application/vnd.openxmlformats-officedocument.drawingml.chart+xml"/>
  <Override PartName="/word/charts/style42.xml" ContentType="application/vnd.ms-office.chartstyle+xml"/>
  <Override PartName="/word/charts/colors42.xml" ContentType="application/vnd.ms-office.chartcolorstyle+xml"/>
  <Override PartName="/word/charts/chart43.xml" ContentType="application/vnd.openxmlformats-officedocument.drawingml.chart+xml"/>
  <Override PartName="/word/charts/style43.xml" ContentType="application/vnd.ms-office.chartstyle+xml"/>
  <Override PartName="/word/charts/colors43.xml" ContentType="application/vnd.ms-office.chartcolorstyle+xml"/>
  <Override PartName="/word/charts/chart44.xml" ContentType="application/vnd.openxmlformats-officedocument.drawingml.chart+xml"/>
  <Override PartName="/word/charts/style44.xml" ContentType="application/vnd.ms-office.chartstyle+xml"/>
  <Override PartName="/word/charts/colors44.xml" ContentType="application/vnd.ms-office.chartcolorstyle+xml"/>
  <Override PartName="/word/charts/chart45.xml" ContentType="application/vnd.openxmlformats-officedocument.drawingml.chart+xml"/>
  <Override PartName="/word/charts/style45.xml" ContentType="application/vnd.ms-office.chartstyle+xml"/>
  <Override PartName="/word/charts/colors45.xml" ContentType="application/vnd.ms-office.chartcolorstyle+xml"/>
  <Override PartName="/word/charts/chart46.xml" ContentType="application/vnd.openxmlformats-officedocument.drawingml.chart+xml"/>
  <Override PartName="/word/charts/style46.xml" ContentType="application/vnd.ms-office.chartstyle+xml"/>
  <Override PartName="/word/charts/colors46.xml" ContentType="application/vnd.ms-office.chartcolorstyle+xml"/>
  <Override PartName="/word/charts/chart47.xml" ContentType="application/vnd.openxmlformats-officedocument.drawingml.chart+xml"/>
  <Override PartName="/word/charts/style47.xml" ContentType="application/vnd.ms-office.chartstyle+xml"/>
  <Override PartName="/word/charts/colors47.xml" ContentType="application/vnd.ms-office.chartcolorstyle+xml"/>
  <Override PartName="/word/charts/chart48.xml" ContentType="application/vnd.openxmlformats-officedocument.drawingml.chart+xml"/>
  <Override PartName="/word/charts/style48.xml" ContentType="application/vnd.ms-office.chartstyle+xml"/>
  <Override PartName="/word/charts/colors48.xml" ContentType="application/vnd.ms-office.chartcolorstyle+xml"/>
  <Override PartName="/word/charts/chart49.xml" ContentType="application/vnd.openxmlformats-officedocument.drawingml.chart+xml"/>
  <Override PartName="/word/charts/style49.xml" ContentType="application/vnd.ms-office.chartstyle+xml"/>
  <Override PartName="/word/charts/colors49.xml" ContentType="application/vnd.ms-office.chartcolorstyle+xml"/>
  <Override PartName="/word/drawings/drawing1.xml" ContentType="application/vnd.openxmlformats-officedocument.drawingml.chartshapes+xml"/>
  <Override PartName="/word/charts/chart50.xml" ContentType="application/vnd.openxmlformats-officedocument.drawingml.chart+xml"/>
  <Override PartName="/word/charts/style50.xml" ContentType="application/vnd.ms-office.chartstyle+xml"/>
  <Override PartName="/word/charts/colors50.xml" ContentType="application/vnd.ms-office.chartcolorstyle+xml"/>
  <Override PartName="/word/charts/chart51.xml" ContentType="application/vnd.openxmlformats-officedocument.drawingml.chart+xml"/>
  <Override PartName="/word/charts/style51.xml" ContentType="application/vnd.ms-office.chartstyle+xml"/>
  <Override PartName="/word/charts/colors51.xml" ContentType="application/vnd.ms-office.chartcolorstyle+xml"/>
  <Override PartName="/word/charts/chart52.xml" ContentType="application/vnd.openxmlformats-officedocument.drawingml.chart+xml"/>
  <Override PartName="/word/charts/style52.xml" ContentType="application/vnd.ms-office.chartstyle+xml"/>
  <Override PartName="/word/charts/colors52.xml" ContentType="application/vnd.ms-office.chartcolorstyle+xml"/>
  <Override PartName="/word/charts/chart53.xml" ContentType="application/vnd.openxmlformats-officedocument.drawingml.chart+xml"/>
  <Override PartName="/word/charts/style53.xml" ContentType="application/vnd.ms-office.chartstyle+xml"/>
  <Override PartName="/word/charts/colors53.xml" ContentType="application/vnd.ms-office.chartcolorstyle+xml"/>
  <Override PartName="/word/charts/chart54.xml" ContentType="application/vnd.openxmlformats-officedocument.drawingml.chart+xml"/>
  <Override PartName="/word/charts/style54.xml" ContentType="application/vnd.ms-office.chartstyle+xml"/>
  <Override PartName="/word/charts/colors54.xml" ContentType="application/vnd.ms-office.chartcolorstyle+xml"/>
  <Override PartName="/word/charts/chart55.xml" ContentType="application/vnd.openxmlformats-officedocument.drawingml.chart+xml"/>
  <Override PartName="/word/charts/style55.xml" ContentType="application/vnd.ms-office.chartstyle+xml"/>
  <Override PartName="/word/charts/colors55.xml" ContentType="application/vnd.ms-office.chartcolorstyle+xml"/>
  <Override PartName="/word/charts/chart56.xml" ContentType="application/vnd.openxmlformats-officedocument.drawingml.chart+xml"/>
  <Override PartName="/word/charts/style56.xml" ContentType="application/vnd.ms-office.chartstyle+xml"/>
  <Override PartName="/word/charts/colors56.xml" ContentType="application/vnd.ms-office.chartcolorstyle+xml"/>
  <Override PartName="/word/charts/chart57.xml" ContentType="application/vnd.openxmlformats-officedocument.drawingml.chart+xml"/>
  <Override PartName="/word/charts/style57.xml" ContentType="application/vnd.ms-office.chartstyle+xml"/>
  <Override PartName="/word/charts/colors57.xml" ContentType="application/vnd.ms-office.chartcolorstyle+xml"/>
  <Override PartName="/word/charts/chart58.xml" ContentType="application/vnd.openxmlformats-officedocument.drawingml.chart+xml"/>
  <Override PartName="/word/charts/style58.xml" ContentType="application/vnd.ms-office.chartstyle+xml"/>
  <Override PartName="/word/charts/colors58.xml" ContentType="application/vnd.ms-office.chartcolorstyle+xml"/>
  <Override PartName="/word/charts/chart59.xml" ContentType="application/vnd.openxmlformats-officedocument.drawingml.chart+xml"/>
  <Override PartName="/word/charts/style59.xml" ContentType="application/vnd.ms-office.chartstyle+xml"/>
  <Override PartName="/word/charts/colors59.xml" ContentType="application/vnd.ms-office.chartcolorstyle+xml"/>
  <Override PartName="/word/charts/chart60.xml" ContentType="application/vnd.openxmlformats-officedocument.drawingml.chart+xml"/>
  <Override PartName="/word/charts/style60.xml" ContentType="application/vnd.ms-office.chartstyle+xml"/>
  <Override PartName="/word/charts/colors60.xml" ContentType="application/vnd.ms-office.chartcolorstyle+xml"/>
  <Override PartName="/word/charts/chart61.xml" ContentType="application/vnd.openxmlformats-officedocument.drawingml.chart+xml"/>
  <Override PartName="/word/charts/style61.xml" ContentType="application/vnd.ms-office.chartstyle+xml"/>
  <Override PartName="/word/charts/colors61.xml" ContentType="application/vnd.ms-office.chartcolorstyle+xml"/>
  <Override PartName="/word/charts/chart62.xml" ContentType="application/vnd.openxmlformats-officedocument.drawingml.chart+xml"/>
  <Override PartName="/word/charts/style62.xml" ContentType="application/vnd.ms-office.chartstyle+xml"/>
  <Override PartName="/word/charts/colors62.xml" ContentType="application/vnd.ms-office.chartcolorstyle+xml"/>
  <Override PartName="/word/charts/chart63.xml" ContentType="application/vnd.openxmlformats-officedocument.drawingml.chart+xml"/>
  <Override PartName="/word/charts/style63.xml" ContentType="application/vnd.ms-office.chartstyle+xml"/>
  <Override PartName="/word/charts/colors63.xml" ContentType="application/vnd.ms-office.chartcolorstyle+xml"/>
  <Override PartName="/word/charts/chart64.xml" ContentType="application/vnd.openxmlformats-officedocument.drawingml.chart+xml"/>
  <Override PartName="/word/charts/style64.xml" ContentType="application/vnd.ms-office.chartstyle+xml"/>
  <Override PartName="/word/charts/colors64.xml" ContentType="application/vnd.ms-office.chartcolorstyle+xml"/>
  <Override PartName="/word/charts/chart65.xml" ContentType="application/vnd.openxmlformats-officedocument.drawingml.chart+xml"/>
  <Override PartName="/word/charts/style65.xml" ContentType="application/vnd.ms-office.chartstyle+xml"/>
  <Override PartName="/word/charts/colors65.xml" ContentType="application/vnd.ms-office.chartcolorstyle+xml"/>
  <Override PartName="/word/charts/chart66.xml" ContentType="application/vnd.openxmlformats-officedocument.drawingml.chart+xml"/>
  <Override PartName="/word/charts/style66.xml" ContentType="application/vnd.ms-office.chartstyle+xml"/>
  <Override PartName="/word/charts/colors66.xml" ContentType="application/vnd.ms-office.chartcolorstyle+xml"/>
  <Override PartName="/word/charts/chart67.xml" ContentType="application/vnd.openxmlformats-officedocument.drawingml.chart+xml"/>
  <Override PartName="/word/charts/style67.xml" ContentType="application/vnd.ms-office.chartstyle+xml"/>
  <Override PartName="/word/charts/colors67.xml" ContentType="application/vnd.ms-office.chartcolorstyle+xml"/>
  <Override PartName="/word/charts/chart68.xml" ContentType="application/vnd.openxmlformats-officedocument.drawingml.chart+xml"/>
  <Override PartName="/word/charts/style68.xml" ContentType="application/vnd.ms-office.chartstyle+xml"/>
  <Override PartName="/word/charts/colors68.xml" ContentType="application/vnd.ms-office.chartcolorstyle+xml"/>
  <Override PartName="/word/charts/chart69.xml" ContentType="application/vnd.openxmlformats-officedocument.drawingml.chart+xml"/>
  <Override PartName="/word/charts/style69.xml" ContentType="application/vnd.ms-office.chartstyle+xml"/>
  <Override PartName="/word/charts/colors69.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Arial" w:eastAsiaTheme="minorHAnsi" w:hAnsi="Arial" w:cs="Arial"/>
          <w:color w:val="4472C4" w:themeColor="accent1"/>
          <w:kern w:val="2"/>
          <w:sz w:val="24"/>
          <w:szCs w:val="24"/>
          <w:lang w:eastAsia="en-US"/>
          <w14:ligatures w14:val="standardContextual"/>
        </w:rPr>
        <w:id w:val="-1039433739"/>
        <w:docPartObj>
          <w:docPartGallery w:val="Cover Pages"/>
          <w:docPartUnique/>
        </w:docPartObj>
      </w:sdtPr>
      <w:sdtEndPr>
        <w:rPr>
          <w:color w:val="FFFFFF" w:themeColor="background1"/>
        </w:rPr>
      </w:sdtEndPr>
      <w:sdtContent>
        <w:p w14:paraId="566C5C13" w14:textId="7854898E" w:rsidR="00F91AB2" w:rsidRPr="0028226B" w:rsidRDefault="00F76570" w:rsidP="00F91AB2">
          <w:pPr>
            <w:pStyle w:val="Bezodstpw"/>
            <w:spacing w:before="1540" w:after="240"/>
            <w:jc w:val="center"/>
            <w:rPr>
              <w:rFonts w:ascii="Arial" w:eastAsiaTheme="majorEastAsia" w:hAnsi="Arial" w:cs="Arial"/>
              <w:caps/>
              <w:color w:val="4472C4" w:themeColor="accent1"/>
              <w:sz w:val="24"/>
              <w:szCs w:val="24"/>
            </w:rPr>
          </w:pPr>
          <w:r>
            <w:rPr>
              <w:rFonts w:ascii="Arial" w:eastAsiaTheme="majorEastAsia" w:hAnsi="Arial" w:cs="Arial"/>
              <w:caps/>
              <w:noProof/>
              <w:color w:val="4472C4" w:themeColor="accent1"/>
              <w:sz w:val="24"/>
              <w:szCs w:val="24"/>
              <w14:ligatures w14:val="standardContextual"/>
            </w:rPr>
            <w:drawing>
              <wp:anchor distT="0" distB="0" distL="114300" distR="114300" simplePos="0" relativeHeight="251658240" behindDoc="0" locked="0" layoutInCell="1" allowOverlap="1" wp14:anchorId="5E2E11F5" wp14:editId="4E23108E">
                <wp:simplePos x="0" y="0"/>
                <wp:positionH relativeFrom="page">
                  <wp:align>left</wp:align>
                </wp:positionH>
                <wp:positionV relativeFrom="paragraph">
                  <wp:posOffset>-1209040</wp:posOffset>
                </wp:positionV>
                <wp:extent cx="7581900" cy="11372850"/>
                <wp:effectExtent l="0" t="0" r="0" b="0"/>
                <wp:wrapNone/>
                <wp:docPr id="38413822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4138221" name="Obraz 384138221"/>
                        <pic:cNvPicPr/>
                      </pic:nvPicPr>
                      <pic:blipFill>
                        <a:blip r:embed="rId8">
                          <a:extLst>
                            <a:ext uri="{28A0092B-C50C-407E-A947-70E740481C1C}">
                              <a14:useLocalDpi xmlns:a14="http://schemas.microsoft.com/office/drawing/2010/main" val="0"/>
                            </a:ext>
                          </a:extLst>
                        </a:blip>
                        <a:stretch>
                          <a:fillRect/>
                        </a:stretch>
                      </pic:blipFill>
                      <pic:spPr>
                        <a:xfrm>
                          <a:off x="0" y="0"/>
                          <a:ext cx="7581900" cy="11372850"/>
                        </a:xfrm>
                        <a:prstGeom prst="rect">
                          <a:avLst/>
                        </a:prstGeom>
                      </pic:spPr>
                    </pic:pic>
                  </a:graphicData>
                </a:graphic>
                <wp14:sizeRelH relativeFrom="page">
                  <wp14:pctWidth>0</wp14:pctWidth>
                </wp14:sizeRelH>
                <wp14:sizeRelV relativeFrom="page">
                  <wp14:pctHeight>0</wp14:pctHeight>
                </wp14:sizeRelV>
              </wp:anchor>
            </w:drawing>
          </w:r>
        </w:p>
        <w:p w14:paraId="4BF10934" w14:textId="77777777" w:rsidR="00F91AB2" w:rsidRPr="0028226B" w:rsidRDefault="00F91AB2" w:rsidP="00F91AB2">
          <w:pPr>
            <w:pStyle w:val="Bezodstpw"/>
            <w:spacing w:before="1540" w:after="240"/>
            <w:jc w:val="center"/>
            <w:rPr>
              <w:rFonts w:ascii="Arial" w:eastAsiaTheme="majorEastAsia" w:hAnsi="Arial" w:cs="Arial"/>
              <w:caps/>
              <w:color w:val="4472C4" w:themeColor="accent1"/>
              <w:sz w:val="24"/>
              <w:szCs w:val="24"/>
            </w:rPr>
          </w:pPr>
        </w:p>
        <w:p w14:paraId="4CB77EAD" w14:textId="77777777" w:rsidR="00F91AB2" w:rsidRPr="0028226B" w:rsidRDefault="00F91AB2" w:rsidP="00F91AB2">
          <w:pPr>
            <w:pStyle w:val="Bezodstpw"/>
            <w:spacing w:before="1540" w:after="240"/>
            <w:jc w:val="center"/>
            <w:rPr>
              <w:rFonts w:ascii="Arial" w:eastAsiaTheme="majorEastAsia" w:hAnsi="Arial" w:cs="Arial"/>
              <w:caps/>
              <w:color w:val="4472C4" w:themeColor="accent1"/>
              <w:sz w:val="24"/>
              <w:szCs w:val="24"/>
            </w:rPr>
          </w:pPr>
        </w:p>
        <w:p w14:paraId="6E0FA0BF" w14:textId="77777777" w:rsidR="00F91AB2" w:rsidRPr="0028226B" w:rsidRDefault="00F91AB2" w:rsidP="00F91AB2">
          <w:pPr>
            <w:pStyle w:val="Bezodstpw"/>
            <w:spacing w:before="1540" w:after="240"/>
            <w:jc w:val="center"/>
            <w:rPr>
              <w:rFonts w:ascii="Arial" w:eastAsiaTheme="majorEastAsia" w:hAnsi="Arial" w:cs="Arial"/>
              <w:caps/>
              <w:color w:val="4472C4" w:themeColor="accent1"/>
              <w:sz w:val="24"/>
              <w:szCs w:val="24"/>
            </w:rPr>
          </w:pPr>
        </w:p>
        <w:p w14:paraId="799A1D1A" w14:textId="77777777" w:rsidR="00F91AB2" w:rsidRPr="0028226B" w:rsidRDefault="00F91AB2" w:rsidP="00F91AB2">
          <w:pPr>
            <w:pStyle w:val="Bezodstpw"/>
            <w:spacing w:before="1540" w:after="240"/>
            <w:jc w:val="center"/>
            <w:rPr>
              <w:rFonts w:ascii="Arial" w:eastAsiaTheme="majorEastAsia" w:hAnsi="Arial" w:cs="Arial"/>
              <w:caps/>
              <w:color w:val="4472C4" w:themeColor="accent1"/>
              <w:sz w:val="24"/>
              <w:szCs w:val="24"/>
            </w:rPr>
          </w:pPr>
        </w:p>
        <w:p w14:paraId="533E2FAE" w14:textId="7F8F42C1" w:rsidR="00F91AB2" w:rsidRPr="0028226B" w:rsidRDefault="00F91AB2" w:rsidP="00F91AB2">
          <w:pPr>
            <w:pStyle w:val="Bezodstpw"/>
            <w:spacing w:before="1540" w:after="240"/>
            <w:jc w:val="center"/>
            <w:rPr>
              <w:rFonts w:ascii="Arial" w:hAnsi="Arial" w:cs="Arial"/>
              <w:sz w:val="24"/>
              <w:szCs w:val="24"/>
            </w:rPr>
          </w:pPr>
        </w:p>
        <w:p w14:paraId="3600DDB3" w14:textId="5A45F1F8" w:rsidR="001547D2" w:rsidRPr="0028226B" w:rsidRDefault="001547D2" w:rsidP="00F91AB2">
          <w:pPr>
            <w:pStyle w:val="Bezodstpw"/>
            <w:spacing w:before="1540" w:after="240"/>
            <w:jc w:val="center"/>
            <w:rPr>
              <w:rFonts w:ascii="Arial" w:hAnsi="Arial" w:cs="Arial"/>
              <w:sz w:val="24"/>
              <w:szCs w:val="24"/>
            </w:rPr>
          </w:pPr>
        </w:p>
        <w:p w14:paraId="0885DA25" w14:textId="385F9F7A" w:rsidR="00F91AB2" w:rsidRPr="0028226B" w:rsidRDefault="003344C0">
          <w:pPr>
            <w:rPr>
              <w:rFonts w:ascii="Arial" w:eastAsiaTheme="majorEastAsia" w:hAnsi="Arial" w:cs="Arial"/>
              <w:color w:val="FFFFFF" w:themeColor="background1"/>
              <w:kern w:val="0"/>
              <w:sz w:val="24"/>
              <w:szCs w:val="24"/>
              <w:lang w:eastAsia="pl-PL"/>
              <w14:ligatures w14:val="none"/>
            </w:rPr>
          </w:pPr>
          <w:r w:rsidRPr="003344C0">
            <w:rPr>
              <w:rFonts w:ascii="Arial" w:hAnsi="Arial" w:cs="Arial"/>
              <w:noProof/>
              <w:sz w:val="24"/>
              <w:szCs w:val="24"/>
            </w:rPr>
            <w:drawing>
              <wp:anchor distT="0" distB="0" distL="114300" distR="114300" simplePos="0" relativeHeight="251659264" behindDoc="0" locked="0" layoutInCell="1" allowOverlap="1" wp14:anchorId="5760FFD9" wp14:editId="6119B562">
                <wp:simplePos x="0" y="0"/>
                <wp:positionH relativeFrom="margin">
                  <wp:align>left</wp:align>
                </wp:positionH>
                <wp:positionV relativeFrom="paragraph">
                  <wp:posOffset>406400</wp:posOffset>
                </wp:positionV>
                <wp:extent cx="5867400" cy="916013"/>
                <wp:effectExtent l="0" t="0" r="0" b="0"/>
                <wp:wrapNone/>
                <wp:docPr id="6" name="Obraz 5">
                  <a:extLst xmlns:a="http://schemas.openxmlformats.org/drawingml/2006/main">
                    <a:ext uri="{FF2B5EF4-FFF2-40B4-BE49-F238E27FC236}">
                      <a16:creationId xmlns:a16="http://schemas.microsoft.com/office/drawing/2014/main" id="{5F285738-3B26-4E13-8FF8-DBA5D715F47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braz 5">
                          <a:extLst>
                            <a:ext uri="{FF2B5EF4-FFF2-40B4-BE49-F238E27FC236}">
                              <a16:creationId xmlns:a16="http://schemas.microsoft.com/office/drawing/2014/main" id="{5F285738-3B26-4E13-8FF8-DBA5D715F471}"/>
                            </a:ext>
                          </a:extLst>
                        </pic:cNvPr>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5871046" cy="916582"/>
                        </a:xfrm>
                        <a:prstGeom prst="rect">
                          <a:avLst/>
                        </a:prstGeom>
                        <a:solidFill>
                          <a:schemeClr val="accent1"/>
                        </a:solidFill>
                      </pic:spPr>
                    </pic:pic>
                  </a:graphicData>
                </a:graphic>
                <wp14:sizeRelH relativeFrom="page">
                  <wp14:pctWidth>0</wp14:pctWidth>
                </wp14:sizeRelH>
                <wp14:sizeRelV relativeFrom="page">
                  <wp14:pctHeight>0</wp14:pctHeight>
                </wp14:sizeRelV>
              </wp:anchor>
            </w:drawing>
          </w:r>
        </w:p>
      </w:sdtContent>
    </w:sdt>
    <w:sdt>
      <w:sdtPr>
        <w:rPr>
          <w:rFonts w:ascii="Arial" w:eastAsiaTheme="minorEastAsia" w:hAnsi="Arial" w:cs="Arial"/>
          <w:color w:val="auto"/>
          <w:kern w:val="2"/>
          <w:sz w:val="24"/>
          <w:szCs w:val="24"/>
          <w:lang w:eastAsia="en-US"/>
          <w14:ligatures w14:val="standardContextual"/>
        </w:rPr>
        <w:id w:val="-1744178770"/>
        <w:docPartObj>
          <w:docPartGallery w:val="Table of Contents"/>
          <w:docPartUnique/>
        </w:docPartObj>
      </w:sdtPr>
      <w:sdtEndPr>
        <w:rPr>
          <w:b/>
          <w:bCs/>
        </w:rPr>
      </w:sdtEndPr>
      <w:sdtContent>
        <w:p w14:paraId="2BF4EB57" w14:textId="515EAEAA" w:rsidR="00BA6140" w:rsidRPr="0055789E" w:rsidRDefault="00BA6140" w:rsidP="00972553">
          <w:pPr>
            <w:pStyle w:val="Nagwekspisutreci"/>
            <w:shd w:val="clear" w:color="auto" w:fill="061A3D"/>
            <w:rPr>
              <w:rFonts w:ascii="Arial" w:hAnsi="Arial" w:cs="Arial"/>
              <w:b/>
              <w:bCs/>
              <w:color w:val="FFFFFF" w:themeColor="background1"/>
              <w:sz w:val="28"/>
              <w:szCs w:val="28"/>
            </w:rPr>
          </w:pPr>
          <w:r w:rsidRPr="0055789E">
            <w:rPr>
              <w:rFonts w:ascii="Arial" w:hAnsi="Arial" w:cs="Arial"/>
              <w:b/>
              <w:bCs/>
              <w:color w:val="FFFFFF" w:themeColor="background1"/>
              <w:sz w:val="28"/>
              <w:szCs w:val="28"/>
            </w:rPr>
            <w:t>Spis treści</w:t>
          </w:r>
        </w:p>
        <w:p w14:paraId="0CB3B21C" w14:textId="6C449580" w:rsidR="000F26BD" w:rsidRPr="000F26BD" w:rsidRDefault="00BA6140" w:rsidP="000F26BD">
          <w:pPr>
            <w:pStyle w:val="Spistreci1"/>
            <w:tabs>
              <w:tab w:val="right" w:leader="dot" w:pos="9060"/>
            </w:tabs>
            <w:spacing w:after="0" w:line="360" w:lineRule="auto"/>
            <w:rPr>
              <w:rFonts w:ascii="Arial" w:eastAsiaTheme="minorEastAsia" w:hAnsi="Arial" w:cs="Arial"/>
              <w:noProof/>
              <w:kern w:val="0"/>
              <w:sz w:val="24"/>
              <w:szCs w:val="24"/>
              <w:lang w:eastAsia="pl-PL"/>
              <w14:ligatures w14:val="none"/>
            </w:rPr>
          </w:pPr>
          <w:r w:rsidRPr="007B2D8B">
            <w:rPr>
              <w:rFonts w:ascii="Arial" w:hAnsi="Arial" w:cs="Arial"/>
              <w:sz w:val="24"/>
              <w:szCs w:val="24"/>
            </w:rPr>
            <w:fldChar w:fldCharType="begin"/>
          </w:r>
          <w:r w:rsidRPr="007B2D8B">
            <w:rPr>
              <w:rFonts w:ascii="Arial" w:hAnsi="Arial" w:cs="Arial"/>
              <w:sz w:val="24"/>
              <w:szCs w:val="24"/>
            </w:rPr>
            <w:instrText xml:space="preserve"> TOC \o "1-3" \h \z \u </w:instrText>
          </w:r>
          <w:r w:rsidRPr="007B2D8B">
            <w:rPr>
              <w:rFonts w:ascii="Arial" w:hAnsi="Arial" w:cs="Arial"/>
              <w:sz w:val="24"/>
              <w:szCs w:val="24"/>
            </w:rPr>
            <w:fldChar w:fldCharType="separate"/>
          </w:r>
          <w:hyperlink w:anchor="_Toc219375232" w:history="1">
            <w:r w:rsidR="000F26BD" w:rsidRPr="000F26BD">
              <w:rPr>
                <w:rStyle w:val="Hipercze"/>
                <w:rFonts w:ascii="Arial" w:hAnsi="Arial" w:cs="Arial"/>
                <w:noProof/>
                <w:sz w:val="24"/>
                <w:szCs w:val="24"/>
              </w:rPr>
              <w:t>Streszczenie</w:t>
            </w:r>
            <w:r w:rsidR="000F26BD" w:rsidRPr="000F26BD">
              <w:rPr>
                <w:rFonts w:ascii="Arial" w:hAnsi="Arial" w:cs="Arial"/>
                <w:noProof/>
                <w:webHidden/>
                <w:sz w:val="24"/>
                <w:szCs w:val="24"/>
              </w:rPr>
              <w:tab/>
            </w:r>
            <w:r w:rsidR="000F26BD" w:rsidRPr="000F26BD">
              <w:rPr>
                <w:rFonts w:ascii="Arial" w:hAnsi="Arial" w:cs="Arial"/>
                <w:noProof/>
                <w:webHidden/>
                <w:sz w:val="24"/>
                <w:szCs w:val="24"/>
              </w:rPr>
              <w:fldChar w:fldCharType="begin"/>
            </w:r>
            <w:r w:rsidR="000F26BD" w:rsidRPr="000F26BD">
              <w:rPr>
                <w:rFonts w:ascii="Arial" w:hAnsi="Arial" w:cs="Arial"/>
                <w:noProof/>
                <w:webHidden/>
                <w:sz w:val="24"/>
                <w:szCs w:val="24"/>
              </w:rPr>
              <w:instrText xml:space="preserve"> PAGEREF _Toc219375232 \h </w:instrText>
            </w:r>
            <w:r w:rsidR="000F26BD" w:rsidRPr="000F26BD">
              <w:rPr>
                <w:rFonts w:ascii="Arial" w:hAnsi="Arial" w:cs="Arial"/>
                <w:noProof/>
                <w:webHidden/>
                <w:sz w:val="24"/>
                <w:szCs w:val="24"/>
              </w:rPr>
            </w:r>
            <w:r w:rsidR="000F26BD" w:rsidRPr="000F26BD">
              <w:rPr>
                <w:rFonts w:ascii="Arial" w:hAnsi="Arial" w:cs="Arial"/>
                <w:noProof/>
                <w:webHidden/>
                <w:sz w:val="24"/>
                <w:szCs w:val="24"/>
              </w:rPr>
              <w:fldChar w:fldCharType="separate"/>
            </w:r>
            <w:r w:rsidR="000F26BD" w:rsidRPr="000F26BD">
              <w:rPr>
                <w:rFonts w:ascii="Arial" w:hAnsi="Arial" w:cs="Arial"/>
                <w:noProof/>
                <w:webHidden/>
                <w:sz w:val="24"/>
                <w:szCs w:val="24"/>
              </w:rPr>
              <w:t>2</w:t>
            </w:r>
            <w:r w:rsidR="000F26BD" w:rsidRPr="000F26BD">
              <w:rPr>
                <w:rFonts w:ascii="Arial" w:hAnsi="Arial" w:cs="Arial"/>
                <w:noProof/>
                <w:webHidden/>
                <w:sz w:val="24"/>
                <w:szCs w:val="24"/>
              </w:rPr>
              <w:fldChar w:fldCharType="end"/>
            </w:r>
          </w:hyperlink>
        </w:p>
        <w:p w14:paraId="64C4987D" w14:textId="06CC54AA" w:rsidR="000F26BD" w:rsidRPr="000F26BD" w:rsidRDefault="000F26BD" w:rsidP="000F26BD">
          <w:pPr>
            <w:pStyle w:val="Spistreci1"/>
            <w:tabs>
              <w:tab w:val="right" w:leader="dot" w:pos="9060"/>
            </w:tabs>
            <w:spacing w:after="0" w:line="360" w:lineRule="auto"/>
            <w:rPr>
              <w:rFonts w:ascii="Arial" w:eastAsiaTheme="minorEastAsia" w:hAnsi="Arial" w:cs="Arial"/>
              <w:noProof/>
              <w:kern w:val="0"/>
              <w:sz w:val="24"/>
              <w:szCs w:val="24"/>
              <w:lang w:eastAsia="pl-PL"/>
              <w14:ligatures w14:val="none"/>
            </w:rPr>
          </w:pPr>
          <w:hyperlink w:anchor="_Toc219375233" w:history="1">
            <w:r w:rsidRPr="000F26BD">
              <w:rPr>
                <w:rStyle w:val="Hipercze"/>
                <w:rFonts w:ascii="Arial" w:hAnsi="Arial" w:cs="Arial"/>
                <w:noProof/>
                <w:sz w:val="24"/>
                <w:szCs w:val="24"/>
              </w:rPr>
              <w:t>Abstract</w:t>
            </w:r>
            <w:r w:rsidRPr="000F26BD">
              <w:rPr>
                <w:rFonts w:ascii="Arial" w:hAnsi="Arial" w:cs="Arial"/>
                <w:noProof/>
                <w:webHidden/>
                <w:sz w:val="24"/>
                <w:szCs w:val="24"/>
              </w:rPr>
              <w:tab/>
            </w:r>
            <w:r w:rsidRPr="000F26BD">
              <w:rPr>
                <w:rFonts w:ascii="Arial" w:hAnsi="Arial" w:cs="Arial"/>
                <w:noProof/>
                <w:webHidden/>
                <w:sz w:val="24"/>
                <w:szCs w:val="24"/>
              </w:rPr>
              <w:fldChar w:fldCharType="begin"/>
            </w:r>
            <w:r w:rsidRPr="000F26BD">
              <w:rPr>
                <w:rFonts w:ascii="Arial" w:hAnsi="Arial" w:cs="Arial"/>
                <w:noProof/>
                <w:webHidden/>
                <w:sz w:val="24"/>
                <w:szCs w:val="24"/>
              </w:rPr>
              <w:instrText xml:space="preserve"> PAGEREF _Toc219375233 \h </w:instrText>
            </w:r>
            <w:r w:rsidRPr="000F26BD">
              <w:rPr>
                <w:rFonts w:ascii="Arial" w:hAnsi="Arial" w:cs="Arial"/>
                <w:noProof/>
                <w:webHidden/>
                <w:sz w:val="24"/>
                <w:szCs w:val="24"/>
              </w:rPr>
            </w:r>
            <w:r w:rsidRPr="000F26BD">
              <w:rPr>
                <w:rFonts w:ascii="Arial" w:hAnsi="Arial" w:cs="Arial"/>
                <w:noProof/>
                <w:webHidden/>
                <w:sz w:val="24"/>
                <w:szCs w:val="24"/>
              </w:rPr>
              <w:fldChar w:fldCharType="separate"/>
            </w:r>
            <w:r w:rsidRPr="000F26BD">
              <w:rPr>
                <w:rFonts w:ascii="Arial" w:hAnsi="Arial" w:cs="Arial"/>
                <w:noProof/>
                <w:webHidden/>
                <w:sz w:val="24"/>
                <w:szCs w:val="24"/>
              </w:rPr>
              <w:t>4</w:t>
            </w:r>
            <w:r w:rsidRPr="000F26BD">
              <w:rPr>
                <w:rFonts w:ascii="Arial" w:hAnsi="Arial" w:cs="Arial"/>
                <w:noProof/>
                <w:webHidden/>
                <w:sz w:val="24"/>
                <w:szCs w:val="24"/>
              </w:rPr>
              <w:fldChar w:fldCharType="end"/>
            </w:r>
          </w:hyperlink>
        </w:p>
        <w:p w14:paraId="651AD5B7" w14:textId="7CA45887" w:rsidR="000F26BD" w:rsidRPr="000F26BD" w:rsidRDefault="000F26BD" w:rsidP="000F26BD">
          <w:pPr>
            <w:pStyle w:val="Spistreci1"/>
            <w:tabs>
              <w:tab w:val="right" w:leader="dot" w:pos="9060"/>
            </w:tabs>
            <w:spacing w:after="0" w:line="360" w:lineRule="auto"/>
            <w:rPr>
              <w:rFonts w:ascii="Arial" w:eastAsiaTheme="minorEastAsia" w:hAnsi="Arial" w:cs="Arial"/>
              <w:noProof/>
              <w:kern w:val="0"/>
              <w:sz w:val="24"/>
              <w:szCs w:val="24"/>
              <w:lang w:eastAsia="pl-PL"/>
              <w14:ligatures w14:val="none"/>
            </w:rPr>
          </w:pPr>
          <w:hyperlink w:anchor="_Toc219375234" w:history="1">
            <w:r w:rsidRPr="000F26BD">
              <w:rPr>
                <w:rStyle w:val="Hipercze"/>
                <w:rFonts w:ascii="Arial" w:hAnsi="Arial" w:cs="Arial"/>
                <w:noProof/>
                <w:sz w:val="24"/>
                <w:szCs w:val="24"/>
              </w:rPr>
              <w:t>Koncepcja</w:t>
            </w:r>
            <w:r w:rsidRPr="000F26BD">
              <w:rPr>
                <w:rFonts w:ascii="Arial" w:hAnsi="Arial" w:cs="Arial"/>
                <w:noProof/>
                <w:webHidden/>
                <w:sz w:val="24"/>
                <w:szCs w:val="24"/>
              </w:rPr>
              <w:tab/>
            </w:r>
            <w:r w:rsidRPr="000F26BD">
              <w:rPr>
                <w:rFonts w:ascii="Arial" w:hAnsi="Arial" w:cs="Arial"/>
                <w:noProof/>
                <w:webHidden/>
                <w:sz w:val="24"/>
                <w:szCs w:val="24"/>
              </w:rPr>
              <w:fldChar w:fldCharType="begin"/>
            </w:r>
            <w:r w:rsidRPr="000F26BD">
              <w:rPr>
                <w:rFonts w:ascii="Arial" w:hAnsi="Arial" w:cs="Arial"/>
                <w:noProof/>
                <w:webHidden/>
                <w:sz w:val="24"/>
                <w:szCs w:val="24"/>
              </w:rPr>
              <w:instrText xml:space="preserve"> PAGEREF _Toc219375234 \h </w:instrText>
            </w:r>
            <w:r w:rsidRPr="000F26BD">
              <w:rPr>
                <w:rFonts w:ascii="Arial" w:hAnsi="Arial" w:cs="Arial"/>
                <w:noProof/>
                <w:webHidden/>
                <w:sz w:val="24"/>
                <w:szCs w:val="24"/>
              </w:rPr>
            </w:r>
            <w:r w:rsidRPr="000F26BD">
              <w:rPr>
                <w:rFonts w:ascii="Arial" w:hAnsi="Arial" w:cs="Arial"/>
                <w:noProof/>
                <w:webHidden/>
                <w:sz w:val="24"/>
                <w:szCs w:val="24"/>
              </w:rPr>
              <w:fldChar w:fldCharType="separate"/>
            </w:r>
            <w:r w:rsidRPr="000F26BD">
              <w:rPr>
                <w:rFonts w:ascii="Arial" w:hAnsi="Arial" w:cs="Arial"/>
                <w:noProof/>
                <w:webHidden/>
                <w:sz w:val="24"/>
                <w:szCs w:val="24"/>
              </w:rPr>
              <w:t>6</w:t>
            </w:r>
            <w:r w:rsidRPr="000F26BD">
              <w:rPr>
                <w:rFonts w:ascii="Arial" w:hAnsi="Arial" w:cs="Arial"/>
                <w:noProof/>
                <w:webHidden/>
                <w:sz w:val="24"/>
                <w:szCs w:val="24"/>
              </w:rPr>
              <w:fldChar w:fldCharType="end"/>
            </w:r>
          </w:hyperlink>
        </w:p>
        <w:p w14:paraId="5185B34F" w14:textId="40A395C6" w:rsidR="000F26BD" w:rsidRPr="000F26BD" w:rsidRDefault="000F26BD" w:rsidP="000F26BD">
          <w:pPr>
            <w:pStyle w:val="Spistreci1"/>
            <w:tabs>
              <w:tab w:val="right" w:leader="dot" w:pos="9060"/>
            </w:tabs>
            <w:spacing w:after="0" w:line="360" w:lineRule="auto"/>
            <w:rPr>
              <w:rFonts w:ascii="Arial" w:eastAsiaTheme="minorEastAsia" w:hAnsi="Arial" w:cs="Arial"/>
              <w:noProof/>
              <w:kern w:val="0"/>
              <w:sz w:val="24"/>
              <w:szCs w:val="24"/>
              <w:lang w:eastAsia="pl-PL"/>
              <w14:ligatures w14:val="none"/>
            </w:rPr>
          </w:pPr>
          <w:hyperlink w:anchor="_Toc219375235" w:history="1">
            <w:r w:rsidRPr="000F26BD">
              <w:rPr>
                <w:rStyle w:val="Hipercze"/>
                <w:rFonts w:ascii="Arial" w:hAnsi="Arial" w:cs="Arial"/>
                <w:noProof/>
                <w:sz w:val="24"/>
                <w:szCs w:val="24"/>
              </w:rPr>
              <w:t>Cele badania</w:t>
            </w:r>
            <w:r w:rsidRPr="000F26BD">
              <w:rPr>
                <w:rFonts w:ascii="Arial" w:hAnsi="Arial" w:cs="Arial"/>
                <w:noProof/>
                <w:webHidden/>
                <w:sz w:val="24"/>
                <w:szCs w:val="24"/>
              </w:rPr>
              <w:tab/>
            </w:r>
            <w:r w:rsidRPr="000F26BD">
              <w:rPr>
                <w:rFonts w:ascii="Arial" w:hAnsi="Arial" w:cs="Arial"/>
                <w:noProof/>
                <w:webHidden/>
                <w:sz w:val="24"/>
                <w:szCs w:val="24"/>
              </w:rPr>
              <w:fldChar w:fldCharType="begin"/>
            </w:r>
            <w:r w:rsidRPr="000F26BD">
              <w:rPr>
                <w:rFonts w:ascii="Arial" w:hAnsi="Arial" w:cs="Arial"/>
                <w:noProof/>
                <w:webHidden/>
                <w:sz w:val="24"/>
                <w:szCs w:val="24"/>
              </w:rPr>
              <w:instrText xml:space="preserve"> PAGEREF _Toc219375235 \h </w:instrText>
            </w:r>
            <w:r w:rsidRPr="000F26BD">
              <w:rPr>
                <w:rFonts w:ascii="Arial" w:hAnsi="Arial" w:cs="Arial"/>
                <w:noProof/>
                <w:webHidden/>
                <w:sz w:val="24"/>
                <w:szCs w:val="24"/>
              </w:rPr>
            </w:r>
            <w:r w:rsidRPr="000F26BD">
              <w:rPr>
                <w:rFonts w:ascii="Arial" w:hAnsi="Arial" w:cs="Arial"/>
                <w:noProof/>
                <w:webHidden/>
                <w:sz w:val="24"/>
                <w:szCs w:val="24"/>
              </w:rPr>
              <w:fldChar w:fldCharType="separate"/>
            </w:r>
            <w:r w:rsidRPr="000F26BD">
              <w:rPr>
                <w:rFonts w:ascii="Arial" w:hAnsi="Arial" w:cs="Arial"/>
                <w:noProof/>
                <w:webHidden/>
                <w:sz w:val="24"/>
                <w:szCs w:val="24"/>
              </w:rPr>
              <w:t>6</w:t>
            </w:r>
            <w:r w:rsidRPr="000F26BD">
              <w:rPr>
                <w:rFonts w:ascii="Arial" w:hAnsi="Arial" w:cs="Arial"/>
                <w:noProof/>
                <w:webHidden/>
                <w:sz w:val="24"/>
                <w:szCs w:val="24"/>
              </w:rPr>
              <w:fldChar w:fldCharType="end"/>
            </w:r>
          </w:hyperlink>
        </w:p>
        <w:p w14:paraId="113CB1C6" w14:textId="773962DA" w:rsidR="000F26BD" w:rsidRPr="000F26BD" w:rsidRDefault="000F26BD" w:rsidP="000F26BD">
          <w:pPr>
            <w:pStyle w:val="Spistreci1"/>
            <w:tabs>
              <w:tab w:val="right" w:leader="dot" w:pos="9060"/>
            </w:tabs>
            <w:spacing w:after="0" w:line="360" w:lineRule="auto"/>
            <w:rPr>
              <w:rFonts w:ascii="Arial" w:eastAsiaTheme="minorEastAsia" w:hAnsi="Arial" w:cs="Arial"/>
              <w:noProof/>
              <w:kern w:val="0"/>
              <w:sz w:val="24"/>
              <w:szCs w:val="24"/>
              <w:lang w:eastAsia="pl-PL"/>
              <w14:ligatures w14:val="none"/>
            </w:rPr>
          </w:pPr>
          <w:hyperlink w:anchor="_Toc219375236" w:history="1">
            <w:r w:rsidRPr="000F26BD">
              <w:rPr>
                <w:rStyle w:val="Hipercze"/>
                <w:rFonts w:ascii="Arial" w:hAnsi="Arial" w:cs="Arial"/>
                <w:noProof/>
                <w:sz w:val="24"/>
                <w:szCs w:val="24"/>
              </w:rPr>
              <w:t>Metodologia badania</w:t>
            </w:r>
            <w:r w:rsidRPr="000F26BD">
              <w:rPr>
                <w:rFonts w:ascii="Arial" w:hAnsi="Arial" w:cs="Arial"/>
                <w:noProof/>
                <w:webHidden/>
                <w:sz w:val="24"/>
                <w:szCs w:val="24"/>
              </w:rPr>
              <w:tab/>
            </w:r>
            <w:r w:rsidRPr="000F26BD">
              <w:rPr>
                <w:rFonts w:ascii="Arial" w:hAnsi="Arial" w:cs="Arial"/>
                <w:noProof/>
                <w:webHidden/>
                <w:sz w:val="24"/>
                <w:szCs w:val="24"/>
              </w:rPr>
              <w:fldChar w:fldCharType="begin"/>
            </w:r>
            <w:r w:rsidRPr="000F26BD">
              <w:rPr>
                <w:rFonts w:ascii="Arial" w:hAnsi="Arial" w:cs="Arial"/>
                <w:noProof/>
                <w:webHidden/>
                <w:sz w:val="24"/>
                <w:szCs w:val="24"/>
              </w:rPr>
              <w:instrText xml:space="preserve"> PAGEREF _Toc219375236 \h </w:instrText>
            </w:r>
            <w:r w:rsidRPr="000F26BD">
              <w:rPr>
                <w:rFonts w:ascii="Arial" w:hAnsi="Arial" w:cs="Arial"/>
                <w:noProof/>
                <w:webHidden/>
                <w:sz w:val="24"/>
                <w:szCs w:val="24"/>
              </w:rPr>
            </w:r>
            <w:r w:rsidRPr="000F26BD">
              <w:rPr>
                <w:rFonts w:ascii="Arial" w:hAnsi="Arial" w:cs="Arial"/>
                <w:noProof/>
                <w:webHidden/>
                <w:sz w:val="24"/>
                <w:szCs w:val="24"/>
              </w:rPr>
              <w:fldChar w:fldCharType="separate"/>
            </w:r>
            <w:r w:rsidRPr="000F26BD">
              <w:rPr>
                <w:rFonts w:ascii="Arial" w:hAnsi="Arial" w:cs="Arial"/>
                <w:noProof/>
                <w:webHidden/>
                <w:sz w:val="24"/>
                <w:szCs w:val="24"/>
              </w:rPr>
              <w:t>7</w:t>
            </w:r>
            <w:r w:rsidRPr="000F26BD">
              <w:rPr>
                <w:rFonts w:ascii="Arial" w:hAnsi="Arial" w:cs="Arial"/>
                <w:noProof/>
                <w:webHidden/>
                <w:sz w:val="24"/>
                <w:szCs w:val="24"/>
              </w:rPr>
              <w:fldChar w:fldCharType="end"/>
            </w:r>
          </w:hyperlink>
        </w:p>
        <w:p w14:paraId="607CA4C3" w14:textId="571EA703" w:rsidR="000F26BD" w:rsidRPr="000F26BD" w:rsidRDefault="000F26BD" w:rsidP="000F26BD">
          <w:pPr>
            <w:pStyle w:val="Spistreci1"/>
            <w:tabs>
              <w:tab w:val="right" w:leader="dot" w:pos="9060"/>
            </w:tabs>
            <w:spacing w:after="0" w:line="360" w:lineRule="auto"/>
            <w:rPr>
              <w:rFonts w:ascii="Arial" w:eastAsiaTheme="minorEastAsia" w:hAnsi="Arial" w:cs="Arial"/>
              <w:noProof/>
              <w:kern w:val="0"/>
              <w:sz w:val="24"/>
              <w:szCs w:val="24"/>
              <w:lang w:eastAsia="pl-PL"/>
              <w14:ligatures w14:val="none"/>
            </w:rPr>
          </w:pPr>
          <w:hyperlink w:anchor="_Toc219375237" w:history="1">
            <w:r w:rsidRPr="000F26BD">
              <w:rPr>
                <w:rStyle w:val="Hipercze"/>
                <w:rFonts w:ascii="Arial" w:hAnsi="Arial" w:cs="Arial"/>
                <w:noProof/>
                <w:sz w:val="24"/>
                <w:szCs w:val="24"/>
              </w:rPr>
              <w:t>Struktura próby badawczej</w:t>
            </w:r>
            <w:r w:rsidRPr="000F26BD">
              <w:rPr>
                <w:rFonts w:ascii="Arial" w:hAnsi="Arial" w:cs="Arial"/>
                <w:noProof/>
                <w:webHidden/>
                <w:sz w:val="24"/>
                <w:szCs w:val="24"/>
              </w:rPr>
              <w:tab/>
            </w:r>
            <w:r w:rsidRPr="000F26BD">
              <w:rPr>
                <w:rFonts w:ascii="Arial" w:hAnsi="Arial" w:cs="Arial"/>
                <w:noProof/>
                <w:webHidden/>
                <w:sz w:val="24"/>
                <w:szCs w:val="24"/>
              </w:rPr>
              <w:fldChar w:fldCharType="begin"/>
            </w:r>
            <w:r w:rsidRPr="000F26BD">
              <w:rPr>
                <w:rFonts w:ascii="Arial" w:hAnsi="Arial" w:cs="Arial"/>
                <w:noProof/>
                <w:webHidden/>
                <w:sz w:val="24"/>
                <w:szCs w:val="24"/>
              </w:rPr>
              <w:instrText xml:space="preserve"> PAGEREF _Toc219375237 \h </w:instrText>
            </w:r>
            <w:r w:rsidRPr="000F26BD">
              <w:rPr>
                <w:rFonts w:ascii="Arial" w:hAnsi="Arial" w:cs="Arial"/>
                <w:noProof/>
                <w:webHidden/>
                <w:sz w:val="24"/>
                <w:szCs w:val="24"/>
              </w:rPr>
            </w:r>
            <w:r w:rsidRPr="000F26BD">
              <w:rPr>
                <w:rFonts w:ascii="Arial" w:hAnsi="Arial" w:cs="Arial"/>
                <w:noProof/>
                <w:webHidden/>
                <w:sz w:val="24"/>
                <w:szCs w:val="24"/>
              </w:rPr>
              <w:fldChar w:fldCharType="separate"/>
            </w:r>
            <w:r w:rsidRPr="000F26BD">
              <w:rPr>
                <w:rFonts w:ascii="Arial" w:hAnsi="Arial" w:cs="Arial"/>
                <w:noProof/>
                <w:webHidden/>
                <w:sz w:val="24"/>
                <w:szCs w:val="24"/>
              </w:rPr>
              <w:t>9</w:t>
            </w:r>
            <w:r w:rsidRPr="000F26BD">
              <w:rPr>
                <w:rFonts w:ascii="Arial" w:hAnsi="Arial" w:cs="Arial"/>
                <w:noProof/>
                <w:webHidden/>
                <w:sz w:val="24"/>
                <w:szCs w:val="24"/>
              </w:rPr>
              <w:fldChar w:fldCharType="end"/>
            </w:r>
          </w:hyperlink>
        </w:p>
        <w:p w14:paraId="28C9B0A5" w14:textId="0D6F0BAF" w:rsidR="000F26BD" w:rsidRPr="000F26BD" w:rsidRDefault="000F26BD" w:rsidP="000F26BD">
          <w:pPr>
            <w:pStyle w:val="Spistreci1"/>
            <w:tabs>
              <w:tab w:val="right" w:leader="dot" w:pos="9060"/>
            </w:tabs>
            <w:spacing w:after="0" w:line="360" w:lineRule="auto"/>
            <w:rPr>
              <w:rFonts w:ascii="Arial" w:eastAsiaTheme="minorEastAsia" w:hAnsi="Arial" w:cs="Arial"/>
              <w:noProof/>
              <w:kern w:val="0"/>
              <w:sz w:val="24"/>
              <w:szCs w:val="24"/>
              <w:lang w:eastAsia="pl-PL"/>
              <w14:ligatures w14:val="none"/>
            </w:rPr>
          </w:pPr>
          <w:hyperlink w:anchor="_Toc219375238" w:history="1">
            <w:r w:rsidRPr="000F26BD">
              <w:rPr>
                <w:rStyle w:val="Hipercze"/>
                <w:rFonts w:ascii="Arial" w:hAnsi="Arial" w:cs="Arial"/>
                <w:noProof/>
                <w:sz w:val="24"/>
                <w:szCs w:val="24"/>
              </w:rPr>
              <w:t>Wiedza na temat Funduszy Europejskich / Funduszy Unijnych w społeczeństwie polskim</w:t>
            </w:r>
            <w:r w:rsidRPr="000F26BD">
              <w:rPr>
                <w:rFonts w:ascii="Arial" w:hAnsi="Arial" w:cs="Arial"/>
                <w:noProof/>
                <w:webHidden/>
                <w:sz w:val="24"/>
                <w:szCs w:val="24"/>
              </w:rPr>
              <w:tab/>
            </w:r>
            <w:r w:rsidRPr="000F26BD">
              <w:rPr>
                <w:rFonts w:ascii="Arial" w:hAnsi="Arial" w:cs="Arial"/>
                <w:noProof/>
                <w:webHidden/>
                <w:sz w:val="24"/>
                <w:szCs w:val="24"/>
              </w:rPr>
              <w:fldChar w:fldCharType="begin"/>
            </w:r>
            <w:r w:rsidRPr="000F26BD">
              <w:rPr>
                <w:rFonts w:ascii="Arial" w:hAnsi="Arial" w:cs="Arial"/>
                <w:noProof/>
                <w:webHidden/>
                <w:sz w:val="24"/>
                <w:szCs w:val="24"/>
              </w:rPr>
              <w:instrText xml:space="preserve"> PAGEREF _Toc219375238 \h </w:instrText>
            </w:r>
            <w:r w:rsidRPr="000F26BD">
              <w:rPr>
                <w:rFonts w:ascii="Arial" w:hAnsi="Arial" w:cs="Arial"/>
                <w:noProof/>
                <w:webHidden/>
                <w:sz w:val="24"/>
                <w:szCs w:val="24"/>
              </w:rPr>
            </w:r>
            <w:r w:rsidRPr="000F26BD">
              <w:rPr>
                <w:rFonts w:ascii="Arial" w:hAnsi="Arial" w:cs="Arial"/>
                <w:noProof/>
                <w:webHidden/>
                <w:sz w:val="24"/>
                <w:szCs w:val="24"/>
              </w:rPr>
              <w:fldChar w:fldCharType="separate"/>
            </w:r>
            <w:r w:rsidRPr="000F26BD">
              <w:rPr>
                <w:rFonts w:ascii="Arial" w:hAnsi="Arial" w:cs="Arial"/>
                <w:noProof/>
                <w:webHidden/>
                <w:sz w:val="24"/>
                <w:szCs w:val="24"/>
              </w:rPr>
              <w:t>20</w:t>
            </w:r>
            <w:r w:rsidRPr="000F26BD">
              <w:rPr>
                <w:rFonts w:ascii="Arial" w:hAnsi="Arial" w:cs="Arial"/>
                <w:noProof/>
                <w:webHidden/>
                <w:sz w:val="24"/>
                <w:szCs w:val="24"/>
              </w:rPr>
              <w:fldChar w:fldCharType="end"/>
            </w:r>
          </w:hyperlink>
        </w:p>
        <w:p w14:paraId="5C8A81AE" w14:textId="7B144760" w:rsidR="000F26BD" w:rsidRPr="000F26BD" w:rsidRDefault="000F26BD" w:rsidP="000F26BD">
          <w:pPr>
            <w:pStyle w:val="Spistreci1"/>
            <w:tabs>
              <w:tab w:val="right" w:leader="dot" w:pos="9060"/>
            </w:tabs>
            <w:spacing w:after="0" w:line="360" w:lineRule="auto"/>
            <w:rPr>
              <w:rFonts w:ascii="Arial" w:eastAsiaTheme="minorEastAsia" w:hAnsi="Arial" w:cs="Arial"/>
              <w:noProof/>
              <w:kern w:val="0"/>
              <w:sz w:val="24"/>
              <w:szCs w:val="24"/>
              <w:lang w:eastAsia="pl-PL"/>
              <w14:ligatures w14:val="none"/>
            </w:rPr>
          </w:pPr>
          <w:hyperlink w:anchor="_Toc219375239" w:history="1">
            <w:r w:rsidRPr="000F26BD">
              <w:rPr>
                <w:rStyle w:val="Hipercze"/>
                <w:rFonts w:ascii="Arial" w:hAnsi="Arial" w:cs="Arial"/>
                <w:noProof/>
                <w:sz w:val="24"/>
                <w:szCs w:val="24"/>
              </w:rPr>
              <w:t>Znajomość i rozumienie pojęcia Fundusze Europejskie</w:t>
            </w:r>
            <w:r w:rsidRPr="000F26BD">
              <w:rPr>
                <w:rFonts w:ascii="Arial" w:hAnsi="Arial" w:cs="Arial"/>
                <w:noProof/>
                <w:webHidden/>
                <w:sz w:val="24"/>
                <w:szCs w:val="24"/>
              </w:rPr>
              <w:tab/>
            </w:r>
            <w:r w:rsidRPr="000F26BD">
              <w:rPr>
                <w:rFonts w:ascii="Arial" w:hAnsi="Arial" w:cs="Arial"/>
                <w:noProof/>
                <w:webHidden/>
                <w:sz w:val="24"/>
                <w:szCs w:val="24"/>
              </w:rPr>
              <w:fldChar w:fldCharType="begin"/>
            </w:r>
            <w:r w:rsidRPr="000F26BD">
              <w:rPr>
                <w:rFonts w:ascii="Arial" w:hAnsi="Arial" w:cs="Arial"/>
                <w:noProof/>
                <w:webHidden/>
                <w:sz w:val="24"/>
                <w:szCs w:val="24"/>
              </w:rPr>
              <w:instrText xml:space="preserve"> PAGEREF _Toc219375239 \h </w:instrText>
            </w:r>
            <w:r w:rsidRPr="000F26BD">
              <w:rPr>
                <w:rFonts w:ascii="Arial" w:hAnsi="Arial" w:cs="Arial"/>
                <w:noProof/>
                <w:webHidden/>
                <w:sz w:val="24"/>
                <w:szCs w:val="24"/>
              </w:rPr>
            </w:r>
            <w:r w:rsidRPr="000F26BD">
              <w:rPr>
                <w:rFonts w:ascii="Arial" w:hAnsi="Arial" w:cs="Arial"/>
                <w:noProof/>
                <w:webHidden/>
                <w:sz w:val="24"/>
                <w:szCs w:val="24"/>
              </w:rPr>
              <w:fldChar w:fldCharType="separate"/>
            </w:r>
            <w:r w:rsidRPr="000F26BD">
              <w:rPr>
                <w:rFonts w:ascii="Arial" w:hAnsi="Arial" w:cs="Arial"/>
                <w:noProof/>
                <w:webHidden/>
                <w:sz w:val="24"/>
                <w:szCs w:val="24"/>
              </w:rPr>
              <w:t>20</w:t>
            </w:r>
            <w:r w:rsidRPr="000F26BD">
              <w:rPr>
                <w:rFonts w:ascii="Arial" w:hAnsi="Arial" w:cs="Arial"/>
                <w:noProof/>
                <w:webHidden/>
                <w:sz w:val="24"/>
                <w:szCs w:val="24"/>
              </w:rPr>
              <w:fldChar w:fldCharType="end"/>
            </w:r>
          </w:hyperlink>
        </w:p>
        <w:p w14:paraId="489DE4F3" w14:textId="17D514FB" w:rsidR="000F26BD" w:rsidRPr="000F26BD" w:rsidRDefault="000F26BD" w:rsidP="000F26BD">
          <w:pPr>
            <w:pStyle w:val="Spistreci1"/>
            <w:tabs>
              <w:tab w:val="right" w:leader="dot" w:pos="9060"/>
            </w:tabs>
            <w:spacing w:after="0" w:line="360" w:lineRule="auto"/>
            <w:rPr>
              <w:rFonts w:ascii="Arial" w:eastAsiaTheme="minorEastAsia" w:hAnsi="Arial" w:cs="Arial"/>
              <w:noProof/>
              <w:kern w:val="0"/>
              <w:sz w:val="24"/>
              <w:szCs w:val="24"/>
              <w:lang w:eastAsia="pl-PL"/>
              <w14:ligatures w14:val="none"/>
            </w:rPr>
          </w:pPr>
          <w:hyperlink w:anchor="_Toc219375240" w:history="1">
            <w:r w:rsidRPr="000F26BD">
              <w:rPr>
                <w:rStyle w:val="Hipercze"/>
                <w:rFonts w:ascii="Arial" w:hAnsi="Arial" w:cs="Arial"/>
                <w:noProof/>
                <w:sz w:val="24"/>
                <w:szCs w:val="24"/>
              </w:rPr>
              <w:t>Zainteresowanie i poziom wiedzy o Funduszach Europejskich</w:t>
            </w:r>
            <w:r w:rsidRPr="000F26BD">
              <w:rPr>
                <w:rFonts w:ascii="Arial" w:hAnsi="Arial" w:cs="Arial"/>
                <w:noProof/>
                <w:webHidden/>
                <w:sz w:val="24"/>
                <w:szCs w:val="24"/>
              </w:rPr>
              <w:tab/>
            </w:r>
            <w:r w:rsidRPr="000F26BD">
              <w:rPr>
                <w:rFonts w:ascii="Arial" w:hAnsi="Arial" w:cs="Arial"/>
                <w:noProof/>
                <w:webHidden/>
                <w:sz w:val="24"/>
                <w:szCs w:val="24"/>
              </w:rPr>
              <w:fldChar w:fldCharType="begin"/>
            </w:r>
            <w:r w:rsidRPr="000F26BD">
              <w:rPr>
                <w:rFonts w:ascii="Arial" w:hAnsi="Arial" w:cs="Arial"/>
                <w:noProof/>
                <w:webHidden/>
                <w:sz w:val="24"/>
                <w:szCs w:val="24"/>
              </w:rPr>
              <w:instrText xml:space="preserve"> PAGEREF _Toc219375240 \h </w:instrText>
            </w:r>
            <w:r w:rsidRPr="000F26BD">
              <w:rPr>
                <w:rFonts w:ascii="Arial" w:hAnsi="Arial" w:cs="Arial"/>
                <w:noProof/>
                <w:webHidden/>
                <w:sz w:val="24"/>
                <w:szCs w:val="24"/>
              </w:rPr>
            </w:r>
            <w:r w:rsidRPr="000F26BD">
              <w:rPr>
                <w:rFonts w:ascii="Arial" w:hAnsi="Arial" w:cs="Arial"/>
                <w:noProof/>
                <w:webHidden/>
                <w:sz w:val="24"/>
                <w:szCs w:val="24"/>
              </w:rPr>
              <w:fldChar w:fldCharType="separate"/>
            </w:r>
            <w:r w:rsidRPr="000F26BD">
              <w:rPr>
                <w:rFonts w:ascii="Arial" w:hAnsi="Arial" w:cs="Arial"/>
                <w:noProof/>
                <w:webHidden/>
                <w:sz w:val="24"/>
                <w:szCs w:val="24"/>
              </w:rPr>
              <w:t>26</w:t>
            </w:r>
            <w:r w:rsidRPr="000F26BD">
              <w:rPr>
                <w:rFonts w:ascii="Arial" w:hAnsi="Arial" w:cs="Arial"/>
                <w:noProof/>
                <w:webHidden/>
                <w:sz w:val="24"/>
                <w:szCs w:val="24"/>
              </w:rPr>
              <w:fldChar w:fldCharType="end"/>
            </w:r>
          </w:hyperlink>
        </w:p>
        <w:p w14:paraId="6C6517F7" w14:textId="6ACD55FB" w:rsidR="000F26BD" w:rsidRPr="000F26BD" w:rsidRDefault="000F26BD" w:rsidP="000F26BD">
          <w:pPr>
            <w:pStyle w:val="Spistreci1"/>
            <w:tabs>
              <w:tab w:val="right" w:leader="dot" w:pos="9060"/>
            </w:tabs>
            <w:spacing w:after="0" w:line="360" w:lineRule="auto"/>
            <w:rPr>
              <w:rFonts w:ascii="Arial" w:eastAsiaTheme="minorEastAsia" w:hAnsi="Arial" w:cs="Arial"/>
              <w:noProof/>
              <w:kern w:val="0"/>
              <w:sz w:val="24"/>
              <w:szCs w:val="24"/>
              <w:lang w:eastAsia="pl-PL"/>
              <w14:ligatures w14:val="none"/>
            </w:rPr>
          </w:pPr>
          <w:hyperlink w:anchor="_Toc219375241" w:history="1">
            <w:r w:rsidRPr="000F26BD">
              <w:rPr>
                <w:rStyle w:val="Hipercze"/>
                <w:rFonts w:ascii="Arial" w:hAnsi="Arial" w:cs="Arial"/>
                <w:noProof/>
                <w:sz w:val="24"/>
                <w:szCs w:val="24"/>
              </w:rPr>
              <w:t>Obszary oraz cele, na jakie przeznaczane są środki pozyskiwane z FE</w:t>
            </w:r>
            <w:r w:rsidRPr="000F26BD">
              <w:rPr>
                <w:rFonts w:ascii="Arial" w:hAnsi="Arial" w:cs="Arial"/>
                <w:noProof/>
                <w:webHidden/>
                <w:sz w:val="24"/>
                <w:szCs w:val="24"/>
              </w:rPr>
              <w:tab/>
            </w:r>
            <w:r w:rsidRPr="000F26BD">
              <w:rPr>
                <w:rFonts w:ascii="Arial" w:hAnsi="Arial" w:cs="Arial"/>
                <w:noProof/>
                <w:webHidden/>
                <w:sz w:val="24"/>
                <w:szCs w:val="24"/>
              </w:rPr>
              <w:fldChar w:fldCharType="begin"/>
            </w:r>
            <w:r w:rsidRPr="000F26BD">
              <w:rPr>
                <w:rFonts w:ascii="Arial" w:hAnsi="Arial" w:cs="Arial"/>
                <w:noProof/>
                <w:webHidden/>
                <w:sz w:val="24"/>
                <w:szCs w:val="24"/>
              </w:rPr>
              <w:instrText xml:space="preserve"> PAGEREF _Toc219375241 \h </w:instrText>
            </w:r>
            <w:r w:rsidRPr="000F26BD">
              <w:rPr>
                <w:rFonts w:ascii="Arial" w:hAnsi="Arial" w:cs="Arial"/>
                <w:noProof/>
                <w:webHidden/>
                <w:sz w:val="24"/>
                <w:szCs w:val="24"/>
              </w:rPr>
            </w:r>
            <w:r w:rsidRPr="000F26BD">
              <w:rPr>
                <w:rFonts w:ascii="Arial" w:hAnsi="Arial" w:cs="Arial"/>
                <w:noProof/>
                <w:webHidden/>
                <w:sz w:val="24"/>
                <w:szCs w:val="24"/>
              </w:rPr>
              <w:fldChar w:fldCharType="separate"/>
            </w:r>
            <w:r w:rsidRPr="000F26BD">
              <w:rPr>
                <w:rFonts w:ascii="Arial" w:hAnsi="Arial" w:cs="Arial"/>
                <w:noProof/>
                <w:webHidden/>
                <w:sz w:val="24"/>
                <w:szCs w:val="24"/>
              </w:rPr>
              <w:t>39</w:t>
            </w:r>
            <w:r w:rsidRPr="000F26BD">
              <w:rPr>
                <w:rFonts w:ascii="Arial" w:hAnsi="Arial" w:cs="Arial"/>
                <w:noProof/>
                <w:webHidden/>
                <w:sz w:val="24"/>
                <w:szCs w:val="24"/>
              </w:rPr>
              <w:fldChar w:fldCharType="end"/>
            </w:r>
          </w:hyperlink>
        </w:p>
        <w:p w14:paraId="7D5548D3" w14:textId="5B38EAFE" w:rsidR="000F26BD" w:rsidRPr="000F26BD" w:rsidRDefault="000F26BD" w:rsidP="000F26BD">
          <w:pPr>
            <w:pStyle w:val="Spistreci1"/>
            <w:tabs>
              <w:tab w:val="right" w:leader="dot" w:pos="9060"/>
            </w:tabs>
            <w:spacing w:after="0" w:line="360" w:lineRule="auto"/>
            <w:rPr>
              <w:rFonts w:ascii="Arial" w:eastAsiaTheme="minorEastAsia" w:hAnsi="Arial" w:cs="Arial"/>
              <w:noProof/>
              <w:kern w:val="0"/>
              <w:sz w:val="24"/>
              <w:szCs w:val="24"/>
              <w:lang w:eastAsia="pl-PL"/>
              <w14:ligatures w14:val="none"/>
            </w:rPr>
          </w:pPr>
          <w:hyperlink w:anchor="_Toc219375242" w:history="1">
            <w:r w:rsidRPr="000F26BD">
              <w:rPr>
                <w:rStyle w:val="Hipercze"/>
                <w:rFonts w:ascii="Arial" w:hAnsi="Arial" w:cs="Arial"/>
                <w:noProof/>
                <w:sz w:val="24"/>
                <w:szCs w:val="24"/>
              </w:rPr>
              <w:t>Znajomość podmiotów, które mogą ubiegać się o środki pozyskiwane z FE</w:t>
            </w:r>
            <w:r w:rsidRPr="000F26BD">
              <w:rPr>
                <w:rFonts w:ascii="Arial" w:hAnsi="Arial" w:cs="Arial"/>
                <w:noProof/>
                <w:webHidden/>
                <w:sz w:val="24"/>
                <w:szCs w:val="24"/>
              </w:rPr>
              <w:tab/>
            </w:r>
            <w:r w:rsidRPr="000F26BD">
              <w:rPr>
                <w:rFonts w:ascii="Arial" w:hAnsi="Arial" w:cs="Arial"/>
                <w:noProof/>
                <w:webHidden/>
                <w:sz w:val="24"/>
                <w:szCs w:val="24"/>
              </w:rPr>
              <w:fldChar w:fldCharType="begin"/>
            </w:r>
            <w:r w:rsidRPr="000F26BD">
              <w:rPr>
                <w:rFonts w:ascii="Arial" w:hAnsi="Arial" w:cs="Arial"/>
                <w:noProof/>
                <w:webHidden/>
                <w:sz w:val="24"/>
                <w:szCs w:val="24"/>
              </w:rPr>
              <w:instrText xml:space="preserve"> PAGEREF _Toc219375242 \h </w:instrText>
            </w:r>
            <w:r w:rsidRPr="000F26BD">
              <w:rPr>
                <w:rFonts w:ascii="Arial" w:hAnsi="Arial" w:cs="Arial"/>
                <w:noProof/>
                <w:webHidden/>
                <w:sz w:val="24"/>
                <w:szCs w:val="24"/>
              </w:rPr>
            </w:r>
            <w:r w:rsidRPr="000F26BD">
              <w:rPr>
                <w:rFonts w:ascii="Arial" w:hAnsi="Arial" w:cs="Arial"/>
                <w:noProof/>
                <w:webHidden/>
                <w:sz w:val="24"/>
                <w:szCs w:val="24"/>
              </w:rPr>
              <w:fldChar w:fldCharType="separate"/>
            </w:r>
            <w:r w:rsidRPr="000F26BD">
              <w:rPr>
                <w:rFonts w:ascii="Arial" w:hAnsi="Arial" w:cs="Arial"/>
                <w:noProof/>
                <w:webHidden/>
                <w:sz w:val="24"/>
                <w:szCs w:val="24"/>
              </w:rPr>
              <w:t>47</w:t>
            </w:r>
            <w:r w:rsidRPr="000F26BD">
              <w:rPr>
                <w:rFonts w:ascii="Arial" w:hAnsi="Arial" w:cs="Arial"/>
                <w:noProof/>
                <w:webHidden/>
                <w:sz w:val="24"/>
                <w:szCs w:val="24"/>
              </w:rPr>
              <w:fldChar w:fldCharType="end"/>
            </w:r>
          </w:hyperlink>
        </w:p>
        <w:p w14:paraId="4BD7CEA6" w14:textId="47E2ED81" w:rsidR="000F26BD" w:rsidRPr="000F26BD" w:rsidRDefault="000F26BD" w:rsidP="000F26BD">
          <w:pPr>
            <w:pStyle w:val="Spistreci1"/>
            <w:tabs>
              <w:tab w:val="right" w:leader="dot" w:pos="9060"/>
            </w:tabs>
            <w:spacing w:after="0" w:line="360" w:lineRule="auto"/>
            <w:rPr>
              <w:rFonts w:ascii="Arial" w:eastAsiaTheme="minorEastAsia" w:hAnsi="Arial" w:cs="Arial"/>
              <w:noProof/>
              <w:kern w:val="0"/>
              <w:sz w:val="24"/>
              <w:szCs w:val="24"/>
              <w:lang w:eastAsia="pl-PL"/>
              <w14:ligatures w14:val="none"/>
            </w:rPr>
          </w:pPr>
          <w:hyperlink w:anchor="_Toc219375243" w:history="1">
            <w:r w:rsidRPr="000F26BD">
              <w:rPr>
                <w:rStyle w:val="Hipercze"/>
                <w:rFonts w:ascii="Arial" w:hAnsi="Arial" w:cs="Arial"/>
                <w:noProof/>
                <w:sz w:val="24"/>
                <w:szCs w:val="24"/>
              </w:rPr>
              <w:t>Ocena wpływu Funduszy Europejskich na życie Polaków</w:t>
            </w:r>
            <w:r w:rsidRPr="000F26BD">
              <w:rPr>
                <w:rFonts w:ascii="Arial" w:hAnsi="Arial" w:cs="Arial"/>
                <w:noProof/>
                <w:webHidden/>
                <w:sz w:val="24"/>
                <w:szCs w:val="24"/>
              </w:rPr>
              <w:tab/>
            </w:r>
            <w:r w:rsidRPr="000F26BD">
              <w:rPr>
                <w:rFonts w:ascii="Arial" w:hAnsi="Arial" w:cs="Arial"/>
                <w:noProof/>
                <w:webHidden/>
                <w:sz w:val="24"/>
                <w:szCs w:val="24"/>
              </w:rPr>
              <w:fldChar w:fldCharType="begin"/>
            </w:r>
            <w:r w:rsidRPr="000F26BD">
              <w:rPr>
                <w:rFonts w:ascii="Arial" w:hAnsi="Arial" w:cs="Arial"/>
                <w:noProof/>
                <w:webHidden/>
                <w:sz w:val="24"/>
                <w:szCs w:val="24"/>
              </w:rPr>
              <w:instrText xml:space="preserve"> PAGEREF _Toc219375243 \h </w:instrText>
            </w:r>
            <w:r w:rsidRPr="000F26BD">
              <w:rPr>
                <w:rFonts w:ascii="Arial" w:hAnsi="Arial" w:cs="Arial"/>
                <w:noProof/>
                <w:webHidden/>
                <w:sz w:val="24"/>
                <w:szCs w:val="24"/>
              </w:rPr>
            </w:r>
            <w:r w:rsidRPr="000F26BD">
              <w:rPr>
                <w:rFonts w:ascii="Arial" w:hAnsi="Arial" w:cs="Arial"/>
                <w:noProof/>
                <w:webHidden/>
                <w:sz w:val="24"/>
                <w:szCs w:val="24"/>
              </w:rPr>
              <w:fldChar w:fldCharType="separate"/>
            </w:r>
            <w:r w:rsidRPr="000F26BD">
              <w:rPr>
                <w:rFonts w:ascii="Arial" w:hAnsi="Arial" w:cs="Arial"/>
                <w:noProof/>
                <w:webHidden/>
                <w:sz w:val="24"/>
                <w:szCs w:val="24"/>
              </w:rPr>
              <w:t>60</w:t>
            </w:r>
            <w:r w:rsidRPr="000F26BD">
              <w:rPr>
                <w:rFonts w:ascii="Arial" w:hAnsi="Arial" w:cs="Arial"/>
                <w:noProof/>
                <w:webHidden/>
                <w:sz w:val="24"/>
                <w:szCs w:val="24"/>
              </w:rPr>
              <w:fldChar w:fldCharType="end"/>
            </w:r>
          </w:hyperlink>
        </w:p>
        <w:p w14:paraId="311F83DB" w14:textId="0C8656E6" w:rsidR="000F26BD" w:rsidRPr="000F26BD" w:rsidRDefault="000F26BD" w:rsidP="000F26BD">
          <w:pPr>
            <w:pStyle w:val="Spistreci1"/>
            <w:tabs>
              <w:tab w:val="right" w:leader="dot" w:pos="9060"/>
            </w:tabs>
            <w:spacing w:after="0" w:line="360" w:lineRule="auto"/>
            <w:rPr>
              <w:rFonts w:ascii="Arial" w:eastAsiaTheme="minorEastAsia" w:hAnsi="Arial" w:cs="Arial"/>
              <w:noProof/>
              <w:kern w:val="0"/>
              <w:sz w:val="24"/>
              <w:szCs w:val="24"/>
              <w:lang w:eastAsia="pl-PL"/>
              <w14:ligatures w14:val="none"/>
            </w:rPr>
          </w:pPr>
          <w:hyperlink w:anchor="_Toc219375244" w:history="1">
            <w:r w:rsidRPr="000F26BD">
              <w:rPr>
                <w:rStyle w:val="Hipercze"/>
                <w:rFonts w:ascii="Arial" w:hAnsi="Arial" w:cs="Arial"/>
                <w:noProof/>
                <w:sz w:val="24"/>
                <w:szCs w:val="24"/>
              </w:rPr>
              <w:t>Opinie na temat szans na uzyskanie dofinansowania</w:t>
            </w:r>
            <w:r w:rsidRPr="000F26BD">
              <w:rPr>
                <w:rFonts w:ascii="Arial" w:hAnsi="Arial" w:cs="Arial"/>
                <w:noProof/>
                <w:webHidden/>
                <w:sz w:val="24"/>
                <w:szCs w:val="24"/>
              </w:rPr>
              <w:tab/>
            </w:r>
            <w:r w:rsidRPr="000F26BD">
              <w:rPr>
                <w:rFonts w:ascii="Arial" w:hAnsi="Arial" w:cs="Arial"/>
                <w:noProof/>
                <w:webHidden/>
                <w:sz w:val="24"/>
                <w:szCs w:val="24"/>
              </w:rPr>
              <w:fldChar w:fldCharType="begin"/>
            </w:r>
            <w:r w:rsidRPr="000F26BD">
              <w:rPr>
                <w:rFonts w:ascii="Arial" w:hAnsi="Arial" w:cs="Arial"/>
                <w:noProof/>
                <w:webHidden/>
                <w:sz w:val="24"/>
                <w:szCs w:val="24"/>
              </w:rPr>
              <w:instrText xml:space="preserve"> PAGEREF _Toc219375244 \h </w:instrText>
            </w:r>
            <w:r w:rsidRPr="000F26BD">
              <w:rPr>
                <w:rFonts w:ascii="Arial" w:hAnsi="Arial" w:cs="Arial"/>
                <w:noProof/>
                <w:webHidden/>
                <w:sz w:val="24"/>
                <w:szCs w:val="24"/>
              </w:rPr>
            </w:r>
            <w:r w:rsidRPr="000F26BD">
              <w:rPr>
                <w:rFonts w:ascii="Arial" w:hAnsi="Arial" w:cs="Arial"/>
                <w:noProof/>
                <w:webHidden/>
                <w:sz w:val="24"/>
                <w:szCs w:val="24"/>
              </w:rPr>
              <w:fldChar w:fldCharType="separate"/>
            </w:r>
            <w:r w:rsidRPr="000F26BD">
              <w:rPr>
                <w:rFonts w:ascii="Arial" w:hAnsi="Arial" w:cs="Arial"/>
                <w:noProof/>
                <w:webHidden/>
                <w:sz w:val="24"/>
                <w:szCs w:val="24"/>
              </w:rPr>
              <w:t>80</w:t>
            </w:r>
            <w:r w:rsidRPr="000F26BD">
              <w:rPr>
                <w:rFonts w:ascii="Arial" w:hAnsi="Arial" w:cs="Arial"/>
                <w:noProof/>
                <w:webHidden/>
                <w:sz w:val="24"/>
                <w:szCs w:val="24"/>
              </w:rPr>
              <w:fldChar w:fldCharType="end"/>
            </w:r>
          </w:hyperlink>
        </w:p>
        <w:p w14:paraId="21124253" w14:textId="291CC2FC" w:rsidR="000F26BD" w:rsidRPr="000F26BD" w:rsidRDefault="000F26BD" w:rsidP="000F26BD">
          <w:pPr>
            <w:pStyle w:val="Spistreci1"/>
            <w:tabs>
              <w:tab w:val="right" w:leader="dot" w:pos="9060"/>
            </w:tabs>
            <w:spacing w:after="0" w:line="360" w:lineRule="auto"/>
            <w:rPr>
              <w:rFonts w:ascii="Arial" w:eastAsiaTheme="minorEastAsia" w:hAnsi="Arial" w:cs="Arial"/>
              <w:noProof/>
              <w:kern w:val="0"/>
              <w:sz w:val="24"/>
              <w:szCs w:val="24"/>
              <w:lang w:eastAsia="pl-PL"/>
              <w14:ligatures w14:val="none"/>
            </w:rPr>
          </w:pPr>
          <w:hyperlink w:anchor="_Toc219375245" w:history="1">
            <w:r w:rsidRPr="000F26BD">
              <w:rPr>
                <w:rStyle w:val="Hipercze"/>
                <w:rFonts w:ascii="Arial" w:hAnsi="Arial" w:cs="Arial"/>
                <w:noProof/>
                <w:sz w:val="24"/>
                <w:szCs w:val="24"/>
              </w:rPr>
              <w:t>Źródła informacji o Funduszach Europejskich</w:t>
            </w:r>
            <w:r w:rsidRPr="000F26BD">
              <w:rPr>
                <w:rFonts w:ascii="Arial" w:hAnsi="Arial" w:cs="Arial"/>
                <w:noProof/>
                <w:webHidden/>
                <w:sz w:val="24"/>
                <w:szCs w:val="24"/>
              </w:rPr>
              <w:tab/>
            </w:r>
            <w:r w:rsidRPr="000F26BD">
              <w:rPr>
                <w:rFonts w:ascii="Arial" w:hAnsi="Arial" w:cs="Arial"/>
                <w:noProof/>
                <w:webHidden/>
                <w:sz w:val="24"/>
                <w:szCs w:val="24"/>
              </w:rPr>
              <w:fldChar w:fldCharType="begin"/>
            </w:r>
            <w:r w:rsidRPr="000F26BD">
              <w:rPr>
                <w:rFonts w:ascii="Arial" w:hAnsi="Arial" w:cs="Arial"/>
                <w:noProof/>
                <w:webHidden/>
                <w:sz w:val="24"/>
                <w:szCs w:val="24"/>
              </w:rPr>
              <w:instrText xml:space="preserve"> PAGEREF _Toc219375245 \h </w:instrText>
            </w:r>
            <w:r w:rsidRPr="000F26BD">
              <w:rPr>
                <w:rFonts w:ascii="Arial" w:hAnsi="Arial" w:cs="Arial"/>
                <w:noProof/>
                <w:webHidden/>
                <w:sz w:val="24"/>
                <w:szCs w:val="24"/>
              </w:rPr>
            </w:r>
            <w:r w:rsidRPr="000F26BD">
              <w:rPr>
                <w:rFonts w:ascii="Arial" w:hAnsi="Arial" w:cs="Arial"/>
                <w:noProof/>
                <w:webHidden/>
                <w:sz w:val="24"/>
                <w:szCs w:val="24"/>
              </w:rPr>
              <w:fldChar w:fldCharType="separate"/>
            </w:r>
            <w:r w:rsidRPr="000F26BD">
              <w:rPr>
                <w:rFonts w:ascii="Arial" w:hAnsi="Arial" w:cs="Arial"/>
                <w:noProof/>
                <w:webHidden/>
                <w:sz w:val="24"/>
                <w:szCs w:val="24"/>
              </w:rPr>
              <w:t>94</w:t>
            </w:r>
            <w:r w:rsidRPr="000F26BD">
              <w:rPr>
                <w:rFonts w:ascii="Arial" w:hAnsi="Arial" w:cs="Arial"/>
                <w:noProof/>
                <w:webHidden/>
                <w:sz w:val="24"/>
                <w:szCs w:val="24"/>
              </w:rPr>
              <w:fldChar w:fldCharType="end"/>
            </w:r>
          </w:hyperlink>
        </w:p>
        <w:p w14:paraId="548734DB" w14:textId="3DC98319" w:rsidR="000F26BD" w:rsidRPr="000F26BD" w:rsidRDefault="000F26BD" w:rsidP="000F26BD">
          <w:pPr>
            <w:pStyle w:val="Spistreci1"/>
            <w:tabs>
              <w:tab w:val="right" w:leader="dot" w:pos="9060"/>
            </w:tabs>
            <w:spacing w:after="0" w:line="360" w:lineRule="auto"/>
            <w:rPr>
              <w:rFonts w:ascii="Arial" w:eastAsiaTheme="minorEastAsia" w:hAnsi="Arial" w:cs="Arial"/>
              <w:noProof/>
              <w:kern w:val="0"/>
              <w:sz w:val="24"/>
              <w:szCs w:val="24"/>
              <w:lang w:eastAsia="pl-PL"/>
              <w14:ligatures w14:val="none"/>
            </w:rPr>
          </w:pPr>
          <w:hyperlink w:anchor="_Toc219375246" w:history="1">
            <w:r w:rsidRPr="000F26BD">
              <w:rPr>
                <w:rStyle w:val="Hipercze"/>
                <w:rFonts w:ascii="Arial" w:hAnsi="Arial" w:cs="Arial"/>
                <w:noProof/>
                <w:sz w:val="24"/>
                <w:szCs w:val="24"/>
              </w:rPr>
              <w:t>Znajomość narzędzi komunikacyjnych stosowanych w działaniach promocyjno-informacyjnych</w:t>
            </w:r>
            <w:r w:rsidRPr="000F26BD">
              <w:rPr>
                <w:rFonts w:ascii="Arial" w:hAnsi="Arial" w:cs="Arial"/>
                <w:noProof/>
                <w:webHidden/>
                <w:sz w:val="24"/>
                <w:szCs w:val="24"/>
              </w:rPr>
              <w:tab/>
            </w:r>
            <w:r w:rsidRPr="000F26BD">
              <w:rPr>
                <w:rFonts w:ascii="Arial" w:hAnsi="Arial" w:cs="Arial"/>
                <w:noProof/>
                <w:webHidden/>
                <w:sz w:val="24"/>
                <w:szCs w:val="24"/>
              </w:rPr>
              <w:fldChar w:fldCharType="begin"/>
            </w:r>
            <w:r w:rsidRPr="000F26BD">
              <w:rPr>
                <w:rFonts w:ascii="Arial" w:hAnsi="Arial" w:cs="Arial"/>
                <w:noProof/>
                <w:webHidden/>
                <w:sz w:val="24"/>
                <w:szCs w:val="24"/>
              </w:rPr>
              <w:instrText xml:space="preserve"> PAGEREF _Toc219375246 \h </w:instrText>
            </w:r>
            <w:r w:rsidRPr="000F26BD">
              <w:rPr>
                <w:rFonts w:ascii="Arial" w:hAnsi="Arial" w:cs="Arial"/>
                <w:noProof/>
                <w:webHidden/>
                <w:sz w:val="24"/>
                <w:szCs w:val="24"/>
              </w:rPr>
            </w:r>
            <w:r w:rsidRPr="000F26BD">
              <w:rPr>
                <w:rFonts w:ascii="Arial" w:hAnsi="Arial" w:cs="Arial"/>
                <w:noProof/>
                <w:webHidden/>
                <w:sz w:val="24"/>
                <w:szCs w:val="24"/>
              </w:rPr>
              <w:fldChar w:fldCharType="separate"/>
            </w:r>
            <w:r w:rsidRPr="000F26BD">
              <w:rPr>
                <w:rFonts w:ascii="Arial" w:hAnsi="Arial" w:cs="Arial"/>
                <w:noProof/>
                <w:webHidden/>
                <w:sz w:val="24"/>
                <w:szCs w:val="24"/>
              </w:rPr>
              <w:t>94</w:t>
            </w:r>
            <w:r w:rsidRPr="000F26BD">
              <w:rPr>
                <w:rFonts w:ascii="Arial" w:hAnsi="Arial" w:cs="Arial"/>
                <w:noProof/>
                <w:webHidden/>
                <w:sz w:val="24"/>
                <w:szCs w:val="24"/>
              </w:rPr>
              <w:fldChar w:fldCharType="end"/>
            </w:r>
          </w:hyperlink>
        </w:p>
        <w:p w14:paraId="62039311" w14:textId="6C6E65A3" w:rsidR="000F26BD" w:rsidRPr="000F26BD" w:rsidRDefault="000F26BD" w:rsidP="000F26BD">
          <w:pPr>
            <w:pStyle w:val="Spistreci1"/>
            <w:tabs>
              <w:tab w:val="right" w:leader="dot" w:pos="9060"/>
            </w:tabs>
            <w:spacing w:after="0" w:line="360" w:lineRule="auto"/>
            <w:rPr>
              <w:rFonts w:ascii="Arial" w:eastAsiaTheme="minorEastAsia" w:hAnsi="Arial" w:cs="Arial"/>
              <w:noProof/>
              <w:kern w:val="0"/>
              <w:sz w:val="24"/>
              <w:szCs w:val="24"/>
              <w:lang w:eastAsia="pl-PL"/>
              <w14:ligatures w14:val="none"/>
            </w:rPr>
          </w:pPr>
          <w:hyperlink w:anchor="_Toc219375247" w:history="1">
            <w:r w:rsidRPr="000F26BD">
              <w:rPr>
                <w:rStyle w:val="Hipercze"/>
                <w:rFonts w:ascii="Arial" w:hAnsi="Arial" w:cs="Arial"/>
                <w:noProof/>
                <w:sz w:val="24"/>
                <w:szCs w:val="24"/>
              </w:rPr>
              <w:t>Poszukiwanie informacji oraz ocena przekazu na temat FE</w:t>
            </w:r>
            <w:r w:rsidRPr="000F26BD">
              <w:rPr>
                <w:rFonts w:ascii="Arial" w:hAnsi="Arial" w:cs="Arial"/>
                <w:noProof/>
                <w:webHidden/>
                <w:sz w:val="24"/>
                <w:szCs w:val="24"/>
              </w:rPr>
              <w:tab/>
            </w:r>
            <w:r w:rsidRPr="000F26BD">
              <w:rPr>
                <w:rFonts w:ascii="Arial" w:hAnsi="Arial" w:cs="Arial"/>
                <w:noProof/>
                <w:webHidden/>
                <w:sz w:val="24"/>
                <w:szCs w:val="24"/>
              </w:rPr>
              <w:fldChar w:fldCharType="begin"/>
            </w:r>
            <w:r w:rsidRPr="000F26BD">
              <w:rPr>
                <w:rFonts w:ascii="Arial" w:hAnsi="Arial" w:cs="Arial"/>
                <w:noProof/>
                <w:webHidden/>
                <w:sz w:val="24"/>
                <w:szCs w:val="24"/>
              </w:rPr>
              <w:instrText xml:space="preserve"> PAGEREF _Toc219375247 \h </w:instrText>
            </w:r>
            <w:r w:rsidRPr="000F26BD">
              <w:rPr>
                <w:rFonts w:ascii="Arial" w:hAnsi="Arial" w:cs="Arial"/>
                <w:noProof/>
                <w:webHidden/>
                <w:sz w:val="24"/>
                <w:szCs w:val="24"/>
              </w:rPr>
            </w:r>
            <w:r w:rsidRPr="000F26BD">
              <w:rPr>
                <w:rFonts w:ascii="Arial" w:hAnsi="Arial" w:cs="Arial"/>
                <w:noProof/>
                <w:webHidden/>
                <w:sz w:val="24"/>
                <w:szCs w:val="24"/>
              </w:rPr>
              <w:fldChar w:fldCharType="separate"/>
            </w:r>
            <w:r w:rsidRPr="000F26BD">
              <w:rPr>
                <w:rFonts w:ascii="Arial" w:hAnsi="Arial" w:cs="Arial"/>
                <w:noProof/>
                <w:webHidden/>
                <w:sz w:val="24"/>
                <w:szCs w:val="24"/>
              </w:rPr>
              <w:t>100</w:t>
            </w:r>
            <w:r w:rsidRPr="000F26BD">
              <w:rPr>
                <w:rFonts w:ascii="Arial" w:hAnsi="Arial" w:cs="Arial"/>
                <w:noProof/>
                <w:webHidden/>
                <w:sz w:val="24"/>
                <w:szCs w:val="24"/>
              </w:rPr>
              <w:fldChar w:fldCharType="end"/>
            </w:r>
          </w:hyperlink>
        </w:p>
        <w:p w14:paraId="3E2DE764" w14:textId="02449617" w:rsidR="000F26BD" w:rsidRPr="000F26BD" w:rsidRDefault="000F26BD" w:rsidP="000F26BD">
          <w:pPr>
            <w:pStyle w:val="Spistreci1"/>
            <w:tabs>
              <w:tab w:val="right" w:leader="dot" w:pos="9060"/>
            </w:tabs>
            <w:spacing w:after="0" w:line="360" w:lineRule="auto"/>
            <w:rPr>
              <w:rFonts w:ascii="Arial" w:eastAsiaTheme="minorEastAsia" w:hAnsi="Arial" w:cs="Arial"/>
              <w:noProof/>
              <w:kern w:val="0"/>
              <w:sz w:val="24"/>
              <w:szCs w:val="24"/>
              <w:lang w:eastAsia="pl-PL"/>
              <w14:ligatures w14:val="none"/>
            </w:rPr>
          </w:pPr>
          <w:hyperlink w:anchor="_Toc219375248" w:history="1">
            <w:r w:rsidRPr="000F26BD">
              <w:rPr>
                <w:rStyle w:val="Hipercze"/>
                <w:rFonts w:ascii="Arial" w:hAnsi="Arial" w:cs="Arial"/>
                <w:noProof/>
                <w:sz w:val="24"/>
                <w:szCs w:val="24"/>
              </w:rPr>
              <w:t>Krajowy Plan Odbudowy</w:t>
            </w:r>
            <w:r w:rsidRPr="000F26BD">
              <w:rPr>
                <w:rFonts w:ascii="Arial" w:hAnsi="Arial" w:cs="Arial"/>
                <w:noProof/>
                <w:webHidden/>
                <w:sz w:val="24"/>
                <w:szCs w:val="24"/>
              </w:rPr>
              <w:tab/>
            </w:r>
            <w:r w:rsidRPr="000F26BD">
              <w:rPr>
                <w:rFonts w:ascii="Arial" w:hAnsi="Arial" w:cs="Arial"/>
                <w:noProof/>
                <w:webHidden/>
                <w:sz w:val="24"/>
                <w:szCs w:val="24"/>
              </w:rPr>
              <w:fldChar w:fldCharType="begin"/>
            </w:r>
            <w:r w:rsidRPr="000F26BD">
              <w:rPr>
                <w:rFonts w:ascii="Arial" w:hAnsi="Arial" w:cs="Arial"/>
                <w:noProof/>
                <w:webHidden/>
                <w:sz w:val="24"/>
                <w:szCs w:val="24"/>
              </w:rPr>
              <w:instrText xml:space="preserve"> PAGEREF _Toc219375248 \h </w:instrText>
            </w:r>
            <w:r w:rsidRPr="000F26BD">
              <w:rPr>
                <w:rFonts w:ascii="Arial" w:hAnsi="Arial" w:cs="Arial"/>
                <w:noProof/>
                <w:webHidden/>
                <w:sz w:val="24"/>
                <w:szCs w:val="24"/>
              </w:rPr>
            </w:r>
            <w:r w:rsidRPr="000F26BD">
              <w:rPr>
                <w:rFonts w:ascii="Arial" w:hAnsi="Arial" w:cs="Arial"/>
                <w:noProof/>
                <w:webHidden/>
                <w:sz w:val="24"/>
                <w:szCs w:val="24"/>
              </w:rPr>
              <w:fldChar w:fldCharType="separate"/>
            </w:r>
            <w:r w:rsidRPr="000F26BD">
              <w:rPr>
                <w:rFonts w:ascii="Arial" w:hAnsi="Arial" w:cs="Arial"/>
                <w:noProof/>
                <w:webHidden/>
                <w:sz w:val="24"/>
                <w:szCs w:val="24"/>
              </w:rPr>
              <w:t>116</w:t>
            </w:r>
            <w:r w:rsidRPr="000F26BD">
              <w:rPr>
                <w:rFonts w:ascii="Arial" w:hAnsi="Arial" w:cs="Arial"/>
                <w:noProof/>
                <w:webHidden/>
                <w:sz w:val="24"/>
                <w:szCs w:val="24"/>
              </w:rPr>
              <w:fldChar w:fldCharType="end"/>
            </w:r>
          </w:hyperlink>
        </w:p>
        <w:p w14:paraId="0212B69B" w14:textId="2A22D3ED" w:rsidR="000F26BD" w:rsidRPr="000F26BD" w:rsidRDefault="000F26BD" w:rsidP="000F26BD">
          <w:pPr>
            <w:pStyle w:val="Spistreci1"/>
            <w:tabs>
              <w:tab w:val="right" w:leader="dot" w:pos="9060"/>
            </w:tabs>
            <w:spacing w:after="0" w:line="360" w:lineRule="auto"/>
            <w:rPr>
              <w:rFonts w:ascii="Arial" w:eastAsiaTheme="minorEastAsia" w:hAnsi="Arial" w:cs="Arial"/>
              <w:noProof/>
              <w:kern w:val="0"/>
              <w:sz w:val="24"/>
              <w:szCs w:val="24"/>
              <w:lang w:eastAsia="pl-PL"/>
              <w14:ligatures w14:val="none"/>
            </w:rPr>
          </w:pPr>
          <w:hyperlink w:anchor="_Toc219375249" w:history="1">
            <w:r w:rsidRPr="000F26BD">
              <w:rPr>
                <w:rStyle w:val="Hipercze"/>
                <w:rFonts w:ascii="Arial" w:hAnsi="Arial" w:cs="Arial"/>
                <w:noProof/>
                <w:sz w:val="24"/>
                <w:szCs w:val="24"/>
              </w:rPr>
              <w:t>Podsumowanie</w:t>
            </w:r>
            <w:r w:rsidRPr="000F26BD">
              <w:rPr>
                <w:rFonts w:ascii="Arial" w:hAnsi="Arial" w:cs="Arial"/>
                <w:noProof/>
                <w:webHidden/>
                <w:sz w:val="24"/>
                <w:szCs w:val="24"/>
              </w:rPr>
              <w:tab/>
            </w:r>
            <w:r w:rsidRPr="000F26BD">
              <w:rPr>
                <w:rFonts w:ascii="Arial" w:hAnsi="Arial" w:cs="Arial"/>
                <w:noProof/>
                <w:webHidden/>
                <w:sz w:val="24"/>
                <w:szCs w:val="24"/>
              </w:rPr>
              <w:fldChar w:fldCharType="begin"/>
            </w:r>
            <w:r w:rsidRPr="000F26BD">
              <w:rPr>
                <w:rFonts w:ascii="Arial" w:hAnsi="Arial" w:cs="Arial"/>
                <w:noProof/>
                <w:webHidden/>
                <w:sz w:val="24"/>
                <w:szCs w:val="24"/>
              </w:rPr>
              <w:instrText xml:space="preserve"> PAGEREF _Toc219375249 \h </w:instrText>
            </w:r>
            <w:r w:rsidRPr="000F26BD">
              <w:rPr>
                <w:rFonts w:ascii="Arial" w:hAnsi="Arial" w:cs="Arial"/>
                <w:noProof/>
                <w:webHidden/>
                <w:sz w:val="24"/>
                <w:szCs w:val="24"/>
              </w:rPr>
            </w:r>
            <w:r w:rsidRPr="000F26BD">
              <w:rPr>
                <w:rFonts w:ascii="Arial" w:hAnsi="Arial" w:cs="Arial"/>
                <w:noProof/>
                <w:webHidden/>
                <w:sz w:val="24"/>
                <w:szCs w:val="24"/>
              </w:rPr>
              <w:fldChar w:fldCharType="separate"/>
            </w:r>
            <w:r w:rsidRPr="000F26BD">
              <w:rPr>
                <w:rFonts w:ascii="Arial" w:hAnsi="Arial" w:cs="Arial"/>
                <w:noProof/>
                <w:webHidden/>
                <w:sz w:val="24"/>
                <w:szCs w:val="24"/>
              </w:rPr>
              <w:t>120</w:t>
            </w:r>
            <w:r w:rsidRPr="000F26BD">
              <w:rPr>
                <w:rFonts w:ascii="Arial" w:hAnsi="Arial" w:cs="Arial"/>
                <w:noProof/>
                <w:webHidden/>
                <w:sz w:val="24"/>
                <w:szCs w:val="24"/>
              </w:rPr>
              <w:fldChar w:fldCharType="end"/>
            </w:r>
          </w:hyperlink>
        </w:p>
        <w:p w14:paraId="22F41288" w14:textId="5EB29F42" w:rsidR="000F26BD" w:rsidRPr="000F26BD" w:rsidRDefault="000F26BD" w:rsidP="000F26BD">
          <w:pPr>
            <w:pStyle w:val="Spistreci1"/>
            <w:tabs>
              <w:tab w:val="right" w:leader="dot" w:pos="9060"/>
            </w:tabs>
            <w:spacing w:after="0" w:line="360" w:lineRule="auto"/>
            <w:rPr>
              <w:rFonts w:ascii="Arial" w:eastAsiaTheme="minorEastAsia" w:hAnsi="Arial" w:cs="Arial"/>
              <w:noProof/>
              <w:kern w:val="0"/>
              <w:sz w:val="24"/>
              <w:szCs w:val="24"/>
              <w:lang w:eastAsia="pl-PL"/>
              <w14:ligatures w14:val="none"/>
            </w:rPr>
          </w:pPr>
          <w:hyperlink w:anchor="_Toc219375250" w:history="1">
            <w:r w:rsidRPr="000F26BD">
              <w:rPr>
                <w:rStyle w:val="Hipercze"/>
                <w:rFonts w:ascii="Arial" w:hAnsi="Arial" w:cs="Arial"/>
                <w:noProof/>
                <w:sz w:val="24"/>
                <w:szCs w:val="24"/>
              </w:rPr>
              <w:t>Wnioski</w:t>
            </w:r>
            <w:r w:rsidRPr="000F26BD">
              <w:rPr>
                <w:rFonts w:ascii="Arial" w:hAnsi="Arial" w:cs="Arial"/>
                <w:noProof/>
                <w:webHidden/>
                <w:sz w:val="24"/>
                <w:szCs w:val="24"/>
              </w:rPr>
              <w:tab/>
            </w:r>
            <w:r w:rsidRPr="000F26BD">
              <w:rPr>
                <w:rFonts w:ascii="Arial" w:hAnsi="Arial" w:cs="Arial"/>
                <w:noProof/>
                <w:webHidden/>
                <w:sz w:val="24"/>
                <w:szCs w:val="24"/>
              </w:rPr>
              <w:fldChar w:fldCharType="begin"/>
            </w:r>
            <w:r w:rsidRPr="000F26BD">
              <w:rPr>
                <w:rFonts w:ascii="Arial" w:hAnsi="Arial" w:cs="Arial"/>
                <w:noProof/>
                <w:webHidden/>
                <w:sz w:val="24"/>
                <w:szCs w:val="24"/>
              </w:rPr>
              <w:instrText xml:space="preserve"> PAGEREF _Toc219375250 \h </w:instrText>
            </w:r>
            <w:r w:rsidRPr="000F26BD">
              <w:rPr>
                <w:rFonts w:ascii="Arial" w:hAnsi="Arial" w:cs="Arial"/>
                <w:noProof/>
                <w:webHidden/>
                <w:sz w:val="24"/>
                <w:szCs w:val="24"/>
              </w:rPr>
            </w:r>
            <w:r w:rsidRPr="000F26BD">
              <w:rPr>
                <w:rFonts w:ascii="Arial" w:hAnsi="Arial" w:cs="Arial"/>
                <w:noProof/>
                <w:webHidden/>
                <w:sz w:val="24"/>
                <w:szCs w:val="24"/>
              </w:rPr>
              <w:fldChar w:fldCharType="separate"/>
            </w:r>
            <w:r w:rsidRPr="000F26BD">
              <w:rPr>
                <w:rFonts w:ascii="Arial" w:hAnsi="Arial" w:cs="Arial"/>
                <w:noProof/>
                <w:webHidden/>
                <w:sz w:val="24"/>
                <w:szCs w:val="24"/>
              </w:rPr>
              <w:t>124</w:t>
            </w:r>
            <w:r w:rsidRPr="000F26BD">
              <w:rPr>
                <w:rFonts w:ascii="Arial" w:hAnsi="Arial" w:cs="Arial"/>
                <w:noProof/>
                <w:webHidden/>
                <w:sz w:val="24"/>
                <w:szCs w:val="24"/>
              </w:rPr>
              <w:fldChar w:fldCharType="end"/>
            </w:r>
          </w:hyperlink>
        </w:p>
        <w:p w14:paraId="0877A40F" w14:textId="305A7E5A" w:rsidR="000F26BD" w:rsidRDefault="000F26BD" w:rsidP="000F26BD">
          <w:pPr>
            <w:pStyle w:val="Spistreci1"/>
            <w:tabs>
              <w:tab w:val="right" w:leader="dot" w:pos="9060"/>
            </w:tabs>
            <w:spacing w:after="0" w:line="360" w:lineRule="auto"/>
            <w:rPr>
              <w:rFonts w:eastAsiaTheme="minorEastAsia"/>
              <w:noProof/>
              <w:kern w:val="0"/>
              <w:lang w:eastAsia="pl-PL"/>
              <w14:ligatures w14:val="none"/>
            </w:rPr>
          </w:pPr>
          <w:hyperlink w:anchor="_Toc219375251" w:history="1">
            <w:r w:rsidRPr="000F26BD">
              <w:rPr>
                <w:rStyle w:val="Hipercze"/>
                <w:rFonts w:ascii="Arial" w:hAnsi="Arial" w:cs="Arial"/>
                <w:noProof/>
                <w:sz w:val="24"/>
                <w:szCs w:val="24"/>
              </w:rPr>
              <w:t>Spis wykresów i tabel</w:t>
            </w:r>
            <w:r w:rsidRPr="000F26BD">
              <w:rPr>
                <w:rFonts w:ascii="Arial" w:hAnsi="Arial" w:cs="Arial"/>
                <w:noProof/>
                <w:webHidden/>
                <w:sz w:val="24"/>
                <w:szCs w:val="24"/>
              </w:rPr>
              <w:tab/>
            </w:r>
            <w:r w:rsidRPr="000F26BD">
              <w:rPr>
                <w:rFonts w:ascii="Arial" w:hAnsi="Arial" w:cs="Arial"/>
                <w:noProof/>
                <w:webHidden/>
                <w:sz w:val="24"/>
                <w:szCs w:val="24"/>
              </w:rPr>
              <w:fldChar w:fldCharType="begin"/>
            </w:r>
            <w:r w:rsidRPr="000F26BD">
              <w:rPr>
                <w:rFonts w:ascii="Arial" w:hAnsi="Arial" w:cs="Arial"/>
                <w:noProof/>
                <w:webHidden/>
                <w:sz w:val="24"/>
                <w:szCs w:val="24"/>
              </w:rPr>
              <w:instrText xml:space="preserve"> PAGEREF _Toc219375251 \h </w:instrText>
            </w:r>
            <w:r w:rsidRPr="000F26BD">
              <w:rPr>
                <w:rFonts w:ascii="Arial" w:hAnsi="Arial" w:cs="Arial"/>
                <w:noProof/>
                <w:webHidden/>
                <w:sz w:val="24"/>
                <w:szCs w:val="24"/>
              </w:rPr>
            </w:r>
            <w:r w:rsidRPr="000F26BD">
              <w:rPr>
                <w:rFonts w:ascii="Arial" w:hAnsi="Arial" w:cs="Arial"/>
                <w:noProof/>
                <w:webHidden/>
                <w:sz w:val="24"/>
                <w:szCs w:val="24"/>
              </w:rPr>
              <w:fldChar w:fldCharType="separate"/>
            </w:r>
            <w:r w:rsidRPr="000F26BD">
              <w:rPr>
                <w:rFonts w:ascii="Arial" w:hAnsi="Arial" w:cs="Arial"/>
                <w:noProof/>
                <w:webHidden/>
                <w:sz w:val="24"/>
                <w:szCs w:val="24"/>
              </w:rPr>
              <w:t>129</w:t>
            </w:r>
            <w:r w:rsidRPr="000F26BD">
              <w:rPr>
                <w:rFonts w:ascii="Arial" w:hAnsi="Arial" w:cs="Arial"/>
                <w:noProof/>
                <w:webHidden/>
                <w:sz w:val="24"/>
                <w:szCs w:val="24"/>
              </w:rPr>
              <w:fldChar w:fldCharType="end"/>
            </w:r>
          </w:hyperlink>
        </w:p>
        <w:p w14:paraId="6DF52991" w14:textId="70DD83DA" w:rsidR="00BA6140" w:rsidRPr="0028226B" w:rsidRDefault="00BA6140" w:rsidP="00AA4EBE">
          <w:pPr>
            <w:spacing w:before="240"/>
            <w:rPr>
              <w:rFonts w:ascii="Arial" w:hAnsi="Arial" w:cs="Arial"/>
              <w:sz w:val="24"/>
              <w:szCs w:val="24"/>
            </w:rPr>
          </w:pPr>
          <w:r w:rsidRPr="007B2D8B">
            <w:rPr>
              <w:rFonts w:ascii="Arial" w:hAnsi="Arial" w:cs="Arial"/>
              <w:b/>
              <w:bCs/>
              <w:sz w:val="24"/>
              <w:szCs w:val="24"/>
            </w:rPr>
            <w:fldChar w:fldCharType="end"/>
          </w:r>
        </w:p>
      </w:sdtContent>
    </w:sdt>
    <w:p w14:paraId="2FADEAD8" w14:textId="77777777" w:rsidR="00BA6140" w:rsidRPr="0028226B" w:rsidRDefault="00BA6140" w:rsidP="00BA6140">
      <w:pPr>
        <w:pStyle w:val="Nagwek1"/>
        <w:rPr>
          <w:rFonts w:ascii="Arial" w:hAnsi="Arial" w:cs="Arial"/>
          <w:b/>
          <w:bCs/>
          <w:color w:val="auto"/>
          <w:sz w:val="24"/>
          <w:szCs w:val="24"/>
        </w:rPr>
      </w:pPr>
    </w:p>
    <w:p w14:paraId="6B2F1038" w14:textId="55F8935A" w:rsidR="007B734D" w:rsidRDefault="007B734D" w:rsidP="007B734D">
      <w:pPr>
        <w:rPr>
          <w:rFonts w:ascii="Arial" w:hAnsi="Arial" w:cs="Arial"/>
          <w:sz w:val="24"/>
          <w:szCs w:val="24"/>
        </w:rPr>
      </w:pPr>
    </w:p>
    <w:p w14:paraId="19FF1175" w14:textId="34B9F3EC" w:rsidR="007B2D8B" w:rsidRDefault="007B2D8B" w:rsidP="007B734D">
      <w:pPr>
        <w:rPr>
          <w:rFonts w:ascii="Arial" w:hAnsi="Arial" w:cs="Arial"/>
          <w:sz w:val="24"/>
          <w:szCs w:val="24"/>
        </w:rPr>
      </w:pPr>
    </w:p>
    <w:p w14:paraId="12D1833F" w14:textId="77777777" w:rsidR="000F26BD" w:rsidRDefault="000F26BD">
      <w:pPr>
        <w:rPr>
          <w:rFonts w:ascii="Arial" w:eastAsiaTheme="majorEastAsia" w:hAnsi="Arial" w:cs="Arial"/>
          <w:b/>
          <w:bCs/>
          <w:sz w:val="24"/>
          <w:szCs w:val="24"/>
        </w:rPr>
      </w:pPr>
      <w:bookmarkStart w:id="0" w:name="_Toc219375232"/>
      <w:r>
        <w:rPr>
          <w:rFonts w:ascii="Arial" w:hAnsi="Arial" w:cs="Arial"/>
          <w:b/>
          <w:bCs/>
          <w:sz w:val="24"/>
          <w:szCs w:val="24"/>
        </w:rPr>
        <w:br w:type="page"/>
      </w:r>
    </w:p>
    <w:p w14:paraId="238CC1BF" w14:textId="4B72EBEB" w:rsidR="00D64FC6" w:rsidRPr="0028226B" w:rsidRDefault="00D64FC6" w:rsidP="00D64FC6">
      <w:pPr>
        <w:pStyle w:val="Nagwek1"/>
        <w:shd w:val="clear" w:color="auto" w:fill="061A3D"/>
        <w:rPr>
          <w:rFonts w:ascii="Arial" w:hAnsi="Arial" w:cs="Arial"/>
          <w:b/>
          <w:bCs/>
          <w:color w:val="auto"/>
          <w:sz w:val="24"/>
          <w:szCs w:val="24"/>
        </w:rPr>
      </w:pPr>
      <w:r w:rsidRPr="0028226B">
        <w:rPr>
          <w:rFonts w:ascii="Arial" w:hAnsi="Arial" w:cs="Arial"/>
          <w:b/>
          <w:bCs/>
          <w:color w:val="auto"/>
          <w:sz w:val="24"/>
          <w:szCs w:val="24"/>
        </w:rPr>
        <w:lastRenderedPageBreak/>
        <w:t>Streszczenie</w:t>
      </w:r>
      <w:bookmarkEnd w:id="0"/>
    </w:p>
    <w:p w14:paraId="69F1819E" w14:textId="54DDB400" w:rsidR="00D64FC6" w:rsidRPr="0028226B" w:rsidRDefault="00D64FC6" w:rsidP="00D64FC6">
      <w:pPr>
        <w:spacing w:before="240" w:line="360" w:lineRule="auto"/>
        <w:rPr>
          <w:rFonts w:ascii="Arial" w:hAnsi="Arial" w:cs="Arial"/>
          <w:sz w:val="24"/>
          <w:szCs w:val="24"/>
        </w:rPr>
      </w:pPr>
      <w:bookmarkStart w:id="1" w:name="_Hlk215064620"/>
      <w:r w:rsidRPr="0028226B">
        <w:rPr>
          <w:rFonts w:ascii="Arial" w:hAnsi="Arial" w:cs="Arial"/>
          <w:sz w:val="24"/>
          <w:szCs w:val="24"/>
        </w:rPr>
        <w:t>Badanie rozpoznawalności i wiedzy o Funduszach Europejskich przeprowadzone w 2025 roku na reprezentatywnej próbie mieszkańców Polski (N=1000) pozwala szczegółowo ocenić poziom świadomości społecznej, znajomość narzędzi komunikacyjnych, sposób postrzegania korzyści oraz odbiór efektów realizowanych inwestycji. Struktura próby odzwierciedla zróżnicowanie społeczeństwa pod względem płci, wieku, wykształcenia, województwa oraz wielkości miejscowości, co umożliwia analizę wyników w przekrojach demograficznych.</w:t>
      </w:r>
    </w:p>
    <w:p w14:paraId="7106844E" w14:textId="7D26F0EE" w:rsidR="00D64FC6" w:rsidRDefault="00D64FC6" w:rsidP="00D64FC6">
      <w:pPr>
        <w:spacing w:before="240" w:line="360" w:lineRule="auto"/>
        <w:rPr>
          <w:rFonts w:ascii="Arial" w:hAnsi="Arial" w:cs="Arial"/>
          <w:sz w:val="24"/>
          <w:szCs w:val="24"/>
        </w:rPr>
      </w:pPr>
      <w:r w:rsidRPr="00B70F4E">
        <w:rPr>
          <w:rFonts w:ascii="Arial" w:hAnsi="Arial" w:cs="Arial"/>
          <w:sz w:val="24"/>
          <w:szCs w:val="24"/>
          <w:highlight w:val="yellow"/>
        </w:rPr>
        <w:t>Rozpoznawalność Funduszy Europejskich pozostaje bardzo wysoka i stabilna. Aż 96% respondentów deklaruje, że w 2025 roku spotkało się z pojęciami „Fundusze Europejskie” lub „Fundusze Unijne”, co jest najwyższą wartością w całym monitorowanym okresie</w:t>
      </w:r>
      <w:r w:rsidR="00A26C79" w:rsidRPr="00B70F4E">
        <w:rPr>
          <w:rFonts w:ascii="Arial" w:hAnsi="Arial" w:cs="Arial"/>
          <w:sz w:val="24"/>
          <w:szCs w:val="24"/>
          <w:highlight w:val="yellow"/>
        </w:rPr>
        <w:t xml:space="preserve"> (od </w:t>
      </w:r>
      <w:r w:rsidR="000C57F5" w:rsidRPr="00B70F4E">
        <w:rPr>
          <w:rFonts w:ascii="Arial" w:hAnsi="Arial" w:cs="Arial"/>
          <w:sz w:val="24"/>
          <w:szCs w:val="24"/>
          <w:highlight w:val="yellow"/>
        </w:rPr>
        <w:t>2009</w:t>
      </w:r>
      <w:r w:rsidR="00A26C79" w:rsidRPr="00B70F4E">
        <w:rPr>
          <w:rFonts w:ascii="Arial" w:hAnsi="Arial" w:cs="Arial"/>
          <w:sz w:val="24"/>
          <w:szCs w:val="24"/>
          <w:highlight w:val="yellow"/>
        </w:rPr>
        <w:t xml:space="preserve"> roku)</w:t>
      </w:r>
      <w:r w:rsidRPr="00B70F4E">
        <w:rPr>
          <w:rFonts w:ascii="Arial" w:hAnsi="Arial" w:cs="Arial"/>
          <w:sz w:val="24"/>
          <w:szCs w:val="24"/>
          <w:highlight w:val="yellow"/>
        </w:rPr>
        <w:t>.</w:t>
      </w:r>
      <w:r w:rsidRPr="0028226B">
        <w:rPr>
          <w:rFonts w:ascii="Arial" w:hAnsi="Arial" w:cs="Arial"/>
          <w:sz w:val="24"/>
          <w:szCs w:val="24"/>
        </w:rPr>
        <w:t xml:space="preserve"> </w:t>
      </w:r>
    </w:p>
    <w:p w14:paraId="220E927C" w14:textId="3A37D7B7" w:rsidR="00D64FC6" w:rsidRPr="0028226B" w:rsidRDefault="00D64FC6" w:rsidP="00D64FC6">
      <w:pPr>
        <w:spacing w:line="360" w:lineRule="auto"/>
        <w:rPr>
          <w:rFonts w:ascii="Arial" w:hAnsi="Arial" w:cs="Arial"/>
          <w:sz w:val="24"/>
          <w:szCs w:val="24"/>
        </w:rPr>
      </w:pPr>
      <w:r w:rsidRPr="00D0252A">
        <w:rPr>
          <w:rFonts w:ascii="Arial" w:hAnsi="Arial" w:cs="Arial"/>
          <w:color w:val="000000" w:themeColor="text1"/>
          <w:sz w:val="24"/>
          <w:szCs w:val="24"/>
        </w:rPr>
        <w:t>Analiza danych pokazuje, że w całym badanym okresie dominuje przekonanie</w:t>
      </w:r>
      <w:r w:rsidR="00A26C79">
        <w:rPr>
          <w:rFonts w:ascii="Arial" w:hAnsi="Arial" w:cs="Arial"/>
          <w:color w:val="000000" w:themeColor="text1"/>
          <w:sz w:val="24"/>
          <w:szCs w:val="24"/>
        </w:rPr>
        <w:t xml:space="preserve"> respondentów</w:t>
      </w:r>
      <w:r w:rsidRPr="00D0252A">
        <w:rPr>
          <w:rFonts w:ascii="Arial" w:hAnsi="Arial" w:cs="Arial"/>
          <w:color w:val="000000" w:themeColor="text1"/>
          <w:sz w:val="24"/>
          <w:szCs w:val="24"/>
        </w:rPr>
        <w:t xml:space="preserve"> o raczej niskiej </w:t>
      </w:r>
      <w:r w:rsidR="00A26C79">
        <w:rPr>
          <w:rFonts w:ascii="Arial" w:hAnsi="Arial" w:cs="Arial"/>
          <w:color w:val="000000" w:themeColor="text1"/>
          <w:sz w:val="24"/>
          <w:szCs w:val="24"/>
        </w:rPr>
        <w:t xml:space="preserve">własnej </w:t>
      </w:r>
      <w:r w:rsidRPr="00D0252A">
        <w:rPr>
          <w:rFonts w:ascii="Arial" w:hAnsi="Arial" w:cs="Arial"/>
          <w:color w:val="000000" w:themeColor="text1"/>
          <w:sz w:val="24"/>
          <w:szCs w:val="24"/>
        </w:rPr>
        <w:t>wiedzy, choć rozkłady odpowiedzi zmieniają się stopniowo na przestrzeni lat.</w:t>
      </w:r>
      <w:r>
        <w:rPr>
          <w:rFonts w:ascii="Arial" w:hAnsi="Arial" w:cs="Arial"/>
          <w:color w:val="000000" w:themeColor="text1"/>
          <w:sz w:val="24"/>
          <w:szCs w:val="24"/>
        </w:rPr>
        <w:t xml:space="preserve"> </w:t>
      </w:r>
      <w:r w:rsidR="00A26C79">
        <w:rPr>
          <w:rFonts w:ascii="Arial" w:hAnsi="Arial" w:cs="Arial"/>
          <w:sz w:val="24"/>
          <w:szCs w:val="24"/>
        </w:rPr>
        <w:t>Ankietowani najczęściej oceniają swoją znajomość zagadnienia na</w:t>
      </w:r>
      <w:r w:rsidRPr="000A5F53">
        <w:rPr>
          <w:rFonts w:ascii="Arial" w:hAnsi="Arial" w:cs="Arial"/>
          <w:sz w:val="24"/>
          <w:szCs w:val="24"/>
        </w:rPr>
        <w:t xml:space="preserve"> 2 i 3</w:t>
      </w:r>
      <w:r w:rsidR="00D762DB">
        <w:rPr>
          <w:rFonts w:ascii="Arial" w:hAnsi="Arial" w:cs="Arial"/>
          <w:sz w:val="24"/>
          <w:szCs w:val="24"/>
        </w:rPr>
        <w:t xml:space="preserve">. </w:t>
      </w:r>
    </w:p>
    <w:p w14:paraId="24165320" w14:textId="77777777" w:rsidR="00D64FC6" w:rsidRPr="00B70F4E" w:rsidRDefault="00D64FC6" w:rsidP="00D64FC6">
      <w:pPr>
        <w:spacing w:before="240" w:line="360" w:lineRule="auto"/>
        <w:rPr>
          <w:rFonts w:ascii="Arial" w:hAnsi="Arial" w:cs="Arial"/>
          <w:sz w:val="24"/>
          <w:szCs w:val="24"/>
          <w:highlight w:val="yellow"/>
        </w:rPr>
      </w:pPr>
      <w:r w:rsidRPr="00B70F4E">
        <w:rPr>
          <w:rFonts w:ascii="Arial" w:hAnsi="Arial" w:cs="Arial"/>
          <w:sz w:val="24"/>
          <w:szCs w:val="24"/>
          <w:highlight w:val="yellow"/>
        </w:rPr>
        <w:t>Wiedza o tym, jakie podmioty są uprawnione do pozyskiwania środków z FE stale rośnie – w 2025 roku widoczny jest wzrost odsetka osób przekonanych, że środki unijne są realnie dostępne zarówno dla instytucji, jak i osób prywatnych. Wraz z tym zwiększa się także przekonanie o możliwości uzyskania wsparcia, a odsetek odpowiedzi negatywnych w 2025 r. osiągnął najniższą wartość w całym okresie objętym analiza porównawczą. Respondenci wskazują przy tym różnorodne cele, dla których mogliby ubiegać się o środki, zwłaszcza w obszarze rozwoju zawodowego, przedsiębiorczości, zakupu sprzętu, modernizacji gospodarstw oraz inwestycji w edukację i podnoszenie kwalifikacji.</w:t>
      </w:r>
    </w:p>
    <w:p w14:paraId="077FAF52" w14:textId="77777777" w:rsidR="00D64FC6" w:rsidRPr="00B70F4E" w:rsidRDefault="00D64FC6" w:rsidP="00D64FC6">
      <w:pPr>
        <w:spacing w:before="240" w:line="360" w:lineRule="auto"/>
        <w:rPr>
          <w:rFonts w:ascii="Arial" w:hAnsi="Arial" w:cs="Arial"/>
          <w:sz w:val="24"/>
          <w:szCs w:val="24"/>
          <w:highlight w:val="yellow"/>
        </w:rPr>
      </w:pPr>
      <w:r w:rsidRPr="00B70F4E">
        <w:rPr>
          <w:rFonts w:ascii="Arial" w:hAnsi="Arial" w:cs="Arial"/>
          <w:sz w:val="24"/>
          <w:szCs w:val="24"/>
          <w:highlight w:val="yellow"/>
        </w:rPr>
        <w:t xml:space="preserve">Ocena wpływu Funduszy Europejskich na życie Polaków jest jednoznacznie pozytywna. Aż 91% badanych uważa, że FE poprawiają jakość życia mieszkańców kraju. Równie korzystnie oceniany jest sposób wykorzystania środków, a negatywne opinie pojawiają się sporadycznie. Badani wskazują, że w ich najbliższym </w:t>
      </w:r>
      <w:proofErr w:type="gramStart"/>
      <w:r w:rsidRPr="00B70F4E">
        <w:rPr>
          <w:rFonts w:ascii="Arial" w:hAnsi="Arial" w:cs="Arial"/>
          <w:sz w:val="24"/>
          <w:szCs w:val="24"/>
          <w:highlight w:val="yellow"/>
        </w:rPr>
        <w:t>otoczeniu  zmiany</w:t>
      </w:r>
      <w:proofErr w:type="gramEnd"/>
      <w:r w:rsidRPr="00B70F4E">
        <w:rPr>
          <w:rFonts w:ascii="Arial" w:hAnsi="Arial" w:cs="Arial"/>
          <w:sz w:val="24"/>
          <w:szCs w:val="24"/>
          <w:highlight w:val="yellow"/>
        </w:rPr>
        <w:t xml:space="preserve"> finansowane z FE są najbardziej widoczne w zakresie infrastruktury drogowej, edukacyjnej, lokalnej gospodarki, administracji i transportu publicznego.</w:t>
      </w:r>
    </w:p>
    <w:p w14:paraId="48759536" w14:textId="499D9063" w:rsidR="00D64FC6" w:rsidRPr="00B70F4E" w:rsidRDefault="00D64FC6" w:rsidP="00D64FC6">
      <w:pPr>
        <w:spacing w:before="240" w:line="360" w:lineRule="auto"/>
        <w:rPr>
          <w:rFonts w:ascii="Arial" w:hAnsi="Arial" w:cs="Arial"/>
          <w:sz w:val="24"/>
          <w:szCs w:val="24"/>
          <w:highlight w:val="yellow"/>
        </w:rPr>
      </w:pPr>
      <w:r w:rsidRPr="00B70F4E">
        <w:rPr>
          <w:rFonts w:ascii="Arial" w:hAnsi="Arial" w:cs="Arial"/>
          <w:sz w:val="24"/>
          <w:szCs w:val="24"/>
          <w:highlight w:val="yellow"/>
        </w:rPr>
        <w:lastRenderedPageBreak/>
        <w:t xml:space="preserve">Źródła informacji o Funduszach Europejskich są zróżnicowane, lecz nie cieszą się wysoką rozpoznawalnością. Dotyczy to zwłaszcza Portalu Funduszy Europejskich – prawie połowa respondentów nie słyszała o nim, a jedynie niewielki odsetek korzystał z niego bezpośrednio. Podobnie </w:t>
      </w:r>
      <w:r w:rsidR="00A26C79" w:rsidRPr="00B70F4E">
        <w:rPr>
          <w:rFonts w:ascii="Arial" w:hAnsi="Arial" w:cs="Arial"/>
          <w:sz w:val="24"/>
          <w:szCs w:val="24"/>
          <w:highlight w:val="yellow"/>
        </w:rPr>
        <w:t xml:space="preserve">niski jest odsetek osób korzystających z usług </w:t>
      </w:r>
      <w:r w:rsidRPr="00B70F4E">
        <w:rPr>
          <w:rFonts w:ascii="Arial" w:hAnsi="Arial" w:cs="Arial"/>
          <w:sz w:val="24"/>
          <w:szCs w:val="24"/>
          <w:highlight w:val="yellow"/>
        </w:rPr>
        <w:t>Punktów Informacyjnych Funduszy Europejskich.</w:t>
      </w:r>
    </w:p>
    <w:p w14:paraId="61EA09D6" w14:textId="77777777" w:rsidR="00D64FC6" w:rsidRPr="0028226B" w:rsidRDefault="00D64FC6" w:rsidP="00D64FC6">
      <w:pPr>
        <w:spacing w:before="240" w:line="360" w:lineRule="auto"/>
        <w:rPr>
          <w:rFonts w:ascii="Arial" w:hAnsi="Arial" w:cs="Arial"/>
          <w:sz w:val="24"/>
          <w:szCs w:val="24"/>
        </w:rPr>
      </w:pPr>
      <w:r w:rsidRPr="00B70F4E">
        <w:rPr>
          <w:rFonts w:ascii="Arial" w:hAnsi="Arial" w:cs="Arial"/>
          <w:sz w:val="24"/>
          <w:szCs w:val="24"/>
          <w:highlight w:val="yellow"/>
        </w:rPr>
        <w:t>W obszarze poszukiwania informacji oraz oceny przekazu widoczne jest zróżnicowanie zależne od wieku, wykształcenia i miejsca zamieszkania. Młodsi respondenci częściej korzystają z mediów cyfrowych i Internetu, natomiast osoby starsze i mieszkańcy mniejszych miejscowości pozostają przy kanałach tradycyjnych. Ogólna ocena jakości przekazu jest umiarkowana, a część respondentów deklaruje trudności w dotarciu do informacji lub ich nadmiarową ogólność.</w:t>
      </w:r>
    </w:p>
    <w:p w14:paraId="6A88530C" w14:textId="0C99C9C9" w:rsidR="00D64FC6" w:rsidRDefault="00D64FC6" w:rsidP="00D64FC6">
      <w:pPr>
        <w:spacing w:before="240" w:line="360" w:lineRule="auto"/>
        <w:rPr>
          <w:rFonts w:ascii="Arial" w:hAnsi="Arial" w:cs="Arial"/>
          <w:sz w:val="24"/>
          <w:szCs w:val="24"/>
        </w:rPr>
      </w:pPr>
      <w:r w:rsidRPr="0028226B">
        <w:rPr>
          <w:rFonts w:ascii="Arial" w:hAnsi="Arial" w:cs="Arial"/>
          <w:sz w:val="24"/>
          <w:szCs w:val="24"/>
        </w:rPr>
        <w:t>Znajomość</w:t>
      </w:r>
      <w:r w:rsidR="00A26C79">
        <w:rPr>
          <w:rFonts w:ascii="Arial" w:hAnsi="Arial" w:cs="Arial"/>
          <w:sz w:val="24"/>
          <w:szCs w:val="24"/>
        </w:rPr>
        <w:t xml:space="preserve"> pojęcia</w:t>
      </w:r>
      <w:r w:rsidRPr="0028226B">
        <w:rPr>
          <w:rFonts w:ascii="Arial" w:hAnsi="Arial" w:cs="Arial"/>
          <w:sz w:val="24"/>
          <w:szCs w:val="24"/>
        </w:rPr>
        <w:t xml:space="preserve"> Krajowego Planu Odbudowy jest wyraźnie niższa niż w przypadku Funduszy Europejskich. KPO najlepiej rozpoznają osoby starsze i mieszkańcy największych miast, natomiast osoby młode częściej deklarują brak wiedzy lub brak kontaktu z tematem. Jednocześnie skojarzenia związane z KPO koncentrują się przede wszystkim na odbudowie po pandemii, modernizacji infrastruktury oraz zadaniach o charakterze inwestycyjno-rozwojowym.</w:t>
      </w:r>
    </w:p>
    <w:p w14:paraId="0AE6DA50" w14:textId="77777777" w:rsidR="00D64FC6" w:rsidRDefault="00D64FC6" w:rsidP="00D64FC6">
      <w:pPr>
        <w:spacing w:before="240" w:line="360" w:lineRule="auto"/>
        <w:rPr>
          <w:rFonts w:ascii="Arial" w:hAnsi="Arial" w:cs="Arial"/>
          <w:sz w:val="24"/>
          <w:szCs w:val="24"/>
        </w:rPr>
      </w:pPr>
    </w:p>
    <w:p w14:paraId="5551F891" w14:textId="77777777" w:rsidR="00D64FC6" w:rsidRDefault="00D64FC6" w:rsidP="00D64FC6">
      <w:pPr>
        <w:spacing w:before="240" w:line="360" w:lineRule="auto"/>
        <w:rPr>
          <w:rFonts w:ascii="Arial" w:hAnsi="Arial" w:cs="Arial"/>
          <w:sz w:val="24"/>
          <w:szCs w:val="24"/>
        </w:rPr>
      </w:pPr>
    </w:p>
    <w:p w14:paraId="700431E1" w14:textId="77777777" w:rsidR="00D64FC6" w:rsidRDefault="00D64FC6" w:rsidP="00D64FC6">
      <w:pPr>
        <w:spacing w:before="240" w:line="360" w:lineRule="auto"/>
        <w:rPr>
          <w:rFonts w:ascii="Arial" w:hAnsi="Arial" w:cs="Arial"/>
          <w:sz w:val="24"/>
          <w:szCs w:val="24"/>
        </w:rPr>
      </w:pPr>
    </w:p>
    <w:p w14:paraId="0DDE40C3" w14:textId="77777777" w:rsidR="00D64FC6" w:rsidRDefault="00D64FC6" w:rsidP="00D64FC6">
      <w:pPr>
        <w:spacing w:before="240" w:line="360" w:lineRule="auto"/>
        <w:rPr>
          <w:rFonts w:ascii="Arial" w:hAnsi="Arial" w:cs="Arial"/>
          <w:sz w:val="24"/>
          <w:szCs w:val="24"/>
        </w:rPr>
      </w:pPr>
    </w:p>
    <w:p w14:paraId="4AB7A3F6" w14:textId="77777777" w:rsidR="00D64FC6" w:rsidRPr="0028226B" w:rsidRDefault="00D64FC6" w:rsidP="00D64FC6">
      <w:pPr>
        <w:spacing w:before="240" w:line="360" w:lineRule="auto"/>
        <w:rPr>
          <w:rFonts w:ascii="Arial" w:hAnsi="Arial" w:cs="Arial"/>
          <w:sz w:val="24"/>
          <w:szCs w:val="24"/>
        </w:rPr>
      </w:pPr>
    </w:p>
    <w:bookmarkEnd w:id="1"/>
    <w:p w14:paraId="2E7CF9F2" w14:textId="77777777" w:rsidR="00516BC6" w:rsidRDefault="00516BC6">
      <w:pPr>
        <w:rPr>
          <w:rFonts w:ascii="Arial" w:eastAsiaTheme="majorEastAsia" w:hAnsi="Arial" w:cs="Arial"/>
          <w:b/>
          <w:bCs/>
          <w:sz w:val="24"/>
          <w:szCs w:val="24"/>
        </w:rPr>
      </w:pPr>
      <w:r>
        <w:rPr>
          <w:rFonts w:ascii="Arial" w:hAnsi="Arial" w:cs="Arial"/>
          <w:b/>
          <w:bCs/>
          <w:sz w:val="24"/>
          <w:szCs w:val="24"/>
        </w:rPr>
        <w:br w:type="page"/>
      </w:r>
    </w:p>
    <w:p w14:paraId="44B9B3C8" w14:textId="485636B1" w:rsidR="00D64FC6" w:rsidRPr="0028226B" w:rsidRDefault="00D64FC6" w:rsidP="00D64FC6">
      <w:pPr>
        <w:pStyle w:val="Nagwek1"/>
        <w:shd w:val="clear" w:color="auto" w:fill="061A3D"/>
        <w:rPr>
          <w:rFonts w:ascii="Arial" w:hAnsi="Arial" w:cs="Arial"/>
          <w:b/>
          <w:bCs/>
          <w:color w:val="auto"/>
          <w:sz w:val="24"/>
          <w:szCs w:val="24"/>
        </w:rPr>
      </w:pPr>
      <w:bookmarkStart w:id="2" w:name="_Toc219375233"/>
      <w:proofErr w:type="spellStart"/>
      <w:r w:rsidRPr="0028226B">
        <w:rPr>
          <w:rFonts w:ascii="Arial" w:hAnsi="Arial" w:cs="Arial"/>
          <w:b/>
          <w:bCs/>
          <w:color w:val="auto"/>
          <w:sz w:val="24"/>
          <w:szCs w:val="24"/>
        </w:rPr>
        <w:lastRenderedPageBreak/>
        <w:t>Abstract</w:t>
      </w:r>
      <w:bookmarkEnd w:id="2"/>
      <w:proofErr w:type="spellEnd"/>
    </w:p>
    <w:p w14:paraId="2332E915" w14:textId="77777777" w:rsidR="00D64FC6" w:rsidRPr="000A5F53" w:rsidRDefault="00D64FC6" w:rsidP="00D64FC6">
      <w:pPr>
        <w:spacing w:before="240" w:line="360" w:lineRule="auto"/>
        <w:rPr>
          <w:rFonts w:ascii="Arial" w:hAnsi="Arial" w:cs="Arial"/>
          <w:sz w:val="24"/>
          <w:szCs w:val="24"/>
        </w:rPr>
      </w:pPr>
      <w:r w:rsidRPr="000A5F53">
        <w:rPr>
          <w:rFonts w:ascii="Arial" w:hAnsi="Arial" w:cs="Arial"/>
          <w:sz w:val="24"/>
          <w:szCs w:val="24"/>
        </w:rPr>
        <w:t xml:space="preserve">The </w:t>
      </w:r>
      <w:proofErr w:type="spellStart"/>
      <w:r w:rsidRPr="000A5F53">
        <w:rPr>
          <w:rFonts w:ascii="Arial" w:hAnsi="Arial" w:cs="Arial"/>
          <w:sz w:val="24"/>
          <w:szCs w:val="24"/>
        </w:rPr>
        <w:t>study</w:t>
      </w:r>
      <w:proofErr w:type="spellEnd"/>
      <w:r w:rsidRPr="000A5F53">
        <w:rPr>
          <w:rFonts w:ascii="Arial" w:hAnsi="Arial" w:cs="Arial"/>
          <w:sz w:val="24"/>
          <w:szCs w:val="24"/>
        </w:rPr>
        <w:t xml:space="preserve"> on the </w:t>
      </w:r>
      <w:proofErr w:type="spellStart"/>
      <w:r w:rsidRPr="000A5F53">
        <w:rPr>
          <w:rFonts w:ascii="Arial" w:hAnsi="Arial" w:cs="Arial"/>
          <w:sz w:val="24"/>
          <w:szCs w:val="24"/>
        </w:rPr>
        <w:t>recognition</w:t>
      </w:r>
      <w:proofErr w:type="spellEnd"/>
      <w:r w:rsidRPr="000A5F53">
        <w:rPr>
          <w:rFonts w:ascii="Arial" w:hAnsi="Arial" w:cs="Arial"/>
          <w:sz w:val="24"/>
          <w:szCs w:val="24"/>
        </w:rPr>
        <w:t xml:space="preserve"> and </w:t>
      </w:r>
      <w:proofErr w:type="spellStart"/>
      <w:r w:rsidRPr="000A5F53">
        <w:rPr>
          <w:rFonts w:ascii="Arial" w:hAnsi="Arial" w:cs="Arial"/>
          <w:sz w:val="24"/>
          <w:szCs w:val="24"/>
        </w:rPr>
        <w:t>knowledge</w:t>
      </w:r>
      <w:proofErr w:type="spellEnd"/>
      <w:r w:rsidRPr="000A5F53">
        <w:rPr>
          <w:rFonts w:ascii="Arial" w:hAnsi="Arial" w:cs="Arial"/>
          <w:sz w:val="24"/>
          <w:szCs w:val="24"/>
        </w:rPr>
        <w:t xml:space="preserve"> of </w:t>
      </w:r>
      <w:proofErr w:type="spellStart"/>
      <w:r w:rsidRPr="000A5F53">
        <w:rPr>
          <w:rFonts w:ascii="Arial" w:hAnsi="Arial" w:cs="Arial"/>
          <w:sz w:val="24"/>
          <w:szCs w:val="24"/>
        </w:rPr>
        <w:t>European</w:t>
      </w:r>
      <w:proofErr w:type="spellEnd"/>
      <w:r w:rsidRPr="000A5F53">
        <w:rPr>
          <w:rFonts w:ascii="Arial" w:hAnsi="Arial" w:cs="Arial"/>
          <w:sz w:val="24"/>
          <w:szCs w:val="24"/>
        </w:rPr>
        <w:t xml:space="preserve"> </w:t>
      </w:r>
      <w:proofErr w:type="spellStart"/>
      <w:r w:rsidRPr="000A5F53">
        <w:rPr>
          <w:rFonts w:ascii="Arial" w:hAnsi="Arial" w:cs="Arial"/>
          <w:sz w:val="24"/>
          <w:szCs w:val="24"/>
        </w:rPr>
        <w:t>Funds</w:t>
      </w:r>
      <w:proofErr w:type="spellEnd"/>
      <w:r w:rsidRPr="000A5F53">
        <w:rPr>
          <w:rFonts w:ascii="Arial" w:hAnsi="Arial" w:cs="Arial"/>
          <w:sz w:val="24"/>
          <w:szCs w:val="24"/>
        </w:rPr>
        <w:t xml:space="preserve">, </w:t>
      </w:r>
      <w:proofErr w:type="spellStart"/>
      <w:r w:rsidRPr="000A5F53">
        <w:rPr>
          <w:rFonts w:ascii="Arial" w:hAnsi="Arial" w:cs="Arial"/>
          <w:sz w:val="24"/>
          <w:szCs w:val="24"/>
        </w:rPr>
        <w:t>conducted</w:t>
      </w:r>
      <w:proofErr w:type="spellEnd"/>
      <w:r w:rsidRPr="000A5F53">
        <w:rPr>
          <w:rFonts w:ascii="Arial" w:hAnsi="Arial" w:cs="Arial"/>
          <w:sz w:val="24"/>
          <w:szCs w:val="24"/>
        </w:rPr>
        <w:t xml:space="preserve"> in 2025 on a </w:t>
      </w:r>
      <w:proofErr w:type="spellStart"/>
      <w:r w:rsidRPr="000A5F53">
        <w:rPr>
          <w:rFonts w:ascii="Arial" w:hAnsi="Arial" w:cs="Arial"/>
          <w:sz w:val="24"/>
          <w:szCs w:val="24"/>
        </w:rPr>
        <w:t>representative</w:t>
      </w:r>
      <w:proofErr w:type="spellEnd"/>
      <w:r w:rsidRPr="000A5F53">
        <w:rPr>
          <w:rFonts w:ascii="Arial" w:hAnsi="Arial" w:cs="Arial"/>
          <w:sz w:val="24"/>
          <w:szCs w:val="24"/>
        </w:rPr>
        <w:t xml:space="preserve"> </w:t>
      </w:r>
      <w:proofErr w:type="spellStart"/>
      <w:r w:rsidRPr="000A5F53">
        <w:rPr>
          <w:rFonts w:ascii="Arial" w:hAnsi="Arial" w:cs="Arial"/>
          <w:sz w:val="24"/>
          <w:szCs w:val="24"/>
        </w:rPr>
        <w:t>sample</w:t>
      </w:r>
      <w:proofErr w:type="spellEnd"/>
      <w:r w:rsidRPr="000A5F53">
        <w:rPr>
          <w:rFonts w:ascii="Arial" w:hAnsi="Arial" w:cs="Arial"/>
          <w:sz w:val="24"/>
          <w:szCs w:val="24"/>
        </w:rPr>
        <w:t xml:space="preserve"> of </w:t>
      </w:r>
      <w:proofErr w:type="spellStart"/>
      <w:r w:rsidRPr="000A5F53">
        <w:rPr>
          <w:rFonts w:ascii="Arial" w:hAnsi="Arial" w:cs="Arial"/>
          <w:sz w:val="24"/>
          <w:szCs w:val="24"/>
        </w:rPr>
        <w:t>residents</w:t>
      </w:r>
      <w:proofErr w:type="spellEnd"/>
      <w:r w:rsidRPr="000A5F53">
        <w:rPr>
          <w:rFonts w:ascii="Arial" w:hAnsi="Arial" w:cs="Arial"/>
          <w:sz w:val="24"/>
          <w:szCs w:val="24"/>
        </w:rPr>
        <w:t xml:space="preserve"> of Poland (N=1000), </w:t>
      </w:r>
      <w:proofErr w:type="spellStart"/>
      <w:r w:rsidRPr="000A5F53">
        <w:rPr>
          <w:rFonts w:ascii="Arial" w:hAnsi="Arial" w:cs="Arial"/>
          <w:sz w:val="24"/>
          <w:szCs w:val="24"/>
        </w:rPr>
        <w:t>provides</w:t>
      </w:r>
      <w:proofErr w:type="spellEnd"/>
      <w:r w:rsidRPr="000A5F53">
        <w:rPr>
          <w:rFonts w:ascii="Arial" w:hAnsi="Arial" w:cs="Arial"/>
          <w:sz w:val="24"/>
          <w:szCs w:val="24"/>
        </w:rPr>
        <w:t xml:space="preserve"> a </w:t>
      </w:r>
      <w:proofErr w:type="spellStart"/>
      <w:r w:rsidRPr="000A5F53">
        <w:rPr>
          <w:rFonts w:ascii="Arial" w:hAnsi="Arial" w:cs="Arial"/>
          <w:sz w:val="24"/>
          <w:szCs w:val="24"/>
        </w:rPr>
        <w:t>detailed</w:t>
      </w:r>
      <w:proofErr w:type="spellEnd"/>
      <w:r w:rsidRPr="000A5F53">
        <w:rPr>
          <w:rFonts w:ascii="Arial" w:hAnsi="Arial" w:cs="Arial"/>
          <w:sz w:val="24"/>
          <w:szCs w:val="24"/>
        </w:rPr>
        <w:t xml:space="preserve"> </w:t>
      </w:r>
      <w:proofErr w:type="spellStart"/>
      <w:r w:rsidRPr="000A5F53">
        <w:rPr>
          <w:rFonts w:ascii="Arial" w:hAnsi="Arial" w:cs="Arial"/>
          <w:sz w:val="24"/>
          <w:szCs w:val="24"/>
        </w:rPr>
        <w:t>assessment</w:t>
      </w:r>
      <w:proofErr w:type="spellEnd"/>
      <w:r w:rsidRPr="000A5F53">
        <w:rPr>
          <w:rFonts w:ascii="Arial" w:hAnsi="Arial" w:cs="Arial"/>
          <w:sz w:val="24"/>
          <w:szCs w:val="24"/>
        </w:rPr>
        <w:t xml:space="preserve"> of the </w:t>
      </w:r>
      <w:proofErr w:type="spellStart"/>
      <w:r w:rsidRPr="000A5F53">
        <w:rPr>
          <w:rFonts w:ascii="Arial" w:hAnsi="Arial" w:cs="Arial"/>
          <w:sz w:val="24"/>
          <w:szCs w:val="24"/>
        </w:rPr>
        <w:t>level</w:t>
      </w:r>
      <w:proofErr w:type="spellEnd"/>
      <w:r w:rsidRPr="000A5F53">
        <w:rPr>
          <w:rFonts w:ascii="Arial" w:hAnsi="Arial" w:cs="Arial"/>
          <w:sz w:val="24"/>
          <w:szCs w:val="24"/>
        </w:rPr>
        <w:t xml:space="preserve"> of public </w:t>
      </w:r>
      <w:proofErr w:type="spellStart"/>
      <w:r w:rsidRPr="000A5F53">
        <w:rPr>
          <w:rFonts w:ascii="Arial" w:hAnsi="Arial" w:cs="Arial"/>
          <w:sz w:val="24"/>
          <w:szCs w:val="24"/>
        </w:rPr>
        <w:t>awareness</w:t>
      </w:r>
      <w:proofErr w:type="spellEnd"/>
      <w:r w:rsidRPr="000A5F53">
        <w:rPr>
          <w:rFonts w:ascii="Arial" w:hAnsi="Arial" w:cs="Arial"/>
          <w:sz w:val="24"/>
          <w:szCs w:val="24"/>
        </w:rPr>
        <w:t xml:space="preserve">, </w:t>
      </w:r>
      <w:proofErr w:type="spellStart"/>
      <w:r w:rsidRPr="000A5F53">
        <w:rPr>
          <w:rFonts w:ascii="Arial" w:hAnsi="Arial" w:cs="Arial"/>
          <w:sz w:val="24"/>
          <w:szCs w:val="24"/>
        </w:rPr>
        <w:t>familiarity</w:t>
      </w:r>
      <w:proofErr w:type="spellEnd"/>
      <w:r w:rsidRPr="000A5F53">
        <w:rPr>
          <w:rFonts w:ascii="Arial" w:hAnsi="Arial" w:cs="Arial"/>
          <w:sz w:val="24"/>
          <w:szCs w:val="24"/>
        </w:rPr>
        <w:t xml:space="preserve"> with </w:t>
      </w:r>
      <w:proofErr w:type="spellStart"/>
      <w:r w:rsidRPr="000A5F53">
        <w:rPr>
          <w:rFonts w:ascii="Arial" w:hAnsi="Arial" w:cs="Arial"/>
          <w:sz w:val="24"/>
          <w:szCs w:val="24"/>
        </w:rPr>
        <w:t>communication</w:t>
      </w:r>
      <w:proofErr w:type="spellEnd"/>
      <w:r w:rsidRPr="000A5F53">
        <w:rPr>
          <w:rFonts w:ascii="Arial" w:hAnsi="Arial" w:cs="Arial"/>
          <w:sz w:val="24"/>
          <w:szCs w:val="24"/>
        </w:rPr>
        <w:t xml:space="preserve"> </w:t>
      </w:r>
      <w:proofErr w:type="spellStart"/>
      <w:r w:rsidRPr="000A5F53">
        <w:rPr>
          <w:rFonts w:ascii="Arial" w:hAnsi="Arial" w:cs="Arial"/>
          <w:sz w:val="24"/>
          <w:szCs w:val="24"/>
        </w:rPr>
        <w:t>tools</w:t>
      </w:r>
      <w:proofErr w:type="spellEnd"/>
      <w:r w:rsidRPr="000A5F53">
        <w:rPr>
          <w:rFonts w:ascii="Arial" w:hAnsi="Arial" w:cs="Arial"/>
          <w:sz w:val="24"/>
          <w:szCs w:val="24"/>
        </w:rPr>
        <w:t xml:space="preserve">, </w:t>
      </w:r>
      <w:proofErr w:type="spellStart"/>
      <w:r w:rsidRPr="000A5F53">
        <w:rPr>
          <w:rFonts w:ascii="Arial" w:hAnsi="Arial" w:cs="Arial"/>
          <w:sz w:val="24"/>
          <w:szCs w:val="24"/>
        </w:rPr>
        <w:t>perceptions</w:t>
      </w:r>
      <w:proofErr w:type="spellEnd"/>
      <w:r w:rsidRPr="000A5F53">
        <w:rPr>
          <w:rFonts w:ascii="Arial" w:hAnsi="Arial" w:cs="Arial"/>
          <w:sz w:val="24"/>
          <w:szCs w:val="24"/>
        </w:rPr>
        <w:t xml:space="preserve"> of </w:t>
      </w:r>
      <w:proofErr w:type="spellStart"/>
      <w:r w:rsidRPr="000A5F53">
        <w:rPr>
          <w:rFonts w:ascii="Arial" w:hAnsi="Arial" w:cs="Arial"/>
          <w:sz w:val="24"/>
          <w:szCs w:val="24"/>
        </w:rPr>
        <w:t>benefits</w:t>
      </w:r>
      <w:proofErr w:type="spellEnd"/>
      <w:r w:rsidRPr="000A5F53">
        <w:rPr>
          <w:rFonts w:ascii="Arial" w:hAnsi="Arial" w:cs="Arial"/>
          <w:sz w:val="24"/>
          <w:szCs w:val="24"/>
        </w:rPr>
        <w:t xml:space="preserve">, and the </w:t>
      </w:r>
      <w:proofErr w:type="spellStart"/>
      <w:r w:rsidRPr="000A5F53">
        <w:rPr>
          <w:rFonts w:ascii="Arial" w:hAnsi="Arial" w:cs="Arial"/>
          <w:sz w:val="24"/>
          <w:szCs w:val="24"/>
        </w:rPr>
        <w:t>reception</w:t>
      </w:r>
      <w:proofErr w:type="spellEnd"/>
      <w:r w:rsidRPr="000A5F53">
        <w:rPr>
          <w:rFonts w:ascii="Arial" w:hAnsi="Arial" w:cs="Arial"/>
          <w:sz w:val="24"/>
          <w:szCs w:val="24"/>
        </w:rPr>
        <w:t xml:space="preserve"> of the </w:t>
      </w:r>
      <w:proofErr w:type="spellStart"/>
      <w:r w:rsidRPr="000A5F53">
        <w:rPr>
          <w:rFonts w:ascii="Arial" w:hAnsi="Arial" w:cs="Arial"/>
          <w:sz w:val="24"/>
          <w:szCs w:val="24"/>
        </w:rPr>
        <w:t>outcomes</w:t>
      </w:r>
      <w:proofErr w:type="spellEnd"/>
      <w:r w:rsidRPr="000A5F53">
        <w:rPr>
          <w:rFonts w:ascii="Arial" w:hAnsi="Arial" w:cs="Arial"/>
          <w:sz w:val="24"/>
          <w:szCs w:val="24"/>
        </w:rPr>
        <w:t xml:space="preserve"> of </w:t>
      </w:r>
      <w:proofErr w:type="spellStart"/>
      <w:r w:rsidRPr="000A5F53">
        <w:rPr>
          <w:rFonts w:ascii="Arial" w:hAnsi="Arial" w:cs="Arial"/>
          <w:sz w:val="24"/>
          <w:szCs w:val="24"/>
        </w:rPr>
        <w:t>implemented</w:t>
      </w:r>
      <w:proofErr w:type="spellEnd"/>
      <w:r w:rsidRPr="000A5F53">
        <w:rPr>
          <w:rFonts w:ascii="Arial" w:hAnsi="Arial" w:cs="Arial"/>
          <w:sz w:val="24"/>
          <w:szCs w:val="24"/>
        </w:rPr>
        <w:t xml:space="preserve"> </w:t>
      </w:r>
      <w:proofErr w:type="spellStart"/>
      <w:r w:rsidRPr="000A5F53">
        <w:rPr>
          <w:rFonts w:ascii="Arial" w:hAnsi="Arial" w:cs="Arial"/>
          <w:sz w:val="24"/>
          <w:szCs w:val="24"/>
        </w:rPr>
        <w:t>investments</w:t>
      </w:r>
      <w:proofErr w:type="spellEnd"/>
      <w:r w:rsidRPr="000A5F53">
        <w:rPr>
          <w:rFonts w:ascii="Arial" w:hAnsi="Arial" w:cs="Arial"/>
          <w:sz w:val="24"/>
          <w:szCs w:val="24"/>
        </w:rPr>
        <w:t xml:space="preserve">. The </w:t>
      </w:r>
      <w:proofErr w:type="spellStart"/>
      <w:r w:rsidRPr="000A5F53">
        <w:rPr>
          <w:rFonts w:ascii="Arial" w:hAnsi="Arial" w:cs="Arial"/>
          <w:sz w:val="24"/>
          <w:szCs w:val="24"/>
        </w:rPr>
        <w:t>sample</w:t>
      </w:r>
      <w:proofErr w:type="spellEnd"/>
      <w:r w:rsidRPr="000A5F53">
        <w:rPr>
          <w:rFonts w:ascii="Arial" w:hAnsi="Arial" w:cs="Arial"/>
          <w:sz w:val="24"/>
          <w:szCs w:val="24"/>
        </w:rPr>
        <w:t xml:space="preserve"> </w:t>
      </w:r>
      <w:proofErr w:type="spellStart"/>
      <w:r w:rsidRPr="000A5F53">
        <w:rPr>
          <w:rFonts w:ascii="Arial" w:hAnsi="Arial" w:cs="Arial"/>
          <w:sz w:val="24"/>
          <w:szCs w:val="24"/>
        </w:rPr>
        <w:t>structure</w:t>
      </w:r>
      <w:proofErr w:type="spellEnd"/>
      <w:r w:rsidRPr="000A5F53">
        <w:rPr>
          <w:rFonts w:ascii="Arial" w:hAnsi="Arial" w:cs="Arial"/>
          <w:sz w:val="24"/>
          <w:szCs w:val="24"/>
        </w:rPr>
        <w:t xml:space="preserve"> </w:t>
      </w:r>
      <w:proofErr w:type="spellStart"/>
      <w:r w:rsidRPr="000A5F53">
        <w:rPr>
          <w:rFonts w:ascii="Arial" w:hAnsi="Arial" w:cs="Arial"/>
          <w:sz w:val="24"/>
          <w:szCs w:val="24"/>
        </w:rPr>
        <w:t>reflects</w:t>
      </w:r>
      <w:proofErr w:type="spellEnd"/>
      <w:r w:rsidRPr="000A5F53">
        <w:rPr>
          <w:rFonts w:ascii="Arial" w:hAnsi="Arial" w:cs="Arial"/>
          <w:sz w:val="24"/>
          <w:szCs w:val="24"/>
        </w:rPr>
        <w:t xml:space="preserve"> the </w:t>
      </w:r>
      <w:proofErr w:type="spellStart"/>
      <w:r w:rsidRPr="000A5F53">
        <w:rPr>
          <w:rFonts w:ascii="Arial" w:hAnsi="Arial" w:cs="Arial"/>
          <w:sz w:val="24"/>
          <w:szCs w:val="24"/>
        </w:rPr>
        <w:t>diversity</w:t>
      </w:r>
      <w:proofErr w:type="spellEnd"/>
      <w:r w:rsidRPr="000A5F53">
        <w:rPr>
          <w:rFonts w:ascii="Arial" w:hAnsi="Arial" w:cs="Arial"/>
          <w:sz w:val="24"/>
          <w:szCs w:val="24"/>
        </w:rPr>
        <w:t xml:space="preserve"> of </w:t>
      </w:r>
      <w:proofErr w:type="spellStart"/>
      <w:r w:rsidRPr="000A5F53">
        <w:rPr>
          <w:rFonts w:ascii="Arial" w:hAnsi="Arial" w:cs="Arial"/>
          <w:sz w:val="24"/>
          <w:szCs w:val="24"/>
        </w:rPr>
        <w:t>society</w:t>
      </w:r>
      <w:proofErr w:type="spellEnd"/>
      <w:r w:rsidRPr="000A5F53">
        <w:rPr>
          <w:rFonts w:ascii="Arial" w:hAnsi="Arial" w:cs="Arial"/>
          <w:sz w:val="24"/>
          <w:szCs w:val="24"/>
        </w:rPr>
        <w:t xml:space="preserve"> in </w:t>
      </w:r>
      <w:proofErr w:type="spellStart"/>
      <w:r w:rsidRPr="000A5F53">
        <w:rPr>
          <w:rFonts w:ascii="Arial" w:hAnsi="Arial" w:cs="Arial"/>
          <w:sz w:val="24"/>
          <w:szCs w:val="24"/>
        </w:rPr>
        <w:t>terms</w:t>
      </w:r>
      <w:proofErr w:type="spellEnd"/>
      <w:r w:rsidRPr="000A5F53">
        <w:rPr>
          <w:rFonts w:ascii="Arial" w:hAnsi="Arial" w:cs="Arial"/>
          <w:sz w:val="24"/>
          <w:szCs w:val="24"/>
        </w:rPr>
        <w:t xml:space="preserve"> of </w:t>
      </w:r>
      <w:proofErr w:type="spellStart"/>
      <w:r w:rsidRPr="000A5F53">
        <w:rPr>
          <w:rFonts w:ascii="Arial" w:hAnsi="Arial" w:cs="Arial"/>
          <w:sz w:val="24"/>
          <w:szCs w:val="24"/>
        </w:rPr>
        <w:t>gender</w:t>
      </w:r>
      <w:proofErr w:type="spellEnd"/>
      <w:r w:rsidRPr="000A5F53">
        <w:rPr>
          <w:rFonts w:ascii="Arial" w:hAnsi="Arial" w:cs="Arial"/>
          <w:sz w:val="24"/>
          <w:szCs w:val="24"/>
        </w:rPr>
        <w:t xml:space="preserve">, </w:t>
      </w:r>
      <w:proofErr w:type="spellStart"/>
      <w:r w:rsidRPr="000A5F53">
        <w:rPr>
          <w:rFonts w:ascii="Arial" w:hAnsi="Arial" w:cs="Arial"/>
          <w:sz w:val="24"/>
          <w:szCs w:val="24"/>
        </w:rPr>
        <w:t>age</w:t>
      </w:r>
      <w:proofErr w:type="spellEnd"/>
      <w:r w:rsidRPr="000A5F53">
        <w:rPr>
          <w:rFonts w:ascii="Arial" w:hAnsi="Arial" w:cs="Arial"/>
          <w:sz w:val="24"/>
          <w:szCs w:val="24"/>
        </w:rPr>
        <w:t xml:space="preserve">, </w:t>
      </w:r>
      <w:proofErr w:type="spellStart"/>
      <w:r w:rsidRPr="000A5F53">
        <w:rPr>
          <w:rFonts w:ascii="Arial" w:hAnsi="Arial" w:cs="Arial"/>
          <w:sz w:val="24"/>
          <w:szCs w:val="24"/>
        </w:rPr>
        <w:t>education</w:t>
      </w:r>
      <w:proofErr w:type="spellEnd"/>
      <w:r w:rsidRPr="000A5F53">
        <w:rPr>
          <w:rFonts w:ascii="Arial" w:hAnsi="Arial" w:cs="Arial"/>
          <w:sz w:val="24"/>
          <w:szCs w:val="24"/>
        </w:rPr>
        <w:t xml:space="preserve">, </w:t>
      </w:r>
      <w:proofErr w:type="spellStart"/>
      <w:r w:rsidRPr="000A5F53">
        <w:rPr>
          <w:rFonts w:ascii="Arial" w:hAnsi="Arial" w:cs="Arial"/>
          <w:sz w:val="24"/>
          <w:szCs w:val="24"/>
        </w:rPr>
        <w:t>voivodeship</w:t>
      </w:r>
      <w:proofErr w:type="spellEnd"/>
      <w:r w:rsidRPr="000A5F53">
        <w:rPr>
          <w:rFonts w:ascii="Arial" w:hAnsi="Arial" w:cs="Arial"/>
          <w:sz w:val="24"/>
          <w:szCs w:val="24"/>
        </w:rPr>
        <w:t xml:space="preserve">, and </w:t>
      </w:r>
      <w:proofErr w:type="spellStart"/>
      <w:r w:rsidRPr="000A5F53">
        <w:rPr>
          <w:rFonts w:ascii="Arial" w:hAnsi="Arial" w:cs="Arial"/>
          <w:sz w:val="24"/>
          <w:szCs w:val="24"/>
        </w:rPr>
        <w:t>size</w:t>
      </w:r>
      <w:proofErr w:type="spellEnd"/>
      <w:r w:rsidRPr="000A5F53">
        <w:rPr>
          <w:rFonts w:ascii="Arial" w:hAnsi="Arial" w:cs="Arial"/>
          <w:sz w:val="24"/>
          <w:szCs w:val="24"/>
        </w:rPr>
        <w:t xml:space="preserve"> of place of </w:t>
      </w:r>
      <w:proofErr w:type="spellStart"/>
      <w:r w:rsidRPr="000A5F53">
        <w:rPr>
          <w:rFonts w:ascii="Arial" w:hAnsi="Arial" w:cs="Arial"/>
          <w:sz w:val="24"/>
          <w:szCs w:val="24"/>
        </w:rPr>
        <w:t>residence</w:t>
      </w:r>
      <w:proofErr w:type="spellEnd"/>
      <w:r w:rsidRPr="000A5F53">
        <w:rPr>
          <w:rFonts w:ascii="Arial" w:hAnsi="Arial" w:cs="Arial"/>
          <w:sz w:val="24"/>
          <w:szCs w:val="24"/>
        </w:rPr>
        <w:t xml:space="preserve">, </w:t>
      </w:r>
      <w:proofErr w:type="spellStart"/>
      <w:r w:rsidRPr="000A5F53">
        <w:rPr>
          <w:rFonts w:ascii="Arial" w:hAnsi="Arial" w:cs="Arial"/>
          <w:sz w:val="24"/>
          <w:szCs w:val="24"/>
        </w:rPr>
        <w:t>enabling</w:t>
      </w:r>
      <w:proofErr w:type="spellEnd"/>
      <w:r w:rsidRPr="000A5F53">
        <w:rPr>
          <w:rFonts w:ascii="Arial" w:hAnsi="Arial" w:cs="Arial"/>
          <w:sz w:val="24"/>
          <w:szCs w:val="24"/>
        </w:rPr>
        <w:t xml:space="preserve"> </w:t>
      </w:r>
      <w:proofErr w:type="spellStart"/>
      <w:r w:rsidRPr="000A5F53">
        <w:rPr>
          <w:rFonts w:ascii="Arial" w:hAnsi="Arial" w:cs="Arial"/>
          <w:sz w:val="24"/>
          <w:szCs w:val="24"/>
        </w:rPr>
        <w:t>analyses</w:t>
      </w:r>
      <w:proofErr w:type="spellEnd"/>
      <w:r w:rsidRPr="000A5F53">
        <w:rPr>
          <w:rFonts w:ascii="Arial" w:hAnsi="Arial" w:cs="Arial"/>
          <w:sz w:val="24"/>
          <w:szCs w:val="24"/>
        </w:rPr>
        <w:t xml:space="preserve"> </w:t>
      </w:r>
      <w:proofErr w:type="spellStart"/>
      <w:r w:rsidRPr="000A5F53">
        <w:rPr>
          <w:rFonts w:ascii="Arial" w:hAnsi="Arial" w:cs="Arial"/>
          <w:sz w:val="24"/>
          <w:szCs w:val="24"/>
        </w:rPr>
        <w:t>across</w:t>
      </w:r>
      <w:proofErr w:type="spellEnd"/>
      <w:r w:rsidRPr="000A5F53">
        <w:rPr>
          <w:rFonts w:ascii="Arial" w:hAnsi="Arial" w:cs="Arial"/>
          <w:sz w:val="24"/>
          <w:szCs w:val="24"/>
        </w:rPr>
        <w:t xml:space="preserve"> </w:t>
      </w:r>
      <w:proofErr w:type="spellStart"/>
      <w:r w:rsidRPr="000A5F53">
        <w:rPr>
          <w:rFonts w:ascii="Arial" w:hAnsi="Arial" w:cs="Arial"/>
          <w:sz w:val="24"/>
          <w:szCs w:val="24"/>
        </w:rPr>
        <w:t>key</w:t>
      </w:r>
      <w:proofErr w:type="spellEnd"/>
      <w:r w:rsidRPr="000A5F53">
        <w:rPr>
          <w:rFonts w:ascii="Arial" w:hAnsi="Arial" w:cs="Arial"/>
          <w:sz w:val="24"/>
          <w:szCs w:val="24"/>
        </w:rPr>
        <w:t xml:space="preserve"> </w:t>
      </w:r>
      <w:proofErr w:type="spellStart"/>
      <w:r w:rsidRPr="000A5F53">
        <w:rPr>
          <w:rFonts w:ascii="Arial" w:hAnsi="Arial" w:cs="Arial"/>
          <w:sz w:val="24"/>
          <w:szCs w:val="24"/>
        </w:rPr>
        <w:t>demographic</w:t>
      </w:r>
      <w:proofErr w:type="spellEnd"/>
      <w:r w:rsidRPr="000A5F53">
        <w:rPr>
          <w:rFonts w:ascii="Arial" w:hAnsi="Arial" w:cs="Arial"/>
          <w:sz w:val="24"/>
          <w:szCs w:val="24"/>
        </w:rPr>
        <w:t xml:space="preserve"> </w:t>
      </w:r>
      <w:proofErr w:type="spellStart"/>
      <w:r w:rsidRPr="000A5F53">
        <w:rPr>
          <w:rFonts w:ascii="Arial" w:hAnsi="Arial" w:cs="Arial"/>
          <w:sz w:val="24"/>
          <w:szCs w:val="24"/>
        </w:rPr>
        <w:t>groups</w:t>
      </w:r>
      <w:proofErr w:type="spellEnd"/>
      <w:r w:rsidRPr="000A5F53">
        <w:rPr>
          <w:rFonts w:ascii="Arial" w:hAnsi="Arial" w:cs="Arial"/>
          <w:sz w:val="24"/>
          <w:szCs w:val="24"/>
        </w:rPr>
        <w:t>.</w:t>
      </w:r>
    </w:p>
    <w:p w14:paraId="732493E8" w14:textId="77777777" w:rsidR="00D64FC6" w:rsidRPr="000A5F53" w:rsidRDefault="00D64FC6" w:rsidP="00D64FC6">
      <w:pPr>
        <w:spacing w:before="240" w:line="360" w:lineRule="auto"/>
        <w:rPr>
          <w:rFonts w:ascii="Arial" w:hAnsi="Arial" w:cs="Arial"/>
          <w:sz w:val="24"/>
          <w:szCs w:val="24"/>
        </w:rPr>
      </w:pPr>
      <w:proofErr w:type="spellStart"/>
      <w:r w:rsidRPr="000A5F53">
        <w:rPr>
          <w:rFonts w:ascii="Arial" w:hAnsi="Arial" w:cs="Arial"/>
          <w:sz w:val="24"/>
          <w:szCs w:val="24"/>
        </w:rPr>
        <w:t>Recognition</w:t>
      </w:r>
      <w:proofErr w:type="spellEnd"/>
      <w:r w:rsidRPr="000A5F53">
        <w:rPr>
          <w:rFonts w:ascii="Arial" w:hAnsi="Arial" w:cs="Arial"/>
          <w:sz w:val="24"/>
          <w:szCs w:val="24"/>
        </w:rPr>
        <w:t xml:space="preserve"> of </w:t>
      </w:r>
      <w:proofErr w:type="spellStart"/>
      <w:r w:rsidRPr="000A5F53">
        <w:rPr>
          <w:rFonts w:ascii="Arial" w:hAnsi="Arial" w:cs="Arial"/>
          <w:sz w:val="24"/>
          <w:szCs w:val="24"/>
        </w:rPr>
        <w:t>European</w:t>
      </w:r>
      <w:proofErr w:type="spellEnd"/>
      <w:r w:rsidRPr="000A5F53">
        <w:rPr>
          <w:rFonts w:ascii="Arial" w:hAnsi="Arial" w:cs="Arial"/>
          <w:sz w:val="24"/>
          <w:szCs w:val="24"/>
        </w:rPr>
        <w:t xml:space="preserve"> </w:t>
      </w:r>
      <w:proofErr w:type="spellStart"/>
      <w:r w:rsidRPr="000A5F53">
        <w:rPr>
          <w:rFonts w:ascii="Arial" w:hAnsi="Arial" w:cs="Arial"/>
          <w:sz w:val="24"/>
          <w:szCs w:val="24"/>
        </w:rPr>
        <w:t>Funds</w:t>
      </w:r>
      <w:proofErr w:type="spellEnd"/>
      <w:r w:rsidRPr="000A5F53">
        <w:rPr>
          <w:rFonts w:ascii="Arial" w:hAnsi="Arial" w:cs="Arial"/>
          <w:sz w:val="24"/>
          <w:szCs w:val="24"/>
        </w:rPr>
        <w:t xml:space="preserve"> </w:t>
      </w:r>
      <w:proofErr w:type="spellStart"/>
      <w:r w:rsidRPr="000A5F53">
        <w:rPr>
          <w:rFonts w:ascii="Arial" w:hAnsi="Arial" w:cs="Arial"/>
          <w:sz w:val="24"/>
          <w:szCs w:val="24"/>
        </w:rPr>
        <w:t>remains</w:t>
      </w:r>
      <w:proofErr w:type="spellEnd"/>
      <w:r w:rsidRPr="000A5F53">
        <w:rPr>
          <w:rFonts w:ascii="Arial" w:hAnsi="Arial" w:cs="Arial"/>
          <w:sz w:val="24"/>
          <w:szCs w:val="24"/>
        </w:rPr>
        <w:t xml:space="preserve"> </w:t>
      </w:r>
      <w:proofErr w:type="spellStart"/>
      <w:r w:rsidRPr="000A5F53">
        <w:rPr>
          <w:rFonts w:ascii="Arial" w:hAnsi="Arial" w:cs="Arial"/>
          <w:sz w:val="24"/>
          <w:szCs w:val="24"/>
        </w:rPr>
        <w:t>very</w:t>
      </w:r>
      <w:proofErr w:type="spellEnd"/>
      <w:r w:rsidRPr="000A5F53">
        <w:rPr>
          <w:rFonts w:ascii="Arial" w:hAnsi="Arial" w:cs="Arial"/>
          <w:sz w:val="24"/>
          <w:szCs w:val="24"/>
        </w:rPr>
        <w:t xml:space="preserve"> high and </w:t>
      </w:r>
      <w:proofErr w:type="spellStart"/>
      <w:r w:rsidRPr="000A5F53">
        <w:rPr>
          <w:rFonts w:ascii="Arial" w:hAnsi="Arial" w:cs="Arial"/>
          <w:sz w:val="24"/>
          <w:szCs w:val="24"/>
        </w:rPr>
        <w:t>stable</w:t>
      </w:r>
      <w:proofErr w:type="spellEnd"/>
      <w:r w:rsidRPr="000A5F53">
        <w:rPr>
          <w:rFonts w:ascii="Arial" w:hAnsi="Arial" w:cs="Arial"/>
          <w:sz w:val="24"/>
          <w:szCs w:val="24"/>
        </w:rPr>
        <w:t xml:space="preserve">. As </w:t>
      </w:r>
      <w:proofErr w:type="spellStart"/>
      <w:r w:rsidRPr="000A5F53">
        <w:rPr>
          <w:rFonts w:ascii="Arial" w:hAnsi="Arial" w:cs="Arial"/>
          <w:sz w:val="24"/>
          <w:szCs w:val="24"/>
        </w:rPr>
        <w:t>many</w:t>
      </w:r>
      <w:proofErr w:type="spellEnd"/>
      <w:r w:rsidRPr="000A5F53">
        <w:rPr>
          <w:rFonts w:ascii="Arial" w:hAnsi="Arial" w:cs="Arial"/>
          <w:sz w:val="24"/>
          <w:szCs w:val="24"/>
        </w:rPr>
        <w:t xml:space="preserve"> as 96% of </w:t>
      </w:r>
      <w:proofErr w:type="spellStart"/>
      <w:r w:rsidRPr="000A5F53">
        <w:rPr>
          <w:rFonts w:ascii="Arial" w:hAnsi="Arial" w:cs="Arial"/>
          <w:sz w:val="24"/>
          <w:szCs w:val="24"/>
        </w:rPr>
        <w:t>respondents</w:t>
      </w:r>
      <w:proofErr w:type="spellEnd"/>
      <w:r w:rsidRPr="000A5F53">
        <w:rPr>
          <w:rFonts w:ascii="Arial" w:hAnsi="Arial" w:cs="Arial"/>
          <w:sz w:val="24"/>
          <w:szCs w:val="24"/>
        </w:rPr>
        <w:t xml:space="preserve"> </w:t>
      </w:r>
      <w:proofErr w:type="spellStart"/>
      <w:r w:rsidRPr="000A5F53">
        <w:rPr>
          <w:rFonts w:ascii="Arial" w:hAnsi="Arial" w:cs="Arial"/>
          <w:sz w:val="24"/>
          <w:szCs w:val="24"/>
        </w:rPr>
        <w:t>declared</w:t>
      </w:r>
      <w:proofErr w:type="spellEnd"/>
      <w:r w:rsidRPr="000A5F53">
        <w:rPr>
          <w:rFonts w:ascii="Arial" w:hAnsi="Arial" w:cs="Arial"/>
          <w:sz w:val="24"/>
          <w:szCs w:val="24"/>
        </w:rPr>
        <w:t xml:space="preserve"> </w:t>
      </w:r>
      <w:proofErr w:type="spellStart"/>
      <w:r w:rsidRPr="000A5F53">
        <w:rPr>
          <w:rFonts w:ascii="Arial" w:hAnsi="Arial" w:cs="Arial"/>
          <w:sz w:val="24"/>
          <w:szCs w:val="24"/>
        </w:rPr>
        <w:t>that</w:t>
      </w:r>
      <w:proofErr w:type="spellEnd"/>
      <w:r w:rsidRPr="000A5F53">
        <w:rPr>
          <w:rFonts w:ascii="Arial" w:hAnsi="Arial" w:cs="Arial"/>
          <w:sz w:val="24"/>
          <w:szCs w:val="24"/>
        </w:rPr>
        <w:t xml:space="preserve"> in 2025 </w:t>
      </w:r>
      <w:proofErr w:type="spellStart"/>
      <w:r w:rsidRPr="000A5F53">
        <w:rPr>
          <w:rFonts w:ascii="Arial" w:hAnsi="Arial" w:cs="Arial"/>
          <w:sz w:val="24"/>
          <w:szCs w:val="24"/>
        </w:rPr>
        <w:t>they</w:t>
      </w:r>
      <w:proofErr w:type="spellEnd"/>
      <w:r w:rsidRPr="000A5F53">
        <w:rPr>
          <w:rFonts w:ascii="Arial" w:hAnsi="Arial" w:cs="Arial"/>
          <w:sz w:val="24"/>
          <w:szCs w:val="24"/>
        </w:rPr>
        <w:t xml:space="preserve"> </w:t>
      </w:r>
      <w:proofErr w:type="spellStart"/>
      <w:r w:rsidRPr="000A5F53">
        <w:rPr>
          <w:rFonts w:ascii="Arial" w:hAnsi="Arial" w:cs="Arial"/>
          <w:sz w:val="24"/>
          <w:szCs w:val="24"/>
        </w:rPr>
        <w:t>had</w:t>
      </w:r>
      <w:proofErr w:type="spellEnd"/>
      <w:r w:rsidRPr="000A5F53">
        <w:rPr>
          <w:rFonts w:ascii="Arial" w:hAnsi="Arial" w:cs="Arial"/>
          <w:sz w:val="24"/>
          <w:szCs w:val="24"/>
        </w:rPr>
        <w:t xml:space="preserve"> </w:t>
      </w:r>
      <w:proofErr w:type="spellStart"/>
      <w:r w:rsidRPr="000A5F53">
        <w:rPr>
          <w:rFonts w:ascii="Arial" w:hAnsi="Arial" w:cs="Arial"/>
          <w:sz w:val="24"/>
          <w:szCs w:val="24"/>
        </w:rPr>
        <w:t>encountered</w:t>
      </w:r>
      <w:proofErr w:type="spellEnd"/>
      <w:r w:rsidRPr="000A5F53">
        <w:rPr>
          <w:rFonts w:ascii="Arial" w:hAnsi="Arial" w:cs="Arial"/>
          <w:sz w:val="24"/>
          <w:szCs w:val="24"/>
        </w:rPr>
        <w:t xml:space="preserve"> the </w:t>
      </w:r>
      <w:proofErr w:type="spellStart"/>
      <w:r w:rsidRPr="000A5F53">
        <w:rPr>
          <w:rFonts w:ascii="Arial" w:hAnsi="Arial" w:cs="Arial"/>
          <w:sz w:val="24"/>
          <w:szCs w:val="24"/>
        </w:rPr>
        <w:t>terms</w:t>
      </w:r>
      <w:proofErr w:type="spellEnd"/>
      <w:r w:rsidRPr="000A5F53">
        <w:rPr>
          <w:rFonts w:ascii="Arial" w:hAnsi="Arial" w:cs="Arial"/>
          <w:sz w:val="24"/>
          <w:szCs w:val="24"/>
        </w:rPr>
        <w:t xml:space="preserve"> “</w:t>
      </w:r>
      <w:proofErr w:type="spellStart"/>
      <w:r w:rsidRPr="000A5F53">
        <w:rPr>
          <w:rFonts w:ascii="Arial" w:hAnsi="Arial" w:cs="Arial"/>
          <w:sz w:val="24"/>
          <w:szCs w:val="24"/>
        </w:rPr>
        <w:t>European</w:t>
      </w:r>
      <w:proofErr w:type="spellEnd"/>
      <w:r w:rsidRPr="000A5F53">
        <w:rPr>
          <w:rFonts w:ascii="Arial" w:hAnsi="Arial" w:cs="Arial"/>
          <w:sz w:val="24"/>
          <w:szCs w:val="24"/>
        </w:rPr>
        <w:t xml:space="preserve"> </w:t>
      </w:r>
      <w:proofErr w:type="spellStart"/>
      <w:r w:rsidRPr="000A5F53">
        <w:rPr>
          <w:rFonts w:ascii="Arial" w:hAnsi="Arial" w:cs="Arial"/>
          <w:sz w:val="24"/>
          <w:szCs w:val="24"/>
        </w:rPr>
        <w:t>Funds</w:t>
      </w:r>
      <w:proofErr w:type="spellEnd"/>
      <w:r w:rsidRPr="000A5F53">
        <w:rPr>
          <w:rFonts w:ascii="Arial" w:hAnsi="Arial" w:cs="Arial"/>
          <w:sz w:val="24"/>
          <w:szCs w:val="24"/>
        </w:rPr>
        <w:t xml:space="preserve">” </w:t>
      </w:r>
      <w:proofErr w:type="spellStart"/>
      <w:r w:rsidRPr="000A5F53">
        <w:rPr>
          <w:rFonts w:ascii="Arial" w:hAnsi="Arial" w:cs="Arial"/>
          <w:sz w:val="24"/>
          <w:szCs w:val="24"/>
        </w:rPr>
        <w:t>or</w:t>
      </w:r>
      <w:proofErr w:type="spellEnd"/>
      <w:r w:rsidRPr="000A5F53">
        <w:rPr>
          <w:rFonts w:ascii="Arial" w:hAnsi="Arial" w:cs="Arial"/>
          <w:sz w:val="24"/>
          <w:szCs w:val="24"/>
        </w:rPr>
        <w:t xml:space="preserve"> “EU </w:t>
      </w:r>
      <w:proofErr w:type="spellStart"/>
      <w:r w:rsidRPr="000A5F53">
        <w:rPr>
          <w:rFonts w:ascii="Arial" w:hAnsi="Arial" w:cs="Arial"/>
          <w:sz w:val="24"/>
          <w:szCs w:val="24"/>
        </w:rPr>
        <w:t>Funds</w:t>
      </w:r>
      <w:proofErr w:type="spellEnd"/>
      <w:r w:rsidRPr="000A5F53">
        <w:rPr>
          <w:rFonts w:ascii="Arial" w:hAnsi="Arial" w:cs="Arial"/>
          <w:sz w:val="24"/>
          <w:szCs w:val="24"/>
        </w:rPr>
        <w:t xml:space="preserve">,” </w:t>
      </w:r>
      <w:proofErr w:type="spellStart"/>
      <w:r w:rsidRPr="000A5F53">
        <w:rPr>
          <w:rFonts w:ascii="Arial" w:hAnsi="Arial" w:cs="Arial"/>
          <w:sz w:val="24"/>
          <w:szCs w:val="24"/>
        </w:rPr>
        <w:t>representing</w:t>
      </w:r>
      <w:proofErr w:type="spellEnd"/>
      <w:r w:rsidRPr="000A5F53">
        <w:rPr>
          <w:rFonts w:ascii="Arial" w:hAnsi="Arial" w:cs="Arial"/>
          <w:sz w:val="24"/>
          <w:szCs w:val="24"/>
        </w:rPr>
        <w:t xml:space="preserve"> the </w:t>
      </w:r>
      <w:proofErr w:type="spellStart"/>
      <w:r w:rsidRPr="000A5F53">
        <w:rPr>
          <w:rFonts w:ascii="Arial" w:hAnsi="Arial" w:cs="Arial"/>
          <w:sz w:val="24"/>
          <w:szCs w:val="24"/>
        </w:rPr>
        <w:t>highest</w:t>
      </w:r>
      <w:proofErr w:type="spellEnd"/>
      <w:r w:rsidRPr="000A5F53">
        <w:rPr>
          <w:rFonts w:ascii="Arial" w:hAnsi="Arial" w:cs="Arial"/>
          <w:sz w:val="24"/>
          <w:szCs w:val="24"/>
        </w:rPr>
        <w:t xml:space="preserve"> </w:t>
      </w:r>
      <w:proofErr w:type="spellStart"/>
      <w:r w:rsidRPr="000A5F53">
        <w:rPr>
          <w:rFonts w:ascii="Arial" w:hAnsi="Arial" w:cs="Arial"/>
          <w:sz w:val="24"/>
          <w:szCs w:val="24"/>
        </w:rPr>
        <w:t>value</w:t>
      </w:r>
      <w:proofErr w:type="spellEnd"/>
      <w:r w:rsidRPr="000A5F53">
        <w:rPr>
          <w:rFonts w:ascii="Arial" w:hAnsi="Arial" w:cs="Arial"/>
          <w:sz w:val="24"/>
          <w:szCs w:val="24"/>
        </w:rPr>
        <w:t xml:space="preserve"> </w:t>
      </w:r>
      <w:proofErr w:type="spellStart"/>
      <w:r w:rsidRPr="000A5F53">
        <w:rPr>
          <w:rFonts w:ascii="Arial" w:hAnsi="Arial" w:cs="Arial"/>
          <w:sz w:val="24"/>
          <w:szCs w:val="24"/>
        </w:rPr>
        <w:t>recorded</w:t>
      </w:r>
      <w:proofErr w:type="spellEnd"/>
      <w:r w:rsidRPr="000A5F53">
        <w:rPr>
          <w:rFonts w:ascii="Arial" w:hAnsi="Arial" w:cs="Arial"/>
          <w:sz w:val="24"/>
          <w:szCs w:val="24"/>
        </w:rPr>
        <w:t xml:space="preserve"> </w:t>
      </w:r>
      <w:proofErr w:type="spellStart"/>
      <w:r w:rsidRPr="000A5F53">
        <w:rPr>
          <w:rFonts w:ascii="Arial" w:hAnsi="Arial" w:cs="Arial"/>
          <w:sz w:val="24"/>
          <w:szCs w:val="24"/>
        </w:rPr>
        <w:t>throughout</w:t>
      </w:r>
      <w:proofErr w:type="spellEnd"/>
      <w:r w:rsidRPr="000A5F53">
        <w:rPr>
          <w:rFonts w:ascii="Arial" w:hAnsi="Arial" w:cs="Arial"/>
          <w:sz w:val="24"/>
          <w:szCs w:val="24"/>
        </w:rPr>
        <w:t xml:space="preserve"> the </w:t>
      </w:r>
      <w:proofErr w:type="spellStart"/>
      <w:r w:rsidRPr="000A5F53">
        <w:rPr>
          <w:rFonts w:ascii="Arial" w:hAnsi="Arial" w:cs="Arial"/>
          <w:sz w:val="24"/>
          <w:szCs w:val="24"/>
        </w:rPr>
        <w:t>entire</w:t>
      </w:r>
      <w:proofErr w:type="spellEnd"/>
      <w:r w:rsidRPr="000A5F53">
        <w:rPr>
          <w:rFonts w:ascii="Arial" w:hAnsi="Arial" w:cs="Arial"/>
          <w:sz w:val="24"/>
          <w:szCs w:val="24"/>
        </w:rPr>
        <w:t xml:space="preserve"> monitoring period.</w:t>
      </w:r>
    </w:p>
    <w:p w14:paraId="5D4B1DD8" w14:textId="77777777" w:rsidR="00D64FC6" w:rsidRDefault="00D64FC6" w:rsidP="00D64FC6">
      <w:pPr>
        <w:spacing w:before="240" w:line="360" w:lineRule="auto"/>
        <w:rPr>
          <w:rFonts w:ascii="Arial" w:hAnsi="Arial" w:cs="Arial"/>
          <w:sz w:val="24"/>
          <w:szCs w:val="24"/>
        </w:rPr>
      </w:pPr>
      <w:r w:rsidRPr="00D0252A">
        <w:rPr>
          <w:rFonts w:ascii="Arial" w:hAnsi="Arial" w:cs="Arial"/>
          <w:sz w:val="24"/>
          <w:szCs w:val="24"/>
        </w:rPr>
        <w:t xml:space="preserve">The </w:t>
      </w:r>
      <w:proofErr w:type="spellStart"/>
      <w:r w:rsidRPr="00D0252A">
        <w:rPr>
          <w:rFonts w:ascii="Arial" w:hAnsi="Arial" w:cs="Arial"/>
          <w:sz w:val="24"/>
          <w:szCs w:val="24"/>
        </w:rPr>
        <w:t>analysis</w:t>
      </w:r>
      <w:proofErr w:type="spellEnd"/>
      <w:r w:rsidRPr="00D0252A">
        <w:rPr>
          <w:rFonts w:ascii="Arial" w:hAnsi="Arial" w:cs="Arial"/>
          <w:sz w:val="24"/>
          <w:szCs w:val="24"/>
        </w:rPr>
        <w:t xml:space="preserve"> </w:t>
      </w:r>
      <w:proofErr w:type="spellStart"/>
      <w:r w:rsidRPr="00D0252A">
        <w:rPr>
          <w:rFonts w:ascii="Arial" w:hAnsi="Arial" w:cs="Arial"/>
          <w:sz w:val="24"/>
          <w:szCs w:val="24"/>
        </w:rPr>
        <w:t>indicates</w:t>
      </w:r>
      <w:proofErr w:type="spellEnd"/>
      <w:r w:rsidRPr="00D0252A">
        <w:rPr>
          <w:rFonts w:ascii="Arial" w:hAnsi="Arial" w:cs="Arial"/>
          <w:sz w:val="24"/>
          <w:szCs w:val="24"/>
        </w:rPr>
        <w:t xml:space="preserve"> </w:t>
      </w:r>
      <w:proofErr w:type="spellStart"/>
      <w:r w:rsidRPr="00D0252A">
        <w:rPr>
          <w:rFonts w:ascii="Arial" w:hAnsi="Arial" w:cs="Arial"/>
          <w:sz w:val="24"/>
          <w:szCs w:val="24"/>
        </w:rPr>
        <w:t>that</w:t>
      </w:r>
      <w:proofErr w:type="spellEnd"/>
      <w:r w:rsidRPr="00D0252A">
        <w:rPr>
          <w:rFonts w:ascii="Arial" w:hAnsi="Arial" w:cs="Arial"/>
          <w:sz w:val="24"/>
          <w:szCs w:val="24"/>
        </w:rPr>
        <w:t xml:space="preserve"> </w:t>
      </w:r>
      <w:proofErr w:type="spellStart"/>
      <w:r w:rsidRPr="00D0252A">
        <w:rPr>
          <w:rFonts w:ascii="Arial" w:hAnsi="Arial" w:cs="Arial"/>
          <w:sz w:val="24"/>
          <w:szCs w:val="24"/>
        </w:rPr>
        <w:t>throughout</w:t>
      </w:r>
      <w:proofErr w:type="spellEnd"/>
      <w:r w:rsidRPr="00D0252A">
        <w:rPr>
          <w:rFonts w:ascii="Arial" w:hAnsi="Arial" w:cs="Arial"/>
          <w:sz w:val="24"/>
          <w:szCs w:val="24"/>
        </w:rPr>
        <w:t xml:space="preserve"> the </w:t>
      </w:r>
      <w:proofErr w:type="spellStart"/>
      <w:r w:rsidRPr="00D0252A">
        <w:rPr>
          <w:rFonts w:ascii="Arial" w:hAnsi="Arial" w:cs="Arial"/>
          <w:sz w:val="24"/>
          <w:szCs w:val="24"/>
        </w:rPr>
        <w:t>entire</w:t>
      </w:r>
      <w:proofErr w:type="spellEnd"/>
      <w:r w:rsidRPr="00D0252A">
        <w:rPr>
          <w:rFonts w:ascii="Arial" w:hAnsi="Arial" w:cs="Arial"/>
          <w:sz w:val="24"/>
          <w:szCs w:val="24"/>
        </w:rPr>
        <w:t xml:space="preserve"> period </w:t>
      </w:r>
      <w:proofErr w:type="spellStart"/>
      <w:r w:rsidRPr="00D0252A">
        <w:rPr>
          <w:rFonts w:ascii="Arial" w:hAnsi="Arial" w:cs="Arial"/>
          <w:sz w:val="24"/>
          <w:szCs w:val="24"/>
        </w:rPr>
        <w:t>under</w:t>
      </w:r>
      <w:proofErr w:type="spellEnd"/>
      <w:r w:rsidRPr="00D0252A">
        <w:rPr>
          <w:rFonts w:ascii="Arial" w:hAnsi="Arial" w:cs="Arial"/>
          <w:sz w:val="24"/>
          <w:szCs w:val="24"/>
        </w:rPr>
        <w:t xml:space="preserve"> </w:t>
      </w:r>
      <w:proofErr w:type="spellStart"/>
      <w:r w:rsidRPr="00D0252A">
        <w:rPr>
          <w:rFonts w:ascii="Arial" w:hAnsi="Arial" w:cs="Arial"/>
          <w:sz w:val="24"/>
          <w:szCs w:val="24"/>
        </w:rPr>
        <w:t>review</w:t>
      </w:r>
      <w:proofErr w:type="spellEnd"/>
      <w:r w:rsidRPr="00D0252A">
        <w:rPr>
          <w:rFonts w:ascii="Arial" w:hAnsi="Arial" w:cs="Arial"/>
          <w:sz w:val="24"/>
          <w:szCs w:val="24"/>
        </w:rPr>
        <w:t xml:space="preserve">, the </w:t>
      </w:r>
      <w:proofErr w:type="spellStart"/>
      <w:r w:rsidRPr="00D0252A">
        <w:rPr>
          <w:rFonts w:ascii="Arial" w:hAnsi="Arial" w:cs="Arial"/>
          <w:sz w:val="24"/>
          <w:szCs w:val="24"/>
        </w:rPr>
        <w:t>prevailing</w:t>
      </w:r>
      <w:proofErr w:type="spellEnd"/>
      <w:r w:rsidRPr="00D0252A">
        <w:rPr>
          <w:rFonts w:ascii="Arial" w:hAnsi="Arial" w:cs="Arial"/>
          <w:sz w:val="24"/>
          <w:szCs w:val="24"/>
        </w:rPr>
        <w:t xml:space="preserve"> </w:t>
      </w:r>
      <w:proofErr w:type="spellStart"/>
      <w:r w:rsidRPr="00D0252A">
        <w:rPr>
          <w:rFonts w:ascii="Arial" w:hAnsi="Arial" w:cs="Arial"/>
          <w:sz w:val="24"/>
          <w:szCs w:val="24"/>
        </w:rPr>
        <w:t>perception</w:t>
      </w:r>
      <w:proofErr w:type="spellEnd"/>
      <w:r w:rsidRPr="00D0252A">
        <w:rPr>
          <w:rFonts w:ascii="Arial" w:hAnsi="Arial" w:cs="Arial"/>
          <w:sz w:val="24"/>
          <w:szCs w:val="24"/>
        </w:rPr>
        <w:t xml:space="preserve"> </w:t>
      </w:r>
      <w:proofErr w:type="spellStart"/>
      <w:r w:rsidRPr="00D0252A">
        <w:rPr>
          <w:rFonts w:ascii="Arial" w:hAnsi="Arial" w:cs="Arial"/>
          <w:sz w:val="24"/>
          <w:szCs w:val="24"/>
        </w:rPr>
        <w:t>is</w:t>
      </w:r>
      <w:proofErr w:type="spellEnd"/>
      <w:r w:rsidRPr="00D0252A">
        <w:rPr>
          <w:rFonts w:ascii="Arial" w:hAnsi="Arial" w:cs="Arial"/>
          <w:sz w:val="24"/>
          <w:szCs w:val="24"/>
        </w:rPr>
        <w:t xml:space="preserve"> one of </w:t>
      </w:r>
      <w:proofErr w:type="spellStart"/>
      <w:r w:rsidRPr="00D0252A">
        <w:rPr>
          <w:rFonts w:ascii="Arial" w:hAnsi="Arial" w:cs="Arial"/>
          <w:sz w:val="24"/>
          <w:szCs w:val="24"/>
        </w:rPr>
        <w:t>rather</w:t>
      </w:r>
      <w:proofErr w:type="spellEnd"/>
      <w:r w:rsidRPr="00D0252A">
        <w:rPr>
          <w:rFonts w:ascii="Arial" w:hAnsi="Arial" w:cs="Arial"/>
          <w:sz w:val="24"/>
          <w:szCs w:val="24"/>
        </w:rPr>
        <w:t xml:space="preserve"> </w:t>
      </w:r>
      <w:proofErr w:type="spellStart"/>
      <w:r w:rsidRPr="00D0252A">
        <w:rPr>
          <w:rFonts w:ascii="Arial" w:hAnsi="Arial" w:cs="Arial"/>
          <w:sz w:val="24"/>
          <w:szCs w:val="24"/>
        </w:rPr>
        <w:t>limited</w:t>
      </w:r>
      <w:proofErr w:type="spellEnd"/>
      <w:r w:rsidRPr="00D0252A">
        <w:rPr>
          <w:rFonts w:ascii="Arial" w:hAnsi="Arial" w:cs="Arial"/>
          <w:sz w:val="24"/>
          <w:szCs w:val="24"/>
        </w:rPr>
        <w:t xml:space="preserve"> </w:t>
      </w:r>
      <w:proofErr w:type="spellStart"/>
      <w:r w:rsidRPr="00D0252A">
        <w:rPr>
          <w:rFonts w:ascii="Arial" w:hAnsi="Arial" w:cs="Arial"/>
          <w:sz w:val="24"/>
          <w:szCs w:val="24"/>
        </w:rPr>
        <w:t>knowledge</w:t>
      </w:r>
      <w:proofErr w:type="spellEnd"/>
      <w:r w:rsidRPr="00D0252A">
        <w:rPr>
          <w:rFonts w:ascii="Arial" w:hAnsi="Arial" w:cs="Arial"/>
          <w:sz w:val="24"/>
          <w:szCs w:val="24"/>
        </w:rPr>
        <w:t xml:space="preserve">, </w:t>
      </w:r>
      <w:proofErr w:type="spellStart"/>
      <w:r w:rsidRPr="00D0252A">
        <w:rPr>
          <w:rFonts w:ascii="Arial" w:hAnsi="Arial" w:cs="Arial"/>
          <w:sz w:val="24"/>
          <w:szCs w:val="24"/>
        </w:rPr>
        <w:t>although</w:t>
      </w:r>
      <w:proofErr w:type="spellEnd"/>
      <w:r w:rsidRPr="00D0252A">
        <w:rPr>
          <w:rFonts w:ascii="Arial" w:hAnsi="Arial" w:cs="Arial"/>
          <w:sz w:val="24"/>
          <w:szCs w:val="24"/>
        </w:rPr>
        <w:t xml:space="preserve"> the </w:t>
      </w:r>
      <w:proofErr w:type="spellStart"/>
      <w:r w:rsidRPr="00D0252A">
        <w:rPr>
          <w:rFonts w:ascii="Arial" w:hAnsi="Arial" w:cs="Arial"/>
          <w:sz w:val="24"/>
          <w:szCs w:val="24"/>
        </w:rPr>
        <w:t>distribution</w:t>
      </w:r>
      <w:proofErr w:type="spellEnd"/>
      <w:r w:rsidRPr="00D0252A">
        <w:rPr>
          <w:rFonts w:ascii="Arial" w:hAnsi="Arial" w:cs="Arial"/>
          <w:sz w:val="24"/>
          <w:szCs w:val="24"/>
        </w:rPr>
        <w:t xml:space="preserve"> of </w:t>
      </w:r>
      <w:proofErr w:type="spellStart"/>
      <w:r w:rsidRPr="00D0252A">
        <w:rPr>
          <w:rFonts w:ascii="Arial" w:hAnsi="Arial" w:cs="Arial"/>
          <w:sz w:val="24"/>
          <w:szCs w:val="24"/>
        </w:rPr>
        <w:t>responses</w:t>
      </w:r>
      <w:proofErr w:type="spellEnd"/>
      <w:r w:rsidRPr="00D0252A">
        <w:rPr>
          <w:rFonts w:ascii="Arial" w:hAnsi="Arial" w:cs="Arial"/>
          <w:sz w:val="24"/>
          <w:szCs w:val="24"/>
        </w:rPr>
        <w:t xml:space="preserve"> </w:t>
      </w:r>
      <w:proofErr w:type="spellStart"/>
      <w:r w:rsidRPr="00D0252A">
        <w:rPr>
          <w:rFonts w:ascii="Arial" w:hAnsi="Arial" w:cs="Arial"/>
          <w:sz w:val="24"/>
          <w:szCs w:val="24"/>
        </w:rPr>
        <w:t>evolves</w:t>
      </w:r>
      <w:proofErr w:type="spellEnd"/>
      <w:r w:rsidRPr="00D0252A">
        <w:rPr>
          <w:rFonts w:ascii="Arial" w:hAnsi="Arial" w:cs="Arial"/>
          <w:sz w:val="24"/>
          <w:szCs w:val="24"/>
        </w:rPr>
        <w:t xml:space="preserve"> </w:t>
      </w:r>
      <w:proofErr w:type="spellStart"/>
      <w:r w:rsidRPr="00D0252A">
        <w:rPr>
          <w:rFonts w:ascii="Arial" w:hAnsi="Arial" w:cs="Arial"/>
          <w:sz w:val="24"/>
          <w:szCs w:val="24"/>
        </w:rPr>
        <w:t>gradually</w:t>
      </w:r>
      <w:proofErr w:type="spellEnd"/>
      <w:r w:rsidRPr="00D0252A">
        <w:rPr>
          <w:rFonts w:ascii="Arial" w:hAnsi="Arial" w:cs="Arial"/>
          <w:sz w:val="24"/>
          <w:szCs w:val="24"/>
        </w:rPr>
        <w:t xml:space="preserve"> </w:t>
      </w:r>
      <w:proofErr w:type="spellStart"/>
      <w:r w:rsidRPr="00D0252A">
        <w:rPr>
          <w:rFonts w:ascii="Arial" w:hAnsi="Arial" w:cs="Arial"/>
          <w:sz w:val="24"/>
          <w:szCs w:val="24"/>
        </w:rPr>
        <w:t>over</w:t>
      </w:r>
      <w:proofErr w:type="spellEnd"/>
      <w:r w:rsidRPr="00D0252A">
        <w:rPr>
          <w:rFonts w:ascii="Arial" w:hAnsi="Arial" w:cs="Arial"/>
          <w:sz w:val="24"/>
          <w:szCs w:val="24"/>
        </w:rPr>
        <w:t xml:space="preserve"> </w:t>
      </w:r>
      <w:proofErr w:type="spellStart"/>
      <w:r w:rsidRPr="00D0252A">
        <w:rPr>
          <w:rFonts w:ascii="Arial" w:hAnsi="Arial" w:cs="Arial"/>
          <w:sz w:val="24"/>
          <w:szCs w:val="24"/>
        </w:rPr>
        <w:t>time</w:t>
      </w:r>
      <w:proofErr w:type="spellEnd"/>
      <w:r w:rsidRPr="00D0252A">
        <w:rPr>
          <w:rFonts w:ascii="Arial" w:hAnsi="Arial" w:cs="Arial"/>
          <w:sz w:val="24"/>
          <w:szCs w:val="24"/>
        </w:rPr>
        <w:t xml:space="preserve">. </w:t>
      </w:r>
      <w:proofErr w:type="spellStart"/>
      <w:r w:rsidRPr="00D0252A">
        <w:rPr>
          <w:rFonts w:ascii="Arial" w:hAnsi="Arial" w:cs="Arial"/>
          <w:sz w:val="24"/>
          <w:szCs w:val="24"/>
        </w:rPr>
        <w:t>Ratings</w:t>
      </w:r>
      <w:proofErr w:type="spellEnd"/>
      <w:r w:rsidRPr="00D0252A">
        <w:rPr>
          <w:rFonts w:ascii="Arial" w:hAnsi="Arial" w:cs="Arial"/>
          <w:sz w:val="24"/>
          <w:szCs w:val="24"/>
        </w:rPr>
        <w:t xml:space="preserve"> of 2 and 3 </w:t>
      </w:r>
      <w:proofErr w:type="spellStart"/>
      <w:r w:rsidRPr="00D0252A">
        <w:rPr>
          <w:rFonts w:ascii="Arial" w:hAnsi="Arial" w:cs="Arial"/>
          <w:sz w:val="24"/>
          <w:szCs w:val="24"/>
        </w:rPr>
        <w:t>are</w:t>
      </w:r>
      <w:proofErr w:type="spellEnd"/>
      <w:r w:rsidRPr="00D0252A">
        <w:rPr>
          <w:rFonts w:ascii="Arial" w:hAnsi="Arial" w:cs="Arial"/>
          <w:sz w:val="24"/>
          <w:szCs w:val="24"/>
        </w:rPr>
        <w:t xml:space="preserve"> most </w:t>
      </w:r>
      <w:proofErr w:type="spellStart"/>
      <w:r w:rsidRPr="00D0252A">
        <w:rPr>
          <w:rFonts w:ascii="Arial" w:hAnsi="Arial" w:cs="Arial"/>
          <w:sz w:val="24"/>
          <w:szCs w:val="24"/>
        </w:rPr>
        <w:t>frequently</w:t>
      </w:r>
      <w:proofErr w:type="spellEnd"/>
      <w:r w:rsidRPr="00D0252A">
        <w:rPr>
          <w:rFonts w:ascii="Arial" w:hAnsi="Arial" w:cs="Arial"/>
          <w:sz w:val="24"/>
          <w:szCs w:val="24"/>
        </w:rPr>
        <w:t xml:space="preserve"> </w:t>
      </w:r>
      <w:proofErr w:type="spellStart"/>
      <w:r w:rsidRPr="00D0252A">
        <w:rPr>
          <w:rFonts w:ascii="Arial" w:hAnsi="Arial" w:cs="Arial"/>
          <w:sz w:val="24"/>
          <w:szCs w:val="24"/>
        </w:rPr>
        <w:t>reported</w:t>
      </w:r>
      <w:proofErr w:type="spellEnd"/>
      <w:r w:rsidRPr="00D0252A">
        <w:rPr>
          <w:rFonts w:ascii="Arial" w:hAnsi="Arial" w:cs="Arial"/>
          <w:sz w:val="24"/>
          <w:szCs w:val="24"/>
        </w:rPr>
        <w:t xml:space="preserve">, </w:t>
      </w:r>
      <w:proofErr w:type="spellStart"/>
      <w:r w:rsidRPr="00D0252A">
        <w:rPr>
          <w:rFonts w:ascii="Arial" w:hAnsi="Arial" w:cs="Arial"/>
          <w:sz w:val="24"/>
          <w:szCs w:val="24"/>
        </w:rPr>
        <w:t>while</w:t>
      </w:r>
      <w:proofErr w:type="spellEnd"/>
      <w:r w:rsidRPr="00D0252A">
        <w:rPr>
          <w:rFonts w:ascii="Arial" w:hAnsi="Arial" w:cs="Arial"/>
          <w:sz w:val="24"/>
          <w:szCs w:val="24"/>
        </w:rPr>
        <w:t xml:space="preserve"> the </w:t>
      </w:r>
      <w:proofErr w:type="spellStart"/>
      <w:r w:rsidRPr="00D0252A">
        <w:rPr>
          <w:rFonts w:ascii="Arial" w:hAnsi="Arial" w:cs="Arial"/>
          <w:sz w:val="24"/>
          <w:szCs w:val="24"/>
        </w:rPr>
        <w:t>highest</w:t>
      </w:r>
      <w:proofErr w:type="spellEnd"/>
      <w:r w:rsidRPr="00D0252A">
        <w:rPr>
          <w:rFonts w:ascii="Arial" w:hAnsi="Arial" w:cs="Arial"/>
          <w:sz w:val="24"/>
          <w:szCs w:val="24"/>
        </w:rPr>
        <w:t xml:space="preserve"> </w:t>
      </w:r>
      <w:proofErr w:type="spellStart"/>
      <w:r w:rsidRPr="00D0252A">
        <w:rPr>
          <w:rFonts w:ascii="Arial" w:hAnsi="Arial" w:cs="Arial"/>
          <w:sz w:val="24"/>
          <w:szCs w:val="24"/>
        </w:rPr>
        <w:t>levels</w:t>
      </w:r>
      <w:proofErr w:type="spellEnd"/>
      <w:r w:rsidRPr="00D0252A">
        <w:rPr>
          <w:rFonts w:ascii="Arial" w:hAnsi="Arial" w:cs="Arial"/>
          <w:sz w:val="24"/>
          <w:szCs w:val="24"/>
        </w:rPr>
        <w:t xml:space="preserve"> of </w:t>
      </w:r>
      <w:proofErr w:type="spellStart"/>
      <w:r w:rsidRPr="00D0252A">
        <w:rPr>
          <w:rFonts w:ascii="Arial" w:hAnsi="Arial" w:cs="Arial"/>
          <w:sz w:val="24"/>
          <w:szCs w:val="24"/>
        </w:rPr>
        <w:t>self-assessed</w:t>
      </w:r>
      <w:proofErr w:type="spellEnd"/>
      <w:r w:rsidRPr="00D0252A">
        <w:rPr>
          <w:rFonts w:ascii="Arial" w:hAnsi="Arial" w:cs="Arial"/>
          <w:sz w:val="24"/>
          <w:szCs w:val="24"/>
        </w:rPr>
        <w:t xml:space="preserve"> </w:t>
      </w:r>
      <w:proofErr w:type="spellStart"/>
      <w:r w:rsidRPr="00D0252A">
        <w:rPr>
          <w:rFonts w:ascii="Arial" w:hAnsi="Arial" w:cs="Arial"/>
          <w:sz w:val="24"/>
          <w:szCs w:val="24"/>
        </w:rPr>
        <w:t>knowledge</w:t>
      </w:r>
      <w:proofErr w:type="spellEnd"/>
      <w:r w:rsidRPr="00D0252A">
        <w:rPr>
          <w:rFonts w:ascii="Arial" w:hAnsi="Arial" w:cs="Arial"/>
          <w:sz w:val="24"/>
          <w:szCs w:val="24"/>
        </w:rPr>
        <w:t xml:space="preserve"> </w:t>
      </w:r>
      <w:proofErr w:type="spellStart"/>
      <w:r w:rsidRPr="00D0252A">
        <w:rPr>
          <w:rFonts w:ascii="Arial" w:hAnsi="Arial" w:cs="Arial"/>
          <w:sz w:val="24"/>
          <w:szCs w:val="24"/>
        </w:rPr>
        <w:t>also</w:t>
      </w:r>
      <w:proofErr w:type="spellEnd"/>
      <w:r w:rsidRPr="00D0252A">
        <w:rPr>
          <w:rFonts w:ascii="Arial" w:hAnsi="Arial" w:cs="Arial"/>
          <w:sz w:val="24"/>
          <w:szCs w:val="24"/>
        </w:rPr>
        <w:t xml:space="preserve"> </w:t>
      </w:r>
      <w:proofErr w:type="spellStart"/>
      <w:r w:rsidRPr="00D0252A">
        <w:rPr>
          <w:rFonts w:ascii="Arial" w:hAnsi="Arial" w:cs="Arial"/>
          <w:sz w:val="24"/>
          <w:szCs w:val="24"/>
        </w:rPr>
        <w:t>account</w:t>
      </w:r>
      <w:proofErr w:type="spellEnd"/>
      <w:r w:rsidRPr="00D0252A">
        <w:rPr>
          <w:rFonts w:ascii="Arial" w:hAnsi="Arial" w:cs="Arial"/>
          <w:sz w:val="24"/>
          <w:szCs w:val="24"/>
        </w:rPr>
        <w:t xml:space="preserve"> for a notable </w:t>
      </w:r>
      <w:proofErr w:type="spellStart"/>
      <w:r w:rsidRPr="00D0252A">
        <w:rPr>
          <w:rFonts w:ascii="Arial" w:hAnsi="Arial" w:cs="Arial"/>
          <w:sz w:val="24"/>
          <w:szCs w:val="24"/>
        </w:rPr>
        <w:t>share</w:t>
      </w:r>
      <w:proofErr w:type="spellEnd"/>
      <w:r w:rsidRPr="00D0252A">
        <w:rPr>
          <w:rFonts w:ascii="Arial" w:hAnsi="Arial" w:cs="Arial"/>
          <w:sz w:val="24"/>
          <w:szCs w:val="24"/>
        </w:rPr>
        <w:t xml:space="preserve">, </w:t>
      </w:r>
      <w:proofErr w:type="spellStart"/>
      <w:r w:rsidRPr="00D0252A">
        <w:rPr>
          <w:rFonts w:ascii="Arial" w:hAnsi="Arial" w:cs="Arial"/>
          <w:sz w:val="24"/>
          <w:szCs w:val="24"/>
        </w:rPr>
        <w:t>confirming</w:t>
      </w:r>
      <w:proofErr w:type="spellEnd"/>
      <w:r w:rsidRPr="00D0252A">
        <w:rPr>
          <w:rFonts w:ascii="Arial" w:hAnsi="Arial" w:cs="Arial"/>
          <w:sz w:val="24"/>
          <w:szCs w:val="24"/>
        </w:rPr>
        <w:t xml:space="preserve"> the </w:t>
      </w:r>
      <w:proofErr w:type="spellStart"/>
      <w:r w:rsidRPr="00D0252A">
        <w:rPr>
          <w:rFonts w:ascii="Arial" w:hAnsi="Arial" w:cs="Arial"/>
          <w:sz w:val="24"/>
          <w:szCs w:val="24"/>
        </w:rPr>
        <w:t>well-established</w:t>
      </w:r>
      <w:proofErr w:type="spellEnd"/>
      <w:r w:rsidRPr="00D0252A">
        <w:rPr>
          <w:rFonts w:ascii="Arial" w:hAnsi="Arial" w:cs="Arial"/>
          <w:sz w:val="24"/>
          <w:szCs w:val="24"/>
        </w:rPr>
        <w:t xml:space="preserve"> </w:t>
      </w:r>
      <w:proofErr w:type="spellStart"/>
      <w:r w:rsidRPr="00D0252A">
        <w:rPr>
          <w:rFonts w:ascii="Arial" w:hAnsi="Arial" w:cs="Arial"/>
          <w:sz w:val="24"/>
          <w:szCs w:val="24"/>
        </w:rPr>
        <w:t>presence</w:t>
      </w:r>
      <w:proofErr w:type="spellEnd"/>
      <w:r w:rsidRPr="00D0252A">
        <w:rPr>
          <w:rFonts w:ascii="Arial" w:hAnsi="Arial" w:cs="Arial"/>
          <w:sz w:val="24"/>
          <w:szCs w:val="24"/>
        </w:rPr>
        <w:t xml:space="preserve"> of </w:t>
      </w:r>
      <w:proofErr w:type="spellStart"/>
      <w:r w:rsidRPr="00D0252A">
        <w:rPr>
          <w:rFonts w:ascii="Arial" w:hAnsi="Arial" w:cs="Arial"/>
          <w:sz w:val="24"/>
          <w:szCs w:val="24"/>
        </w:rPr>
        <w:t>issues</w:t>
      </w:r>
      <w:proofErr w:type="spellEnd"/>
      <w:r w:rsidRPr="00D0252A">
        <w:rPr>
          <w:rFonts w:ascii="Arial" w:hAnsi="Arial" w:cs="Arial"/>
          <w:sz w:val="24"/>
          <w:szCs w:val="24"/>
        </w:rPr>
        <w:t xml:space="preserve"> </w:t>
      </w:r>
      <w:proofErr w:type="spellStart"/>
      <w:r w:rsidRPr="00D0252A">
        <w:rPr>
          <w:rFonts w:ascii="Arial" w:hAnsi="Arial" w:cs="Arial"/>
          <w:sz w:val="24"/>
          <w:szCs w:val="24"/>
        </w:rPr>
        <w:t>related</w:t>
      </w:r>
      <w:proofErr w:type="spellEnd"/>
      <w:r w:rsidRPr="00D0252A">
        <w:rPr>
          <w:rFonts w:ascii="Arial" w:hAnsi="Arial" w:cs="Arial"/>
          <w:sz w:val="24"/>
          <w:szCs w:val="24"/>
        </w:rPr>
        <w:t xml:space="preserve"> to the </w:t>
      </w:r>
      <w:proofErr w:type="spellStart"/>
      <w:r w:rsidRPr="00D0252A">
        <w:rPr>
          <w:rFonts w:ascii="Arial" w:hAnsi="Arial" w:cs="Arial"/>
          <w:sz w:val="24"/>
          <w:szCs w:val="24"/>
        </w:rPr>
        <w:t>European</w:t>
      </w:r>
      <w:proofErr w:type="spellEnd"/>
      <w:r w:rsidRPr="00D0252A">
        <w:rPr>
          <w:rFonts w:ascii="Arial" w:hAnsi="Arial" w:cs="Arial"/>
          <w:sz w:val="24"/>
          <w:szCs w:val="24"/>
        </w:rPr>
        <w:t xml:space="preserve"> </w:t>
      </w:r>
      <w:proofErr w:type="spellStart"/>
      <w:r w:rsidRPr="00D0252A">
        <w:rPr>
          <w:rFonts w:ascii="Arial" w:hAnsi="Arial" w:cs="Arial"/>
          <w:sz w:val="24"/>
          <w:szCs w:val="24"/>
        </w:rPr>
        <w:t>Funds</w:t>
      </w:r>
      <w:proofErr w:type="spellEnd"/>
      <w:r w:rsidRPr="00D0252A">
        <w:rPr>
          <w:rFonts w:ascii="Arial" w:hAnsi="Arial" w:cs="Arial"/>
          <w:sz w:val="24"/>
          <w:szCs w:val="24"/>
        </w:rPr>
        <w:t xml:space="preserve"> in public </w:t>
      </w:r>
      <w:proofErr w:type="spellStart"/>
      <w:r w:rsidRPr="00D0252A">
        <w:rPr>
          <w:rFonts w:ascii="Arial" w:hAnsi="Arial" w:cs="Arial"/>
          <w:sz w:val="24"/>
          <w:szCs w:val="24"/>
        </w:rPr>
        <w:t>awareness</w:t>
      </w:r>
      <w:proofErr w:type="spellEnd"/>
      <w:r w:rsidRPr="00D0252A">
        <w:rPr>
          <w:rFonts w:ascii="Arial" w:hAnsi="Arial" w:cs="Arial"/>
          <w:sz w:val="24"/>
          <w:szCs w:val="24"/>
        </w:rPr>
        <w:t xml:space="preserve">. At the same </w:t>
      </w:r>
      <w:proofErr w:type="spellStart"/>
      <w:r w:rsidRPr="00D0252A">
        <w:rPr>
          <w:rFonts w:ascii="Arial" w:hAnsi="Arial" w:cs="Arial"/>
          <w:sz w:val="24"/>
          <w:szCs w:val="24"/>
        </w:rPr>
        <w:t>time</w:t>
      </w:r>
      <w:proofErr w:type="spellEnd"/>
      <w:r w:rsidRPr="00D0252A">
        <w:rPr>
          <w:rFonts w:ascii="Arial" w:hAnsi="Arial" w:cs="Arial"/>
          <w:sz w:val="24"/>
          <w:szCs w:val="24"/>
        </w:rPr>
        <w:t xml:space="preserve">, the </w:t>
      </w:r>
      <w:proofErr w:type="spellStart"/>
      <w:r w:rsidRPr="00D0252A">
        <w:rPr>
          <w:rFonts w:ascii="Arial" w:hAnsi="Arial" w:cs="Arial"/>
          <w:sz w:val="24"/>
          <w:szCs w:val="24"/>
        </w:rPr>
        <w:t>proportion</w:t>
      </w:r>
      <w:proofErr w:type="spellEnd"/>
      <w:r w:rsidRPr="00D0252A">
        <w:rPr>
          <w:rFonts w:ascii="Arial" w:hAnsi="Arial" w:cs="Arial"/>
          <w:sz w:val="24"/>
          <w:szCs w:val="24"/>
        </w:rPr>
        <w:t xml:space="preserve"> of </w:t>
      </w:r>
      <w:proofErr w:type="spellStart"/>
      <w:r w:rsidRPr="00D0252A">
        <w:rPr>
          <w:rFonts w:ascii="Arial" w:hAnsi="Arial" w:cs="Arial"/>
          <w:sz w:val="24"/>
          <w:szCs w:val="24"/>
        </w:rPr>
        <w:t>respondents</w:t>
      </w:r>
      <w:proofErr w:type="spellEnd"/>
      <w:r w:rsidRPr="00D0252A">
        <w:rPr>
          <w:rFonts w:ascii="Arial" w:hAnsi="Arial" w:cs="Arial"/>
          <w:sz w:val="24"/>
          <w:szCs w:val="24"/>
        </w:rPr>
        <w:t xml:space="preserve"> </w:t>
      </w:r>
      <w:proofErr w:type="spellStart"/>
      <w:r w:rsidRPr="00D0252A">
        <w:rPr>
          <w:rFonts w:ascii="Arial" w:hAnsi="Arial" w:cs="Arial"/>
          <w:sz w:val="24"/>
          <w:szCs w:val="24"/>
        </w:rPr>
        <w:t>declaring</w:t>
      </w:r>
      <w:proofErr w:type="spellEnd"/>
      <w:r w:rsidRPr="00D0252A">
        <w:rPr>
          <w:rFonts w:ascii="Arial" w:hAnsi="Arial" w:cs="Arial"/>
          <w:sz w:val="24"/>
          <w:szCs w:val="24"/>
        </w:rPr>
        <w:t xml:space="preserve"> a </w:t>
      </w:r>
      <w:proofErr w:type="spellStart"/>
      <w:r w:rsidRPr="00D0252A">
        <w:rPr>
          <w:rFonts w:ascii="Arial" w:hAnsi="Arial" w:cs="Arial"/>
          <w:sz w:val="24"/>
          <w:szCs w:val="24"/>
        </w:rPr>
        <w:t>very</w:t>
      </w:r>
      <w:proofErr w:type="spellEnd"/>
      <w:r w:rsidRPr="00D0252A">
        <w:rPr>
          <w:rFonts w:ascii="Arial" w:hAnsi="Arial" w:cs="Arial"/>
          <w:sz w:val="24"/>
          <w:szCs w:val="24"/>
        </w:rPr>
        <w:t xml:space="preserve"> </w:t>
      </w:r>
      <w:proofErr w:type="spellStart"/>
      <w:r w:rsidRPr="00D0252A">
        <w:rPr>
          <w:rFonts w:ascii="Arial" w:hAnsi="Arial" w:cs="Arial"/>
          <w:sz w:val="24"/>
          <w:szCs w:val="24"/>
        </w:rPr>
        <w:t>low</w:t>
      </w:r>
      <w:proofErr w:type="spellEnd"/>
      <w:r w:rsidRPr="00D0252A">
        <w:rPr>
          <w:rFonts w:ascii="Arial" w:hAnsi="Arial" w:cs="Arial"/>
          <w:sz w:val="24"/>
          <w:szCs w:val="24"/>
        </w:rPr>
        <w:t xml:space="preserve"> </w:t>
      </w:r>
      <w:proofErr w:type="spellStart"/>
      <w:r w:rsidRPr="00D0252A">
        <w:rPr>
          <w:rFonts w:ascii="Arial" w:hAnsi="Arial" w:cs="Arial"/>
          <w:sz w:val="24"/>
          <w:szCs w:val="24"/>
        </w:rPr>
        <w:t>level</w:t>
      </w:r>
      <w:proofErr w:type="spellEnd"/>
      <w:r w:rsidRPr="00D0252A">
        <w:rPr>
          <w:rFonts w:ascii="Arial" w:hAnsi="Arial" w:cs="Arial"/>
          <w:sz w:val="24"/>
          <w:szCs w:val="24"/>
        </w:rPr>
        <w:t xml:space="preserve"> of </w:t>
      </w:r>
      <w:proofErr w:type="spellStart"/>
      <w:r w:rsidRPr="00D0252A">
        <w:rPr>
          <w:rFonts w:ascii="Arial" w:hAnsi="Arial" w:cs="Arial"/>
          <w:sz w:val="24"/>
          <w:szCs w:val="24"/>
        </w:rPr>
        <w:t>knowledge</w:t>
      </w:r>
      <w:proofErr w:type="spellEnd"/>
      <w:r w:rsidRPr="00D0252A">
        <w:rPr>
          <w:rFonts w:ascii="Arial" w:hAnsi="Arial" w:cs="Arial"/>
          <w:sz w:val="24"/>
          <w:szCs w:val="24"/>
        </w:rPr>
        <w:t xml:space="preserve"> </w:t>
      </w:r>
      <w:proofErr w:type="spellStart"/>
      <w:r w:rsidRPr="00D0252A">
        <w:rPr>
          <w:rFonts w:ascii="Arial" w:hAnsi="Arial" w:cs="Arial"/>
          <w:sz w:val="24"/>
          <w:szCs w:val="24"/>
        </w:rPr>
        <w:t>or</w:t>
      </w:r>
      <w:proofErr w:type="spellEnd"/>
      <w:r w:rsidRPr="00D0252A">
        <w:rPr>
          <w:rFonts w:ascii="Arial" w:hAnsi="Arial" w:cs="Arial"/>
          <w:sz w:val="24"/>
          <w:szCs w:val="24"/>
        </w:rPr>
        <w:t xml:space="preserve"> </w:t>
      </w:r>
      <w:proofErr w:type="spellStart"/>
      <w:r w:rsidRPr="00D0252A">
        <w:rPr>
          <w:rFonts w:ascii="Arial" w:hAnsi="Arial" w:cs="Arial"/>
          <w:sz w:val="24"/>
          <w:szCs w:val="24"/>
        </w:rPr>
        <w:t>expressing</w:t>
      </w:r>
      <w:proofErr w:type="spellEnd"/>
      <w:r w:rsidRPr="00D0252A">
        <w:rPr>
          <w:rFonts w:ascii="Arial" w:hAnsi="Arial" w:cs="Arial"/>
          <w:sz w:val="24"/>
          <w:szCs w:val="24"/>
        </w:rPr>
        <w:t xml:space="preserve"> no </w:t>
      </w:r>
      <w:proofErr w:type="spellStart"/>
      <w:r w:rsidRPr="00D0252A">
        <w:rPr>
          <w:rFonts w:ascii="Arial" w:hAnsi="Arial" w:cs="Arial"/>
          <w:sz w:val="24"/>
          <w:szCs w:val="24"/>
        </w:rPr>
        <w:t>opinion</w:t>
      </w:r>
      <w:proofErr w:type="spellEnd"/>
      <w:r w:rsidRPr="00D0252A">
        <w:rPr>
          <w:rFonts w:ascii="Arial" w:hAnsi="Arial" w:cs="Arial"/>
          <w:sz w:val="24"/>
          <w:szCs w:val="24"/>
        </w:rPr>
        <w:t xml:space="preserve"> </w:t>
      </w:r>
      <w:proofErr w:type="spellStart"/>
      <w:r w:rsidRPr="00D0252A">
        <w:rPr>
          <w:rFonts w:ascii="Arial" w:hAnsi="Arial" w:cs="Arial"/>
          <w:sz w:val="24"/>
          <w:szCs w:val="24"/>
        </w:rPr>
        <w:t>remains</w:t>
      </w:r>
      <w:proofErr w:type="spellEnd"/>
      <w:r w:rsidRPr="00D0252A">
        <w:rPr>
          <w:rFonts w:ascii="Arial" w:hAnsi="Arial" w:cs="Arial"/>
          <w:sz w:val="24"/>
          <w:szCs w:val="24"/>
        </w:rPr>
        <w:t xml:space="preserve"> </w:t>
      </w:r>
      <w:proofErr w:type="spellStart"/>
      <w:r w:rsidRPr="00D0252A">
        <w:rPr>
          <w:rFonts w:ascii="Arial" w:hAnsi="Arial" w:cs="Arial"/>
          <w:sz w:val="24"/>
          <w:szCs w:val="24"/>
        </w:rPr>
        <w:t>relatively</w:t>
      </w:r>
      <w:proofErr w:type="spellEnd"/>
      <w:r w:rsidRPr="00D0252A">
        <w:rPr>
          <w:rFonts w:ascii="Arial" w:hAnsi="Arial" w:cs="Arial"/>
          <w:sz w:val="24"/>
          <w:szCs w:val="24"/>
        </w:rPr>
        <w:t xml:space="preserve"> small, </w:t>
      </w:r>
      <w:proofErr w:type="spellStart"/>
      <w:r w:rsidRPr="00D0252A">
        <w:rPr>
          <w:rFonts w:ascii="Arial" w:hAnsi="Arial" w:cs="Arial"/>
          <w:sz w:val="24"/>
          <w:szCs w:val="24"/>
        </w:rPr>
        <w:t>suggesting</w:t>
      </w:r>
      <w:proofErr w:type="spellEnd"/>
      <w:r w:rsidRPr="00D0252A">
        <w:rPr>
          <w:rFonts w:ascii="Arial" w:hAnsi="Arial" w:cs="Arial"/>
          <w:sz w:val="24"/>
          <w:szCs w:val="24"/>
        </w:rPr>
        <w:t xml:space="preserve"> </w:t>
      </w:r>
      <w:proofErr w:type="spellStart"/>
      <w:r w:rsidRPr="00D0252A">
        <w:rPr>
          <w:rFonts w:ascii="Arial" w:hAnsi="Arial" w:cs="Arial"/>
          <w:sz w:val="24"/>
          <w:szCs w:val="24"/>
        </w:rPr>
        <w:t>that</w:t>
      </w:r>
      <w:proofErr w:type="spellEnd"/>
      <w:r w:rsidRPr="00D0252A">
        <w:rPr>
          <w:rFonts w:ascii="Arial" w:hAnsi="Arial" w:cs="Arial"/>
          <w:sz w:val="24"/>
          <w:szCs w:val="24"/>
        </w:rPr>
        <w:t xml:space="preserve"> the </w:t>
      </w:r>
      <w:proofErr w:type="spellStart"/>
      <w:r w:rsidRPr="00D0252A">
        <w:rPr>
          <w:rFonts w:ascii="Arial" w:hAnsi="Arial" w:cs="Arial"/>
          <w:sz w:val="24"/>
          <w:szCs w:val="24"/>
        </w:rPr>
        <w:t>scope</w:t>
      </w:r>
      <w:proofErr w:type="spellEnd"/>
      <w:r w:rsidRPr="00D0252A">
        <w:rPr>
          <w:rFonts w:ascii="Arial" w:hAnsi="Arial" w:cs="Arial"/>
          <w:sz w:val="24"/>
          <w:szCs w:val="24"/>
        </w:rPr>
        <w:t xml:space="preserve"> of </w:t>
      </w:r>
      <w:proofErr w:type="spellStart"/>
      <w:r w:rsidRPr="00D0252A">
        <w:rPr>
          <w:rFonts w:ascii="Arial" w:hAnsi="Arial" w:cs="Arial"/>
          <w:sz w:val="24"/>
          <w:szCs w:val="24"/>
        </w:rPr>
        <w:t>complete</w:t>
      </w:r>
      <w:proofErr w:type="spellEnd"/>
      <w:r w:rsidRPr="00D0252A">
        <w:rPr>
          <w:rFonts w:ascii="Arial" w:hAnsi="Arial" w:cs="Arial"/>
          <w:sz w:val="24"/>
          <w:szCs w:val="24"/>
        </w:rPr>
        <w:t xml:space="preserve"> </w:t>
      </w:r>
      <w:proofErr w:type="spellStart"/>
      <w:r w:rsidRPr="00D0252A">
        <w:rPr>
          <w:rFonts w:ascii="Arial" w:hAnsi="Arial" w:cs="Arial"/>
          <w:sz w:val="24"/>
          <w:szCs w:val="24"/>
        </w:rPr>
        <w:t>unfamiliarity</w:t>
      </w:r>
      <w:proofErr w:type="spellEnd"/>
      <w:r w:rsidRPr="00D0252A">
        <w:rPr>
          <w:rFonts w:ascii="Arial" w:hAnsi="Arial" w:cs="Arial"/>
          <w:sz w:val="24"/>
          <w:szCs w:val="24"/>
        </w:rPr>
        <w:t xml:space="preserve"> with </w:t>
      </w:r>
      <w:proofErr w:type="spellStart"/>
      <w:r w:rsidRPr="00D0252A">
        <w:rPr>
          <w:rFonts w:ascii="Arial" w:hAnsi="Arial" w:cs="Arial"/>
          <w:sz w:val="24"/>
          <w:szCs w:val="24"/>
        </w:rPr>
        <w:t>this</w:t>
      </w:r>
      <w:proofErr w:type="spellEnd"/>
      <w:r w:rsidRPr="00D0252A">
        <w:rPr>
          <w:rFonts w:ascii="Arial" w:hAnsi="Arial" w:cs="Arial"/>
          <w:sz w:val="24"/>
          <w:szCs w:val="24"/>
        </w:rPr>
        <w:t xml:space="preserve"> </w:t>
      </w:r>
      <w:proofErr w:type="spellStart"/>
      <w:r w:rsidRPr="00D0252A">
        <w:rPr>
          <w:rFonts w:ascii="Arial" w:hAnsi="Arial" w:cs="Arial"/>
          <w:sz w:val="24"/>
          <w:szCs w:val="24"/>
        </w:rPr>
        <w:t>topic</w:t>
      </w:r>
      <w:proofErr w:type="spellEnd"/>
      <w:r w:rsidRPr="00D0252A">
        <w:rPr>
          <w:rFonts w:ascii="Arial" w:hAnsi="Arial" w:cs="Arial"/>
          <w:sz w:val="24"/>
          <w:szCs w:val="24"/>
        </w:rPr>
        <w:t xml:space="preserve"> </w:t>
      </w:r>
      <w:proofErr w:type="spellStart"/>
      <w:r w:rsidRPr="00D0252A">
        <w:rPr>
          <w:rFonts w:ascii="Arial" w:hAnsi="Arial" w:cs="Arial"/>
          <w:sz w:val="24"/>
          <w:szCs w:val="24"/>
        </w:rPr>
        <w:t>is</w:t>
      </w:r>
      <w:proofErr w:type="spellEnd"/>
      <w:r w:rsidRPr="00D0252A">
        <w:rPr>
          <w:rFonts w:ascii="Arial" w:hAnsi="Arial" w:cs="Arial"/>
          <w:sz w:val="24"/>
          <w:szCs w:val="24"/>
        </w:rPr>
        <w:t xml:space="preserve"> </w:t>
      </w:r>
      <w:proofErr w:type="spellStart"/>
      <w:r w:rsidRPr="00D0252A">
        <w:rPr>
          <w:rFonts w:ascii="Arial" w:hAnsi="Arial" w:cs="Arial"/>
          <w:sz w:val="24"/>
          <w:szCs w:val="24"/>
        </w:rPr>
        <w:t>limited</w:t>
      </w:r>
      <w:proofErr w:type="spellEnd"/>
      <w:r w:rsidRPr="00D0252A">
        <w:rPr>
          <w:rFonts w:ascii="Arial" w:hAnsi="Arial" w:cs="Arial"/>
          <w:sz w:val="24"/>
          <w:szCs w:val="24"/>
        </w:rPr>
        <w:t>.</w:t>
      </w:r>
    </w:p>
    <w:p w14:paraId="25C4DD55" w14:textId="77777777" w:rsidR="00D64FC6" w:rsidRPr="000A5F53" w:rsidRDefault="00D64FC6" w:rsidP="00D64FC6">
      <w:pPr>
        <w:spacing w:before="240" w:line="360" w:lineRule="auto"/>
        <w:rPr>
          <w:rFonts w:ascii="Arial" w:hAnsi="Arial" w:cs="Arial"/>
          <w:sz w:val="24"/>
          <w:szCs w:val="24"/>
        </w:rPr>
      </w:pPr>
      <w:r w:rsidRPr="000A5F53">
        <w:rPr>
          <w:rFonts w:ascii="Arial" w:hAnsi="Arial" w:cs="Arial"/>
          <w:sz w:val="24"/>
          <w:szCs w:val="24"/>
        </w:rPr>
        <w:t xml:space="preserve">Knowledge </w:t>
      </w:r>
      <w:proofErr w:type="spellStart"/>
      <w:r w:rsidRPr="000A5F53">
        <w:rPr>
          <w:rFonts w:ascii="Arial" w:hAnsi="Arial" w:cs="Arial"/>
          <w:sz w:val="24"/>
          <w:szCs w:val="24"/>
        </w:rPr>
        <w:t>regarding</w:t>
      </w:r>
      <w:proofErr w:type="spellEnd"/>
      <w:r w:rsidRPr="000A5F53">
        <w:rPr>
          <w:rFonts w:ascii="Arial" w:hAnsi="Arial" w:cs="Arial"/>
          <w:sz w:val="24"/>
          <w:szCs w:val="24"/>
        </w:rPr>
        <w:t xml:space="preserve"> </w:t>
      </w:r>
      <w:proofErr w:type="spellStart"/>
      <w:r w:rsidRPr="000A5F53">
        <w:rPr>
          <w:rFonts w:ascii="Arial" w:hAnsi="Arial" w:cs="Arial"/>
          <w:sz w:val="24"/>
          <w:szCs w:val="24"/>
        </w:rPr>
        <w:t>which</w:t>
      </w:r>
      <w:proofErr w:type="spellEnd"/>
      <w:r w:rsidRPr="000A5F53">
        <w:rPr>
          <w:rFonts w:ascii="Arial" w:hAnsi="Arial" w:cs="Arial"/>
          <w:sz w:val="24"/>
          <w:szCs w:val="24"/>
        </w:rPr>
        <w:t xml:space="preserve"> </w:t>
      </w:r>
      <w:proofErr w:type="spellStart"/>
      <w:r w:rsidRPr="000A5F53">
        <w:rPr>
          <w:rFonts w:ascii="Arial" w:hAnsi="Arial" w:cs="Arial"/>
          <w:sz w:val="24"/>
          <w:szCs w:val="24"/>
        </w:rPr>
        <w:t>entities</w:t>
      </w:r>
      <w:proofErr w:type="spellEnd"/>
      <w:r w:rsidRPr="000A5F53">
        <w:rPr>
          <w:rFonts w:ascii="Arial" w:hAnsi="Arial" w:cs="Arial"/>
          <w:sz w:val="24"/>
          <w:szCs w:val="24"/>
        </w:rPr>
        <w:t xml:space="preserve"> </w:t>
      </w:r>
      <w:proofErr w:type="spellStart"/>
      <w:r w:rsidRPr="000A5F53">
        <w:rPr>
          <w:rFonts w:ascii="Arial" w:hAnsi="Arial" w:cs="Arial"/>
          <w:sz w:val="24"/>
          <w:szCs w:val="24"/>
        </w:rPr>
        <w:t>are</w:t>
      </w:r>
      <w:proofErr w:type="spellEnd"/>
      <w:r w:rsidRPr="000A5F53">
        <w:rPr>
          <w:rFonts w:ascii="Arial" w:hAnsi="Arial" w:cs="Arial"/>
          <w:sz w:val="24"/>
          <w:szCs w:val="24"/>
        </w:rPr>
        <w:t xml:space="preserve"> </w:t>
      </w:r>
      <w:proofErr w:type="spellStart"/>
      <w:r w:rsidRPr="000A5F53">
        <w:rPr>
          <w:rFonts w:ascii="Arial" w:hAnsi="Arial" w:cs="Arial"/>
          <w:sz w:val="24"/>
          <w:szCs w:val="24"/>
        </w:rPr>
        <w:t>eligible</w:t>
      </w:r>
      <w:proofErr w:type="spellEnd"/>
      <w:r w:rsidRPr="000A5F53">
        <w:rPr>
          <w:rFonts w:ascii="Arial" w:hAnsi="Arial" w:cs="Arial"/>
          <w:sz w:val="24"/>
          <w:szCs w:val="24"/>
        </w:rPr>
        <w:t xml:space="preserve"> to </w:t>
      </w:r>
      <w:proofErr w:type="spellStart"/>
      <w:r w:rsidRPr="000A5F53">
        <w:rPr>
          <w:rFonts w:ascii="Arial" w:hAnsi="Arial" w:cs="Arial"/>
          <w:sz w:val="24"/>
          <w:szCs w:val="24"/>
        </w:rPr>
        <w:t>apply</w:t>
      </w:r>
      <w:proofErr w:type="spellEnd"/>
      <w:r w:rsidRPr="000A5F53">
        <w:rPr>
          <w:rFonts w:ascii="Arial" w:hAnsi="Arial" w:cs="Arial"/>
          <w:sz w:val="24"/>
          <w:szCs w:val="24"/>
        </w:rPr>
        <w:t xml:space="preserve"> for </w:t>
      </w:r>
      <w:proofErr w:type="spellStart"/>
      <w:r w:rsidRPr="000A5F53">
        <w:rPr>
          <w:rFonts w:ascii="Arial" w:hAnsi="Arial" w:cs="Arial"/>
          <w:sz w:val="24"/>
          <w:szCs w:val="24"/>
        </w:rPr>
        <w:t>European</w:t>
      </w:r>
      <w:proofErr w:type="spellEnd"/>
      <w:r w:rsidRPr="000A5F53">
        <w:rPr>
          <w:rFonts w:ascii="Arial" w:hAnsi="Arial" w:cs="Arial"/>
          <w:sz w:val="24"/>
          <w:szCs w:val="24"/>
        </w:rPr>
        <w:t xml:space="preserve"> </w:t>
      </w:r>
      <w:proofErr w:type="spellStart"/>
      <w:r w:rsidRPr="000A5F53">
        <w:rPr>
          <w:rFonts w:ascii="Arial" w:hAnsi="Arial" w:cs="Arial"/>
          <w:sz w:val="24"/>
          <w:szCs w:val="24"/>
        </w:rPr>
        <w:t>Funds</w:t>
      </w:r>
      <w:proofErr w:type="spellEnd"/>
      <w:r w:rsidRPr="000A5F53">
        <w:rPr>
          <w:rFonts w:ascii="Arial" w:hAnsi="Arial" w:cs="Arial"/>
          <w:sz w:val="24"/>
          <w:szCs w:val="24"/>
        </w:rPr>
        <w:t xml:space="preserve"> </w:t>
      </w:r>
      <w:proofErr w:type="spellStart"/>
      <w:r w:rsidRPr="000A5F53">
        <w:rPr>
          <w:rFonts w:ascii="Arial" w:hAnsi="Arial" w:cs="Arial"/>
          <w:sz w:val="24"/>
          <w:szCs w:val="24"/>
        </w:rPr>
        <w:t>continues</w:t>
      </w:r>
      <w:proofErr w:type="spellEnd"/>
      <w:r w:rsidRPr="000A5F53">
        <w:rPr>
          <w:rFonts w:ascii="Arial" w:hAnsi="Arial" w:cs="Arial"/>
          <w:sz w:val="24"/>
          <w:szCs w:val="24"/>
        </w:rPr>
        <w:t xml:space="preserve"> to </w:t>
      </w:r>
      <w:proofErr w:type="spellStart"/>
      <w:r w:rsidRPr="000A5F53">
        <w:rPr>
          <w:rFonts w:ascii="Arial" w:hAnsi="Arial" w:cs="Arial"/>
          <w:sz w:val="24"/>
          <w:szCs w:val="24"/>
        </w:rPr>
        <w:t>increase</w:t>
      </w:r>
      <w:proofErr w:type="spellEnd"/>
      <w:r w:rsidRPr="000A5F53">
        <w:rPr>
          <w:rFonts w:ascii="Arial" w:hAnsi="Arial" w:cs="Arial"/>
          <w:sz w:val="24"/>
          <w:szCs w:val="24"/>
        </w:rPr>
        <w:t xml:space="preserve">. In 2025, a </w:t>
      </w:r>
      <w:proofErr w:type="spellStart"/>
      <w:r w:rsidRPr="000A5F53">
        <w:rPr>
          <w:rFonts w:ascii="Arial" w:hAnsi="Arial" w:cs="Arial"/>
          <w:sz w:val="24"/>
          <w:szCs w:val="24"/>
        </w:rPr>
        <w:t>rise</w:t>
      </w:r>
      <w:proofErr w:type="spellEnd"/>
      <w:r w:rsidRPr="000A5F53">
        <w:rPr>
          <w:rFonts w:ascii="Arial" w:hAnsi="Arial" w:cs="Arial"/>
          <w:sz w:val="24"/>
          <w:szCs w:val="24"/>
        </w:rPr>
        <w:t xml:space="preserve"> </w:t>
      </w:r>
      <w:proofErr w:type="spellStart"/>
      <w:r w:rsidRPr="000A5F53">
        <w:rPr>
          <w:rFonts w:ascii="Arial" w:hAnsi="Arial" w:cs="Arial"/>
          <w:sz w:val="24"/>
          <w:szCs w:val="24"/>
        </w:rPr>
        <w:t>is</w:t>
      </w:r>
      <w:proofErr w:type="spellEnd"/>
      <w:r w:rsidRPr="000A5F53">
        <w:rPr>
          <w:rFonts w:ascii="Arial" w:hAnsi="Arial" w:cs="Arial"/>
          <w:sz w:val="24"/>
          <w:szCs w:val="24"/>
        </w:rPr>
        <w:t xml:space="preserve"> </w:t>
      </w:r>
      <w:proofErr w:type="spellStart"/>
      <w:r w:rsidRPr="000A5F53">
        <w:rPr>
          <w:rFonts w:ascii="Arial" w:hAnsi="Arial" w:cs="Arial"/>
          <w:sz w:val="24"/>
          <w:szCs w:val="24"/>
        </w:rPr>
        <w:t>observed</w:t>
      </w:r>
      <w:proofErr w:type="spellEnd"/>
      <w:r w:rsidRPr="000A5F53">
        <w:rPr>
          <w:rFonts w:ascii="Arial" w:hAnsi="Arial" w:cs="Arial"/>
          <w:sz w:val="24"/>
          <w:szCs w:val="24"/>
        </w:rPr>
        <w:t xml:space="preserve"> in the </w:t>
      </w:r>
      <w:proofErr w:type="spellStart"/>
      <w:r w:rsidRPr="000A5F53">
        <w:rPr>
          <w:rFonts w:ascii="Arial" w:hAnsi="Arial" w:cs="Arial"/>
          <w:sz w:val="24"/>
          <w:szCs w:val="24"/>
        </w:rPr>
        <w:t>share</w:t>
      </w:r>
      <w:proofErr w:type="spellEnd"/>
      <w:r w:rsidRPr="000A5F53">
        <w:rPr>
          <w:rFonts w:ascii="Arial" w:hAnsi="Arial" w:cs="Arial"/>
          <w:sz w:val="24"/>
          <w:szCs w:val="24"/>
        </w:rPr>
        <w:t xml:space="preserve"> of </w:t>
      </w:r>
      <w:proofErr w:type="spellStart"/>
      <w:r w:rsidRPr="000A5F53">
        <w:rPr>
          <w:rFonts w:ascii="Arial" w:hAnsi="Arial" w:cs="Arial"/>
          <w:sz w:val="24"/>
          <w:szCs w:val="24"/>
        </w:rPr>
        <w:t>respondents</w:t>
      </w:r>
      <w:proofErr w:type="spellEnd"/>
      <w:r w:rsidRPr="000A5F53">
        <w:rPr>
          <w:rFonts w:ascii="Arial" w:hAnsi="Arial" w:cs="Arial"/>
          <w:sz w:val="24"/>
          <w:szCs w:val="24"/>
        </w:rPr>
        <w:t xml:space="preserve"> </w:t>
      </w:r>
      <w:proofErr w:type="spellStart"/>
      <w:r w:rsidRPr="000A5F53">
        <w:rPr>
          <w:rFonts w:ascii="Arial" w:hAnsi="Arial" w:cs="Arial"/>
          <w:sz w:val="24"/>
          <w:szCs w:val="24"/>
        </w:rPr>
        <w:t>who</w:t>
      </w:r>
      <w:proofErr w:type="spellEnd"/>
      <w:r w:rsidRPr="000A5F53">
        <w:rPr>
          <w:rFonts w:ascii="Arial" w:hAnsi="Arial" w:cs="Arial"/>
          <w:sz w:val="24"/>
          <w:szCs w:val="24"/>
        </w:rPr>
        <w:t xml:space="preserve"> </w:t>
      </w:r>
      <w:proofErr w:type="spellStart"/>
      <w:r w:rsidRPr="000A5F53">
        <w:rPr>
          <w:rFonts w:ascii="Arial" w:hAnsi="Arial" w:cs="Arial"/>
          <w:sz w:val="24"/>
          <w:szCs w:val="24"/>
        </w:rPr>
        <w:t>believe</w:t>
      </w:r>
      <w:proofErr w:type="spellEnd"/>
      <w:r w:rsidRPr="000A5F53">
        <w:rPr>
          <w:rFonts w:ascii="Arial" w:hAnsi="Arial" w:cs="Arial"/>
          <w:sz w:val="24"/>
          <w:szCs w:val="24"/>
        </w:rPr>
        <w:t xml:space="preserve"> </w:t>
      </w:r>
      <w:proofErr w:type="spellStart"/>
      <w:r w:rsidRPr="000A5F53">
        <w:rPr>
          <w:rFonts w:ascii="Arial" w:hAnsi="Arial" w:cs="Arial"/>
          <w:sz w:val="24"/>
          <w:szCs w:val="24"/>
        </w:rPr>
        <w:t>that</w:t>
      </w:r>
      <w:proofErr w:type="spellEnd"/>
      <w:r w:rsidRPr="000A5F53">
        <w:rPr>
          <w:rFonts w:ascii="Arial" w:hAnsi="Arial" w:cs="Arial"/>
          <w:sz w:val="24"/>
          <w:szCs w:val="24"/>
        </w:rPr>
        <w:t xml:space="preserve"> EU </w:t>
      </w:r>
      <w:proofErr w:type="spellStart"/>
      <w:r w:rsidRPr="000A5F53">
        <w:rPr>
          <w:rFonts w:ascii="Arial" w:hAnsi="Arial" w:cs="Arial"/>
          <w:sz w:val="24"/>
          <w:szCs w:val="24"/>
        </w:rPr>
        <w:t>funding</w:t>
      </w:r>
      <w:proofErr w:type="spellEnd"/>
      <w:r w:rsidRPr="000A5F53">
        <w:rPr>
          <w:rFonts w:ascii="Arial" w:hAnsi="Arial" w:cs="Arial"/>
          <w:sz w:val="24"/>
          <w:szCs w:val="24"/>
        </w:rPr>
        <w:t xml:space="preserve"> </w:t>
      </w:r>
      <w:proofErr w:type="spellStart"/>
      <w:r w:rsidRPr="000A5F53">
        <w:rPr>
          <w:rFonts w:ascii="Arial" w:hAnsi="Arial" w:cs="Arial"/>
          <w:sz w:val="24"/>
          <w:szCs w:val="24"/>
        </w:rPr>
        <w:t>is</w:t>
      </w:r>
      <w:proofErr w:type="spellEnd"/>
      <w:r w:rsidRPr="000A5F53">
        <w:rPr>
          <w:rFonts w:ascii="Arial" w:hAnsi="Arial" w:cs="Arial"/>
          <w:sz w:val="24"/>
          <w:szCs w:val="24"/>
        </w:rPr>
        <w:t xml:space="preserve"> </w:t>
      </w:r>
      <w:proofErr w:type="spellStart"/>
      <w:r w:rsidRPr="000A5F53">
        <w:rPr>
          <w:rFonts w:ascii="Arial" w:hAnsi="Arial" w:cs="Arial"/>
          <w:sz w:val="24"/>
          <w:szCs w:val="24"/>
        </w:rPr>
        <w:t>genuinely</w:t>
      </w:r>
      <w:proofErr w:type="spellEnd"/>
      <w:r w:rsidRPr="000A5F53">
        <w:rPr>
          <w:rFonts w:ascii="Arial" w:hAnsi="Arial" w:cs="Arial"/>
          <w:sz w:val="24"/>
          <w:szCs w:val="24"/>
        </w:rPr>
        <w:t xml:space="preserve"> </w:t>
      </w:r>
      <w:proofErr w:type="spellStart"/>
      <w:r w:rsidRPr="000A5F53">
        <w:rPr>
          <w:rFonts w:ascii="Arial" w:hAnsi="Arial" w:cs="Arial"/>
          <w:sz w:val="24"/>
          <w:szCs w:val="24"/>
        </w:rPr>
        <w:t>accessible</w:t>
      </w:r>
      <w:proofErr w:type="spellEnd"/>
      <w:r w:rsidRPr="000A5F53">
        <w:rPr>
          <w:rFonts w:ascii="Arial" w:hAnsi="Arial" w:cs="Arial"/>
          <w:sz w:val="24"/>
          <w:szCs w:val="24"/>
        </w:rPr>
        <w:t xml:space="preserve"> </w:t>
      </w:r>
      <w:proofErr w:type="spellStart"/>
      <w:r w:rsidRPr="000A5F53">
        <w:rPr>
          <w:rFonts w:ascii="Arial" w:hAnsi="Arial" w:cs="Arial"/>
          <w:sz w:val="24"/>
          <w:szCs w:val="24"/>
        </w:rPr>
        <w:t>both</w:t>
      </w:r>
      <w:proofErr w:type="spellEnd"/>
      <w:r w:rsidRPr="000A5F53">
        <w:rPr>
          <w:rFonts w:ascii="Arial" w:hAnsi="Arial" w:cs="Arial"/>
          <w:sz w:val="24"/>
          <w:szCs w:val="24"/>
        </w:rPr>
        <w:t xml:space="preserve"> to </w:t>
      </w:r>
      <w:proofErr w:type="spellStart"/>
      <w:r w:rsidRPr="000A5F53">
        <w:rPr>
          <w:rFonts w:ascii="Arial" w:hAnsi="Arial" w:cs="Arial"/>
          <w:sz w:val="24"/>
          <w:szCs w:val="24"/>
        </w:rPr>
        <w:t>institutions</w:t>
      </w:r>
      <w:proofErr w:type="spellEnd"/>
      <w:r w:rsidRPr="000A5F53">
        <w:rPr>
          <w:rFonts w:ascii="Arial" w:hAnsi="Arial" w:cs="Arial"/>
          <w:sz w:val="24"/>
          <w:szCs w:val="24"/>
        </w:rPr>
        <w:t xml:space="preserve"> and to </w:t>
      </w:r>
      <w:proofErr w:type="spellStart"/>
      <w:r w:rsidRPr="000A5F53">
        <w:rPr>
          <w:rFonts w:ascii="Arial" w:hAnsi="Arial" w:cs="Arial"/>
          <w:sz w:val="24"/>
          <w:szCs w:val="24"/>
        </w:rPr>
        <w:t>private</w:t>
      </w:r>
      <w:proofErr w:type="spellEnd"/>
      <w:r w:rsidRPr="000A5F53">
        <w:rPr>
          <w:rFonts w:ascii="Arial" w:hAnsi="Arial" w:cs="Arial"/>
          <w:sz w:val="24"/>
          <w:szCs w:val="24"/>
        </w:rPr>
        <w:t xml:space="preserve"> </w:t>
      </w:r>
      <w:proofErr w:type="spellStart"/>
      <w:r w:rsidRPr="000A5F53">
        <w:rPr>
          <w:rFonts w:ascii="Arial" w:hAnsi="Arial" w:cs="Arial"/>
          <w:sz w:val="24"/>
          <w:szCs w:val="24"/>
        </w:rPr>
        <w:t>individuals</w:t>
      </w:r>
      <w:proofErr w:type="spellEnd"/>
      <w:r w:rsidRPr="000A5F53">
        <w:rPr>
          <w:rFonts w:ascii="Arial" w:hAnsi="Arial" w:cs="Arial"/>
          <w:sz w:val="24"/>
          <w:szCs w:val="24"/>
        </w:rPr>
        <w:t xml:space="preserve">. </w:t>
      </w:r>
      <w:proofErr w:type="spellStart"/>
      <w:r w:rsidRPr="000A5F53">
        <w:rPr>
          <w:rFonts w:ascii="Arial" w:hAnsi="Arial" w:cs="Arial"/>
          <w:sz w:val="24"/>
          <w:szCs w:val="24"/>
        </w:rPr>
        <w:t>Alongside</w:t>
      </w:r>
      <w:proofErr w:type="spellEnd"/>
      <w:r w:rsidRPr="000A5F53">
        <w:rPr>
          <w:rFonts w:ascii="Arial" w:hAnsi="Arial" w:cs="Arial"/>
          <w:sz w:val="24"/>
          <w:szCs w:val="24"/>
        </w:rPr>
        <w:t xml:space="preserve"> </w:t>
      </w:r>
      <w:proofErr w:type="spellStart"/>
      <w:r w:rsidRPr="000A5F53">
        <w:rPr>
          <w:rFonts w:ascii="Arial" w:hAnsi="Arial" w:cs="Arial"/>
          <w:sz w:val="24"/>
          <w:szCs w:val="24"/>
        </w:rPr>
        <w:t>this</w:t>
      </w:r>
      <w:proofErr w:type="spellEnd"/>
      <w:r w:rsidRPr="000A5F53">
        <w:rPr>
          <w:rFonts w:ascii="Arial" w:hAnsi="Arial" w:cs="Arial"/>
          <w:sz w:val="24"/>
          <w:szCs w:val="24"/>
        </w:rPr>
        <w:t xml:space="preserve">, </w:t>
      </w:r>
      <w:proofErr w:type="spellStart"/>
      <w:r w:rsidRPr="000A5F53">
        <w:rPr>
          <w:rFonts w:ascii="Arial" w:hAnsi="Arial" w:cs="Arial"/>
          <w:sz w:val="24"/>
          <w:szCs w:val="24"/>
        </w:rPr>
        <w:t>confidence</w:t>
      </w:r>
      <w:proofErr w:type="spellEnd"/>
      <w:r w:rsidRPr="000A5F53">
        <w:rPr>
          <w:rFonts w:ascii="Arial" w:hAnsi="Arial" w:cs="Arial"/>
          <w:sz w:val="24"/>
          <w:szCs w:val="24"/>
        </w:rPr>
        <w:t xml:space="preserve"> in the </w:t>
      </w:r>
      <w:proofErr w:type="spellStart"/>
      <w:r w:rsidRPr="000A5F53">
        <w:rPr>
          <w:rFonts w:ascii="Arial" w:hAnsi="Arial" w:cs="Arial"/>
          <w:sz w:val="24"/>
          <w:szCs w:val="24"/>
        </w:rPr>
        <w:t>possibility</w:t>
      </w:r>
      <w:proofErr w:type="spellEnd"/>
      <w:r w:rsidRPr="000A5F53">
        <w:rPr>
          <w:rFonts w:ascii="Arial" w:hAnsi="Arial" w:cs="Arial"/>
          <w:sz w:val="24"/>
          <w:szCs w:val="24"/>
        </w:rPr>
        <w:t xml:space="preserve"> of </w:t>
      </w:r>
      <w:proofErr w:type="spellStart"/>
      <w:r w:rsidRPr="000A5F53">
        <w:rPr>
          <w:rFonts w:ascii="Arial" w:hAnsi="Arial" w:cs="Arial"/>
          <w:sz w:val="24"/>
          <w:szCs w:val="24"/>
        </w:rPr>
        <w:t>obtaining</w:t>
      </w:r>
      <w:proofErr w:type="spellEnd"/>
      <w:r w:rsidRPr="000A5F53">
        <w:rPr>
          <w:rFonts w:ascii="Arial" w:hAnsi="Arial" w:cs="Arial"/>
          <w:sz w:val="24"/>
          <w:szCs w:val="24"/>
        </w:rPr>
        <w:t xml:space="preserve"> </w:t>
      </w:r>
      <w:proofErr w:type="spellStart"/>
      <w:r w:rsidRPr="000A5F53">
        <w:rPr>
          <w:rFonts w:ascii="Arial" w:hAnsi="Arial" w:cs="Arial"/>
          <w:sz w:val="24"/>
          <w:szCs w:val="24"/>
        </w:rPr>
        <w:t>support</w:t>
      </w:r>
      <w:proofErr w:type="spellEnd"/>
      <w:r w:rsidRPr="000A5F53">
        <w:rPr>
          <w:rFonts w:ascii="Arial" w:hAnsi="Arial" w:cs="Arial"/>
          <w:sz w:val="24"/>
          <w:szCs w:val="24"/>
        </w:rPr>
        <w:t xml:space="preserve"> </w:t>
      </w:r>
      <w:proofErr w:type="spellStart"/>
      <w:r w:rsidRPr="000A5F53">
        <w:rPr>
          <w:rFonts w:ascii="Arial" w:hAnsi="Arial" w:cs="Arial"/>
          <w:sz w:val="24"/>
          <w:szCs w:val="24"/>
        </w:rPr>
        <w:t>has</w:t>
      </w:r>
      <w:proofErr w:type="spellEnd"/>
      <w:r w:rsidRPr="000A5F53">
        <w:rPr>
          <w:rFonts w:ascii="Arial" w:hAnsi="Arial" w:cs="Arial"/>
          <w:sz w:val="24"/>
          <w:szCs w:val="24"/>
        </w:rPr>
        <w:t xml:space="preserve"> </w:t>
      </w:r>
      <w:proofErr w:type="spellStart"/>
      <w:r w:rsidRPr="000A5F53">
        <w:rPr>
          <w:rFonts w:ascii="Arial" w:hAnsi="Arial" w:cs="Arial"/>
          <w:sz w:val="24"/>
          <w:szCs w:val="24"/>
        </w:rPr>
        <w:t>grown</w:t>
      </w:r>
      <w:proofErr w:type="spellEnd"/>
      <w:r w:rsidRPr="000A5F53">
        <w:rPr>
          <w:rFonts w:ascii="Arial" w:hAnsi="Arial" w:cs="Arial"/>
          <w:sz w:val="24"/>
          <w:szCs w:val="24"/>
        </w:rPr>
        <w:t xml:space="preserve">, </w:t>
      </w:r>
      <w:proofErr w:type="spellStart"/>
      <w:r w:rsidRPr="000A5F53">
        <w:rPr>
          <w:rFonts w:ascii="Arial" w:hAnsi="Arial" w:cs="Arial"/>
          <w:sz w:val="24"/>
          <w:szCs w:val="24"/>
        </w:rPr>
        <w:t>while</w:t>
      </w:r>
      <w:proofErr w:type="spellEnd"/>
      <w:r w:rsidRPr="000A5F53">
        <w:rPr>
          <w:rFonts w:ascii="Arial" w:hAnsi="Arial" w:cs="Arial"/>
          <w:sz w:val="24"/>
          <w:szCs w:val="24"/>
        </w:rPr>
        <w:t xml:space="preserve"> the </w:t>
      </w:r>
      <w:proofErr w:type="spellStart"/>
      <w:r w:rsidRPr="000A5F53">
        <w:rPr>
          <w:rFonts w:ascii="Arial" w:hAnsi="Arial" w:cs="Arial"/>
          <w:sz w:val="24"/>
          <w:szCs w:val="24"/>
        </w:rPr>
        <w:t>proportion</w:t>
      </w:r>
      <w:proofErr w:type="spellEnd"/>
      <w:r w:rsidRPr="000A5F53">
        <w:rPr>
          <w:rFonts w:ascii="Arial" w:hAnsi="Arial" w:cs="Arial"/>
          <w:sz w:val="24"/>
          <w:szCs w:val="24"/>
        </w:rPr>
        <w:t xml:space="preserve"> of </w:t>
      </w:r>
      <w:proofErr w:type="spellStart"/>
      <w:r w:rsidRPr="000A5F53">
        <w:rPr>
          <w:rFonts w:ascii="Arial" w:hAnsi="Arial" w:cs="Arial"/>
          <w:sz w:val="24"/>
          <w:szCs w:val="24"/>
        </w:rPr>
        <w:t>negative</w:t>
      </w:r>
      <w:proofErr w:type="spellEnd"/>
      <w:r w:rsidRPr="000A5F53">
        <w:rPr>
          <w:rFonts w:ascii="Arial" w:hAnsi="Arial" w:cs="Arial"/>
          <w:sz w:val="24"/>
          <w:szCs w:val="24"/>
        </w:rPr>
        <w:t xml:space="preserve"> </w:t>
      </w:r>
      <w:proofErr w:type="spellStart"/>
      <w:r w:rsidRPr="000A5F53">
        <w:rPr>
          <w:rFonts w:ascii="Arial" w:hAnsi="Arial" w:cs="Arial"/>
          <w:sz w:val="24"/>
          <w:szCs w:val="24"/>
        </w:rPr>
        <w:t>responses</w:t>
      </w:r>
      <w:proofErr w:type="spellEnd"/>
      <w:r w:rsidRPr="000A5F53">
        <w:rPr>
          <w:rFonts w:ascii="Arial" w:hAnsi="Arial" w:cs="Arial"/>
          <w:sz w:val="24"/>
          <w:szCs w:val="24"/>
        </w:rPr>
        <w:t xml:space="preserve"> in 2025 </w:t>
      </w:r>
      <w:proofErr w:type="spellStart"/>
      <w:r w:rsidRPr="000A5F53">
        <w:rPr>
          <w:rFonts w:ascii="Arial" w:hAnsi="Arial" w:cs="Arial"/>
          <w:sz w:val="24"/>
          <w:szCs w:val="24"/>
        </w:rPr>
        <w:t>reached</w:t>
      </w:r>
      <w:proofErr w:type="spellEnd"/>
      <w:r w:rsidRPr="000A5F53">
        <w:rPr>
          <w:rFonts w:ascii="Arial" w:hAnsi="Arial" w:cs="Arial"/>
          <w:sz w:val="24"/>
          <w:szCs w:val="24"/>
        </w:rPr>
        <w:t xml:space="preserve"> </w:t>
      </w:r>
      <w:proofErr w:type="spellStart"/>
      <w:r w:rsidRPr="000A5F53">
        <w:rPr>
          <w:rFonts w:ascii="Arial" w:hAnsi="Arial" w:cs="Arial"/>
          <w:sz w:val="24"/>
          <w:szCs w:val="24"/>
        </w:rPr>
        <w:t>its</w:t>
      </w:r>
      <w:proofErr w:type="spellEnd"/>
      <w:r w:rsidRPr="000A5F53">
        <w:rPr>
          <w:rFonts w:ascii="Arial" w:hAnsi="Arial" w:cs="Arial"/>
          <w:sz w:val="24"/>
          <w:szCs w:val="24"/>
        </w:rPr>
        <w:t xml:space="preserve"> </w:t>
      </w:r>
      <w:proofErr w:type="spellStart"/>
      <w:r w:rsidRPr="000A5F53">
        <w:rPr>
          <w:rFonts w:ascii="Arial" w:hAnsi="Arial" w:cs="Arial"/>
          <w:sz w:val="24"/>
          <w:szCs w:val="24"/>
        </w:rPr>
        <w:t>lowest</w:t>
      </w:r>
      <w:proofErr w:type="spellEnd"/>
      <w:r w:rsidRPr="000A5F53">
        <w:rPr>
          <w:rFonts w:ascii="Arial" w:hAnsi="Arial" w:cs="Arial"/>
          <w:sz w:val="24"/>
          <w:szCs w:val="24"/>
        </w:rPr>
        <w:t xml:space="preserve"> </w:t>
      </w:r>
      <w:proofErr w:type="spellStart"/>
      <w:r w:rsidRPr="000A5F53">
        <w:rPr>
          <w:rFonts w:ascii="Arial" w:hAnsi="Arial" w:cs="Arial"/>
          <w:sz w:val="24"/>
          <w:szCs w:val="24"/>
        </w:rPr>
        <w:t>level</w:t>
      </w:r>
      <w:proofErr w:type="spellEnd"/>
      <w:r w:rsidRPr="000A5F53">
        <w:rPr>
          <w:rFonts w:ascii="Arial" w:hAnsi="Arial" w:cs="Arial"/>
          <w:sz w:val="24"/>
          <w:szCs w:val="24"/>
        </w:rPr>
        <w:t xml:space="preserve"> </w:t>
      </w:r>
      <w:proofErr w:type="spellStart"/>
      <w:r w:rsidRPr="000A5F53">
        <w:rPr>
          <w:rFonts w:ascii="Arial" w:hAnsi="Arial" w:cs="Arial"/>
          <w:sz w:val="24"/>
          <w:szCs w:val="24"/>
        </w:rPr>
        <w:t>across</w:t>
      </w:r>
      <w:proofErr w:type="spellEnd"/>
      <w:r w:rsidRPr="000A5F53">
        <w:rPr>
          <w:rFonts w:ascii="Arial" w:hAnsi="Arial" w:cs="Arial"/>
          <w:sz w:val="24"/>
          <w:szCs w:val="24"/>
        </w:rPr>
        <w:t xml:space="preserve"> the </w:t>
      </w:r>
      <w:proofErr w:type="spellStart"/>
      <w:r w:rsidRPr="000A5F53">
        <w:rPr>
          <w:rFonts w:ascii="Arial" w:hAnsi="Arial" w:cs="Arial"/>
          <w:sz w:val="24"/>
          <w:szCs w:val="24"/>
        </w:rPr>
        <w:t>entire</w:t>
      </w:r>
      <w:proofErr w:type="spellEnd"/>
      <w:r w:rsidRPr="000A5F53">
        <w:rPr>
          <w:rFonts w:ascii="Arial" w:hAnsi="Arial" w:cs="Arial"/>
          <w:sz w:val="24"/>
          <w:szCs w:val="24"/>
        </w:rPr>
        <w:t xml:space="preserve"> </w:t>
      </w:r>
      <w:proofErr w:type="spellStart"/>
      <w:r w:rsidRPr="000A5F53">
        <w:rPr>
          <w:rFonts w:ascii="Arial" w:hAnsi="Arial" w:cs="Arial"/>
          <w:sz w:val="24"/>
          <w:szCs w:val="24"/>
        </w:rPr>
        <w:t>comparative</w:t>
      </w:r>
      <w:proofErr w:type="spellEnd"/>
      <w:r w:rsidRPr="000A5F53">
        <w:rPr>
          <w:rFonts w:ascii="Arial" w:hAnsi="Arial" w:cs="Arial"/>
          <w:sz w:val="24"/>
          <w:szCs w:val="24"/>
        </w:rPr>
        <w:t xml:space="preserve"> period. </w:t>
      </w:r>
      <w:proofErr w:type="spellStart"/>
      <w:r w:rsidRPr="000A5F53">
        <w:rPr>
          <w:rFonts w:ascii="Arial" w:hAnsi="Arial" w:cs="Arial"/>
          <w:sz w:val="24"/>
          <w:szCs w:val="24"/>
        </w:rPr>
        <w:t>Respondents</w:t>
      </w:r>
      <w:proofErr w:type="spellEnd"/>
      <w:r w:rsidRPr="000A5F53">
        <w:rPr>
          <w:rFonts w:ascii="Arial" w:hAnsi="Arial" w:cs="Arial"/>
          <w:sz w:val="24"/>
          <w:szCs w:val="24"/>
        </w:rPr>
        <w:t xml:space="preserve"> </w:t>
      </w:r>
      <w:proofErr w:type="spellStart"/>
      <w:r w:rsidRPr="000A5F53">
        <w:rPr>
          <w:rFonts w:ascii="Arial" w:hAnsi="Arial" w:cs="Arial"/>
          <w:sz w:val="24"/>
          <w:szCs w:val="24"/>
        </w:rPr>
        <w:t>also</w:t>
      </w:r>
      <w:proofErr w:type="spellEnd"/>
      <w:r w:rsidRPr="000A5F53">
        <w:rPr>
          <w:rFonts w:ascii="Arial" w:hAnsi="Arial" w:cs="Arial"/>
          <w:sz w:val="24"/>
          <w:szCs w:val="24"/>
        </w:rPr>
        <w:t xml:space="preserve"> </w:t>
      </w:r>
      <w:proofErr w:type="spellStart"/>
      <w:r w:rsidRPr="000A5F53">
        <w:rPr>
          <w:rFonts w:ascii="Arial" w:hAnsi="Arial" w:cs="Arial"/>
          <w:sz w:val="24"/>
          <w:szCs w:val="24"/>
        </w:rPr>
        <w:t>indicate</w:t>
      </w:r>
      <w:proofErr w:type="spellEnd"/>
      <w:r w:rsidRPr="000A5F53">
        <w:rPr>
          <w:rFonts w:ascii="Arial" w:hAnsi="Arial" w:cs="Arial"/>
          <w:sz w:val="24"/>
          <w:szCs w:val="24"/>
        </w:rPr>
        <w:t xml:space="preserve"> a </w:t>
      </w:r>
      <w:proofErr w:type="spellStart"/>
      <w:r w:rsidRPr="000A5F53">
        <w:rPr>
          <w:rFonts w:ascii="Arial" w:hAnsi="Arial" w:cs="Arial"/>
          <w:sz w:val="24"/>
          <w:szCs w:val="24"/>
        </w:rPr>
        <w:t>wide</w:t>
      </w:r>
      <w:proofErr w:type="spellEnd"/>
      <w:r w:rsidRPr="000A5F53">
        <w:rPr>
          <w:rFonts w:ascii="Arial" w:hAnsi="Arial" w:cs="Arial"/>
          <w:sz w:val="24"/>
          <w:szCs w:val="24"/>
        </w:rPr>
        <w:t xml:space="preserve"> </w:t>
      </w:r>
      <w:proofErr w:type="spellStart"/>
      <w:r w:rsidRPr="000A5F53">
        <w:rPr>
          <w:rFonts w:ascii="Arial" w:hAnsi="Arial" w:cs="Arial"/>
          <w:sz w:val="24"/>
          <w:szCs w:val="24"/>
        </w:rPr>
        <w:t>range</w:t>
      </w:r>
      <w:proofErr w:type="spellEnd"/>
      <w:r w:rsidRPr="000A5F53">
        <w:rPr>
          <w:rFonts w:ascii="Arial" w:hAnsi="Arial" w:cs="Arial"/>
          <w:sz w:val="24"/>
          <w:szCs w:val="24"/>
        </w:rPr>
        <w:t xml:space="preserve"> of </w:t>
      </w:r>
      <w:proofErr w:type="spellStart"/>
      <w:r w:rsidRPr="000A5F53">
        <w:rPr>
          <w:rFonts w:ascii="Arial" w:hAnsi="Arial" w:cs="Arial"/>
          <w:sz w:val="24"/>
          <w:szCs w:val="24"/>
        </w:rPr>
        <w:t>potential</w:t>
      </w:r>
      <w:proofErr w:type="spellEnd"/>
      <w:r w:rsidRPr="000A5F53">
        <w:rPr>
          <w:rFonts w:ascii="Arial" w:hAnsi="Arial" w:cs="Arial"/>
          <w:sz w:val="24"/>
          <w:szCs w:val="24"/>
        </w:rPr>
        <w:t xml:space="preserve"> </w:t>
      </w:r>
      <w:proofErr w:type="spellStart"/>
      <w:r w:rsidRPr="000A5F53">
        <w:rPr>
          <w:rFonts w:ascii="Arial" w:hAnsi="Arial" w:cs="Arial"/>
          <w:sz w:val="24"/>
          <w:szCs w:val="24"/>
        </w:rPr>
        <w:t>purposes</w:t>
      </w:r>
      <w:proofErr w:type="spellEnd"/>
      <w:r w:rsidRPr="000A5F53">
        <w:rPr>
          <w:rFonts w:ascii="Arial" w:hAnsi="Arial" w:cs="Arial"/>
          <w:sz w:val="24"/>
          <w:szCs w:val="24"/>
        </w:rPr>
        <w:t xml:space="preserve"> for </w:t>
      </w:r>
      <w:proofErr w:type="spellStart"/>
      <w:r w:rsidRPr="000A5F53">
        <w:rPr>
          <w:rFonts w:ascii="Arial" w:hAnsi="Arial" w:cs="Arial"/>
          <w:sz w:val="24"/>
          <w:szCs w:val="24"/>
        </w:rPr>
        <w:t>which</w:t>
      </w:r>
      <w:proofErr w:type="spellEnd"/>
      <w:r w:rsidRPr="000A5F53">
        <w:rPr>
          <w:rFonts w:ascii="Arial" w:hAnsi="Arial" w:cs="Arial"/>
          <w:sz w:val="24"/>
          <w:szCs w:val="24"/>
        </w:rPr>
        <w:t xml:space="preserve"> </w:t>
      </w:r>
      <w:proofErr w:type="spellStart"/>
      <w:r w:rsidRPr="000A5F53">
        <w:rPr>
          <w:rFonts w:ascii="Arial" w:hAnsi="Arial" w:cs="Arial"/>
          <w:sz w:val="24"/>
          <w:szCs w:val="24"/>
        </w:rPr>
        <w:t>they</w:t>
      </w:r>
      <w:proofErr w:type="spellEnd"/>
      <w:r w:rsidRPr="000A5F53">
        <w:rPr>
          <w:rFonts w:ascii="Arial" w:hAnsi="Arial" w:cs="Arial"/>
          <w:sz w:val="24"/>
          <w:szCs w:val="24"/>
        </w:rPr>
        <w:t xml:space="preserve"> </w:t>
      </w:r>
      <w:proofErr w:type="spellStart"/>
      <w:r w:rsidRPr="000A5F53">
        <w:rPr>
          <w:rFonts w:ascii="Arial" w:hAnsi="Arial" w:cs="Arial"/>
          <w:sz w:val="24"/>
          <w:szCs w:val="24"/>
        </w:rPr>
        <w:t>would</w:t>
      </w:r>
      <w:proofErr w:type="spellEnd"/>
      <w:r w:rsidRPr="000A5F53">
        <w:rPr>
          <w:rFonts w:ascii="Arial" w:hAnsi="Arial" w:cs="Arial"/>
          <w:sz w:val="24"/>
          <w:szCs w:val="24"/>
        </w:rPr>
        <w:t xml:space="preserve"> </w:t>
      </w:r>
      <w:proofErr w:type="spellStart"/>
      <w:r w:rsidRPr="000A5F53">
        <w:rPr>
          <w:rFonts w:ascii="Arial" w:hAnsi="Arial" w:cs="Arial"/>
          <w:sz w:val="24"/>
          <w:szCs w:val="24"/>
        </w:rPr>
        <w:t>apply</w:t>
      </w:r>
      <w:proofErr w:type="spellEnd"/>
      <w:r w:rsidRPr="000A5F53">
        <w:rPr>
          <w:rFonts w:ascii="Arial" w:hAnsi="Arial" w:cs="Arial"/>
          <w:sz w:val="24"/>
          <w:szCs w:val="24"/>
        </w:rPr>
        <w:t xml:space="preserve"> for </w:t>
      </w:r>
      <w:proofErr w:type="spellStart"/>
      <w:r w:rsidRPr="000A5F53">
        <w:rPr>
          <w:rFonts w:ascii="Arial" w:hAnsi="Arial" w:cs="Arial"/>
          <w:sz w:val="24"/>
          <w:szCs w:val="24"/>
        </w:rPr>
        <w:t>funding</w:t>
      </w:r>
      <w:proofErr w:type="spellEnd"/>
      <w:r w:rsidRPr="000A5F53">
        <w:rPr>
          <w:rFonts w:ascii="Arial" w:hAnsi="Arial" w:cs="Arial"/>
          <w:sz w:val="24"/>
          <w:szCs w:val="24"/>
        </w:rPr>
        <w:t xml:space="preserve">, </w:t>
      </w:r>
      <w:proofErr w:type="spellStart"/>
      <w:r w:rsidRPr="000A5F53">
        <w:rPr>
          <w:rFonts w:ascii="Arial" w:hAnsi="Arial" w:cs="Arial"/>
          <w:sz w:val="24"/>
          <w:szCs w:val="24"/>
        </w:rPr>
        <w:t>particularly</w:t>
      </w:r>
      <w:proofErr w:type="spellEnd"/>
      <w:r w:rsidRPr="000A5F53">
        <w:rPr>
          <w:rFonts w:ascii="Arial" w:hAnsi="Arial" w:cs="Arial"/>
          <w:sz w:val="24"/>
          <w:szCs w:val="24"/>
        </w:rPr>
        <w:t xml:space="preserve"> in the </w:t>
      </w:r>
      <w:proofErr w:type="spellStart"/>
      <w:r w:rsidRPr="000A5F53">
        <w:rPr>
          <w:rFonts w:ascii="Arial" w:hAnsi="Arial" w:cs="Arial"/>
          <w:sz w:val="24"/>
          <w:szCs w:val="24"/>
        </w:rPr>
        <w:t>areas</w:t>
      </w:r>
      <w:proofErr w:type="spellEnd"/>
      <w:r w:rsidRPr="000A5F53">
        <w:rPr>
          <w:rFonts w:ascii="Arial" w:hAnsi="Arial" w:cs="Arial"/>
          <w:sz w:val="24"/>
          <w:szCs w:val="24"/>
        </w:rPr>
        <w:t xml:space="preserve"> of </w:t>
      </w:r>
      <w:proofErr w:type="spellStart"/>
      <w:r w:rsidRPr="000A5F53">
        <w:rPr>
          <w:rFonts w:ascii="Arial" w:hAnsi="Arial" w:cs="Arial"/>
          <w:sz w:val="24"/>
          <w:szCs w:val="24"/>
        </w:rPr>
        <w:t>professional</w:t>
      </w:r>
      <w:proofErr w:type="spellEnd"/>
      <w:r w:rsidRPr="000A5F53">
        <w:rPr>
          <w:rFonts w:ascii="Arial" w:hAnsi="Arial" w:cs="Arial"/>
          <w:sz w:val="24"/>
          <w:szCs w:val="24"/>
        </w:rPr>
        <w:t xml:space="preserve"> development, </w:t>
      </w:r>
      <w:proofErr w:type="spellStart"/>
      <w:r w:rsidRPr="000A5F53">
        <w:rPr>
          <w:rFonts w:ascii="Arial" w:hAnsi="Arial" w:cs="Arial"/>
          <w:sz w:val="24"/>
          <w:szCs w:val="24"/>
        </w:rPr>
        <w:t>entrepreneurship</w:t>
      </w:r>
      <w:proofErr w:type="spellEnd"/>
      <w:r w:rsidRPr="000A5F53">
        <w:rPr>
          <w:rFonts w:ascii="Arial" w:hAnsi="Arial" w:cs="Arial"/>
          <w:sz w:val="24"/>
          <w:szCs w:val="24"/>
        </w:rPr>
        <w:t xml:space="preserve">, </w:t>
      </w:r>
      <w:proofErr w:type="spellStart"/>
      <w:r w:rsidRPr="000A5F53">
        <w:rPr>
          <w:rFonts w:ascii="Arial" w:hAnsi="Arial" w:cs="Arial"/>
          <w:sz w:val="24"/>
          <w:szCs w:val="24"/>
        </w:rPr>
        <w:t>equipment</w:t>
      </w:r>
      <w:proofErr w:type="spellEnd"/>
      <w:r w:rsidRPr="000A5F53">
        <w:rPr>
          <w:rFonts w:ascii="Arial" w:hAnsi="Arial" w:cs="Arial"/>
          <w:sz w:val="24"/>
          <w:szCs w:val="24"/>
        </w:rPr>
        <w:t xml:space="preserve"> </w:t>
      </w:r>
      <w:proofErr w:type="spellStart"/>
      <w:r w:rsidRPr="000A5F53">
        <w:rPr>
          <w:rFonts w:ascii="Arial" w:hAnsi="Arial" w:cs="Arial"/>
          <w:sz w:val="24"/>
          <w:szCs w:val="24"/>
        </w:rPr>
        <w:t>purchase</w:t>
      </w:r>
      <w:proofErr w:type="spellEnd"/>
      <w:r w:rsidRPr="000A5F53">
        <w:rPr>
          <w:rFonts w:ascii="Arial" w:hAnsi="Arial" w:cs="Arial"/>
          <w:sz w:val="24"/>
          <w:szCs w:val="24"/>
        </w:rPr>
        <w:t xml:space="preserve">, farm </w:t>
      </w:r>
      <w:proofErr w:type="spellStart"/>
      <w:r w:rsidRPr="000A5F53">
        <w:rPr>
          <w:rFonts w:ascii="Arial" w:hAnsi="Arial" w:cs="Arial"/>
          <w:sz w:val="24"/>
          <w:szCs w:val="24"/>
        </w:rPr>
        <w:t>modernisation</w:t>
      </w:r>
      <w:proofErr w:type="spellEnd"/>
      <w:r w:rsidRPr="000A5F53">
        <w:rPr>
          <w:rFonts w:ascii="Arial" w:hAnsi="Arial" w:cs="Arial"/>
          <w:sz w:val="24"/>
          <w:szCs w:val="24"/>
        </w:rPr>
        <w:t xml:space="preserve">, and </w:t>
      </w:r>
      <w:proofErr w:type="spellStart"/>
      <w:r w:rsidRPr="000A5F53">
        <w:rPr>
          <w:rFonts w:ascii="Arial" w:hAnsi="Arial" w:cs="Arial"/>
          <w:sz w:val="24"/>
          <w:szCs w:val="24"/>
        </w:rPr>
        <w:t>investments</w:t>
      </w:r>
      <w:proofErr w:type="spellEnd"/>
      <w:r w:rsidRPr="000A5F53">
        <w:rPr>
          <w:rFonts w:ascii="Arial" w:hAnsi="Arial" w:cs="Arial"/>
          <w:sz w:val="24"/>
          <w:szCs w:val="24"/>
        </w:rPr>
        <w:t xml:space="preserve"> in </w:t>
      </w:r>
      <w:proofErr w:type="spellStart"/>
      <w:r w:rsidRPr="000A5F53">
        <w:rPr>
          <w:rFonts w:ascii="Arial" w:hAnsi="Arial" w:cs="Arial"/>
          <w:sz w:val="24"/>
          <w:szCs w:val="24"/>
        </w:rPr>
        <w:t>education</w:t>
      </w:r>
      <w:proofErr w:type="spellEnd"/>
      <w:r w:rsidRPr="000A5F53">
        <w:rPr>
          <w:rFonts w:ascii="Arial" w:hAnsi="Arial" w:cs="Arial"/>
          <w:sz w:val="24"/>
          <w:szCs w:val="24"/>
        </w:rPr>
        <w:t xml:space="preserve"> and </w:t>
      </w:r>
      <w:proofErr w:type="spellStart"/>
      <w:r w:rsidRPr="000A5F53">
        <w:rPr>
          <w:rFonts w:ascii="Arial" w:hAnsi="Arial" w:cs="Arial"/>
          <w:sz w:val="24"/>
          <w:szCs w:val="24"/>
        </w:rPr>
        <w:t>skills</w:t>
      </w:r>
      <w:proofErr w:type="spellEnd"/>
      <w:r w:rsidRPr="000A5F53">
        <w:rPr>
          <w:rFonts w:ascii="Arial" w:hAnsi="Arial" w:cs="Arial"/>
          <w:sz w:val="24"/>
          <w:szCs w:val="24"/>
        </w:rPr>
        <w:t xml:space="preserve"> </w:t>
      </w:r>
      <w:proofErr w:type="spellStart"/>
      <w:r w:rsidRPr="000A5F53">
        <w:rPr>
          <w:rFonts w:ascii="Arial" w:hAnsi="Arial" w:cs="Arial"/>
          <w:sz w:val="24"/>
          <w:szCs w:val="24"/>
        </w:rPr>
        <w:t>enhancement</w:t>
      </w:r>
      <w:proofErr w:type="spellEnd"/>
      <w:r w:rsidRPr="000A5F53">
        <w:rPr>
          <w:rFonts w:ascii="Arial" w:hAnsi="Arial" w:cs="Arial"/>
          <w:sz w:val="24"/>
          <w:szCs w:val="24"/>
        </w:rPr>
        <w:t>.</w:t>
      </w:r>
    </w:p>
    <w:p w14:paraId="0C6BD502" w14:textId="77777777" w:rsidR="00D64FC6" w:rsidRPr="000A5F53" w:rsidRDefault="00D64FC6" w:rsidP="00D64FC6">
      <w:pPr>
        <w:spacing w:before="240" w:line="360" w:lineRule="auto"/>
        <w:rPr>
          <w:rFonts w:ascii="Arial" w:hAnsi="Arial" w:cs="Arial"/>
          <w:sz w:val="24"/>
          <w:szCs w:val="24"/>
        </w:rPr>
      </w:pPr>
      <w:r w:rsidRPr="000A5F53">
        <w:rPr>
          <w:rFonts w:ascii="Arial" w:hAnsi="Arial" w:cs="Arial"/>
          <w:sz w:val="24"/>
          <w:szCs w:val="24"/>
        </w:rPr>
        <w:t xml:space="preserve">The </w:t>
      </w:r>
      <w:proofErr w:type="spellStart"/>
      <w:r w:rsidRPr="000A5F53">
        <w:rPr>
          <w:rFonts w:ascii="Arial" w:hAnsi="Arial" w:cs="Arial"/>
          <w:sz w:val="24"/>
          <w:szCs w:val="24"/>
        </w:rPr>
        <w:t>assessment</w:t>
      </w:r>
      <w:proofErr w:type="spellEnd"/>
      <w:r w:rsidRPr="000A5F53">
        <w:rPr>
          <w:rFonts w:ascii="Arial" w:hAnsi="Arial" w:cs="Arial"/>
          <w:sz w:val="24"/>
          <w:szCs w:val="24"/>
        </w:rPr>
        <w:t xml:space="preserve"> of the </w:t>
      </w:r>
      <w:proofErr w:type="spellStart"/>
      <w:r w:rsidRPr="000A5F53">
        <w:rPr>
          <w:rFonts w:ascii="Arial" w:hAnsi="Arial" w:cs="Arial"/>
          <w:sz w:val="24"/>
          <w:szCs w:val="24"/>
        </w:rPr>
        <w:t>impact</w:t>
      </w:r>
      <w:proofErr w:type="spellEnd"/>
      <w:r w:rsidRPr="000A5F53">
        <w:rPr>
          <w:rFonts w:ascii="Arial" w:hAnsi="Arial" w:cs="Arial"/>
          <w:sz w:val="24"/>
          <w:szCs w:val="24"/>
        </w:rPr>
        <w:t xml:space="preserve"> of </w:t>
      </w:r>
      <w:proofErr w:type="spellStart"/>
      <w:r w:rsidRPr="000A5F53">
        <w:rPr>
          <w:rFonts w:ascii="Arial" w:hAnsi="Arial" w:cs="Arial"/>
          <w:sz w:val="24"/>
          <w:szCs w:val="24"/>
        </w:rPr>
        <w:t>European</w:t>
      </w:r>
      <w:proofErr w:type="spellEnd"/>
      <w:r w:rsidRPr="000A5F53">
        <w:rPr>
          <w:rFonts w:ascii="Arial" w:hAnsi="Arial" w:cs="Arial"/>
          <w:sz w:val="24"/>
          <w:szCs w:val="24"/>
        </w:rPr>
        <w:t xml:space="preserve"> </w:t>
      </w:r>
      <w:proofErr w:type="spellStart"/>
      <w:r w:rsidRPr="000A5F53">
        <w:rPr>
          <w:rFonts w:ascii="Arial" w:hAnsi="Arial" w:cs="Arial"/>
          <w:sz w:val="24"/>
          <w:szCs w:val="24"/>
        </w:rPr>
        <w:t>Funds</w:t>
      </w:r>
      <w:proofErr w:type="spellEnd"/>
      <w:r w:rsidRPr="000A5F53">
        <w:rPr>
          <w:rFonts w:ascii="Arial" w:hAnsi="Arial" w:cs="Arial"/>
          <w:sz w:val="24"/>
          <w:szCs w:val="24"/>
        </w:rPr>
        <w:t xml:space="preserve"> on the </w:t>
      </w:r>
      <w:proofErr w:type="spellStart"/>
      <w:r w:rsidRPr="000A5F53">
        <w:rPr>
          <w:rFonts w:ascii="Arial" w:hAnsi="Arial" w:cs="Arial"/>
          <w:sz w:val="24"/>
          <w:szCs w:val="24"/>
        </w:rPr>
        <w:t>lives</w:t>
      </w:r>
      <w:proofErr w:type="spellEnd"/>
      <w:r w:rsidRPr="000A5F53">
        <w:rPr>
          <w:rFonts w:ascii="Arial" w:hAnsi="Arial" w:cs="Arial"/>
          <w:sz w:val="24"/>
          <w:szCs w:val="24"/>
        </w:rPr>
        <w:t xml:space="preserve"> of </w:t>
      </w:r>
      <w:proofErr w:type="spellStart"/>
      <w:r w:rsidRPr="000A5F53">
        <w:rPr>
          <w:rFonts w:ascii="Arial" w:hAnsi="Arial" w:cs="Arial"/>
          <w:sz w:val="24"/>
          <w:szCs w:val="24"/>
        </w:rPr>
        <w:t>Poles</w:t>
      </w:r>
      <w:proofErr w:type="spellEnd"/>
      <w:r w:rsidRPr="000A5F53">
        <w:rPr>
          <w:rFonts w:ascii="Arial" w:hAnsi="Arial" w:cs="Arial"/>
          <w:sz w:val="24"/>
          <w:szCs w:val="24"/>
        </w:rPr>
        <w:t xml:space="preserve"> </w:t>
      </w:r>
      <w:proofErr w:type="spellStart"/>
      <w:r w:rsidRPr="000A5F53">
        <w:rPr>
          <w:rFonts w:ascii="Arial" w:hAnsi="Arial" w:cs="Arial"/>
          <w:sz w:val="24"/>
          <w:szCs w:val="24"/>
        </w:rPr>
        <w:t>is</w:t>
      </w:r>
      <w:proofErr w:type="spellEnd"/>
      <w:r w:rsidRPr="000A5F53">
        <w:rPr>
          <w:rFonts w:ascii="Arial" w:hAnsi="Arial" w:cs="Arial"/>
          <w:sz w:val="24"/>
          <w:szCs w:val="24"/>
        </w:rPr>
        <w:t xml:space="preserve"> </w:t>
      </w:r>
      <w:proofErr w:type="spellStart"/>
      <w:r w:rsidRPr="000A5F53">
        <w:rPr>
          <w:rFonts w:ascii="Arial" w:hAnsi="Arial" w:cs="Arial"/>
          <w:sz w:val="24"/>
          <w:szCs w:val="24"/>
        </w:rPr>
        <w:t>unequivocally</w:t>
      </w:r>
      <w:proofErr w:type="spellEnd"/>
      <w:r w:rsidRPr="000A5F53">
        <w:rPr>
          <w:rFonts w:ascii="Arial" w:hAnsi="Arial" w:cs="Arial"/>
          <w:sz w:val="24"/>
          <w:szCs w:val="24"/>
        </w:rPr>
        <w:t xml:space="preserve"> </w:t>
      </w:r>
      <w:proofErr w:type="spellStart"/>
      <w:r w:rsidRPr="000A5F53">
        <w:rPr>
          <w:rFonts w:ascii="Arial" w:hAnsi="Arial" w:cs="Arial"/>
          <w:sz w:val="24"/>
          <w:szCs w:val="24"/>
        </w:rPr>
        <w:t>positive</w:t>
      </w:r>
      <w:proofErr w:type="spellEnd"/>
      <w:r w:rsidRPr="000A5F53">
        <w:rPr>
          <w:rFonts w:ascii="Arial" w:hAnsi="Arial" w:cs="Arial"/>
          <w:sz w:val="24"/>
          <w:szCs w:val="24"/>
        </w:rPr>
        <w:t xml:space="preserve">. As </w:t>
      </w:r>
      <w:proofErr w:type="spellStart"/>
      <w:r w:rsidRPr="000A5F53">
        <w:rPr>
          <w:rFonts w:ascii="Arial" w:hAnsi="Arial" w:cs="Arial"/>
          <w:sz w:val="24"/>
          <w:szCs w:val="24"/>
        </w:rPr>
        <w:t>many</w:t>
      </w:r>
      <w:proofErr w:type="spellEnd"/>
      <w:r w:rsidRPr="000A5F53">
        <w:rPr>
          <w:rFonts w:ascii="Arial" w:hAnsi="Arial" w:cs="Arial"/>
          <w:sz w:val="24"/>
          <w:szCs w:val="24"/>
        </w:rPr>
        <w:t xml:space="preserve"> as 91% of </w:t>
      </w:r>
      <w:proofErr w:type="spellStart"/>
      <w:r w:rsidRPr="000A5F53">
        <w:rPr>
          <w:rFonts w:ascii="Arial" w:hAnsi="Arial" w:cs="Arial"/>
          <w:sz w:val="24"/>
          <w:szCs w:val="24"/>
        </w:rPr>
        <w:t>respondents</w:t>
      </w:r>
      <w:proofErr w:type="spellEnd"/>
      <w:r w:rsidRPr="000A5F53">
        <w:rPr>
          <w:rFonts w:ascii="Arial" w:hAnsi="Arial" w:cs="Arial"/>
          <w:sz w:val="24"/>
          <w:szCs w:val="24"/>
        </w:rPr>
        <w:t xml:space="preserve"> </w:t>
      </w:r>
      <w:proofErr w:type="spellStart"/>
      <w:r w:rsidRPr="000A5F53">
        <w:rPr>
          <w:rFonts w:ascii="Arial" w:hAnsi="Arial" w:cs="Arial"/>
          <w:sz w:val="24"/>
          <w:szCs w:val="24"/>
        </w:rPr>
        <w:t>believe</w:t>
      </w:r>
      <w:proofErr w:type="spellEnd"/>
      <w:r w:rsidRPr="000A5F53">
        <w:rPr>
          <w:rFonts w:ascii="Arial" w:hAnsi="Arial" w:cs="Arial"/>
          <w:sz w:val="24"/>
          <w:szCs w:val="24"/>
        </w:rPr>
        <w:t xml:space="preserve"> </w:t>
      </w:r>
      <w:proofErr w:type="spellStart"/>
      <w:r w:rsidRPr="000A5F53">
        <w:rPr>
          <w:rFonts w:ascii="Arial" w:hAnsi="Arial" w:cs="Arial"/>
          <w:sz w:val="24"/>
          <w:szCs w:val="24"/>
        </w:rPr>
        <w:t>that</w:t>
      </w:r>
      <w:proofErr w:type="spellEnd"/>
      <w:r w:rsidRPr="000A5F53">
        <w:rPr>
          <w:rFonts w:ascii="Arial" w:hAnsi="Arial" w:cs="Arial"/>
          <w:sz w:val="24"/>
          <w:szCs w:val="24"/>
        </w:rPr>
        <w:t xml:space="preserve"> </w:t>
      </w:r>
      <w:proofErr w:type="spellStart"/>
      <w:r w:rsidRPr="000A5F53">
        <w:rPr>
          <w:rFonts w:ascii="Arial" w:hAnsi="Arial" w:cs="Arial"/>
          <w:sz w:val="24"/>
          <w:szCs w:val="24"/>
        </w:rPr>
        <w:t>European</w:t>
      </w:r>
      <w:proofErr w:type="spellEnd"/>
      <w:r w:rsidRPr="000A5F53">
        <w:rPr>
          <w:rFonts w:ascii="Arial" w:hAnsi="Arial" w:cs="Arial"/>
          <w:sz w:val="24"/>
          <w:szCs w:val="24"/>
        </w:rPr>
        <w:t xml:space="preserve"> </w:t>
      </w:r>
      <w:proofErr w:type="spellStart"/>
      <w:r w:rsidRPr="000A5F53">
        <w:rPr>
          <w:rFonts w:ascii="Arial" w:hAnsi="Arial" w:cs="Arial"/>
          <w:sz w:val="24"/>
          <w:szCs w:val="24"/>
        </w:rPr>
        <w:t>Funds</w:t>
      </w:r>
      <w:proofErr w:type="spellEnd"/>
      <w:r w:rsidRPr="000A5F53">
        <w:rPr>
          <w:rFonts w:ascii="Arial" w:hAnsi="Arial" w:cs="Arial"/>
          <w:sz w:val="24"/>
          <w:szCs w:val="24"/>
        </w:rPr>
        <w:t xml:space="preserve"> </w:t>
      </w:r>
      <w:proofErr w:type="spellStart"/>
      <w:r w:rsidRPr="000A5F53">
        <w:rPr>
          <w:rFonts w:ascii="Arial" w:hAnsi="Arial" w:cs="Arial"/>
          <w:sz w:val="24"/>
          <w:szCs w:val="24"/>
        </w:rPr>
        <w:lastRenderedPageBreak/>
        <w:t>improve</w:t>
      </w:r>
      <w:proofErr w:type="spellEnd"/>
      <w:r w:rsidRPr="000A5F53">
        <w:rPr>
          <w:rFonts w:ascii="Arial" w:hAnsi="Arial" w:cs="Arial"/>
          <w:sz w:val="24"/>
          <w:szCs w:val="24"/>
        </w:rPr>
        <w:t xml:space="preserve"> the </w:t>
      </w:r>
      <w:proofErr w:type="spellStart"/>
      <w:r w:rsidRPr="000A5F53">
        <w:rPr>
          <w:rFonts w:ascii="Arial" w:hAnsi="Arial" w:cs="Arial"/>
          <w:sz w:val="24"/>
          <w:szCs w:val="24"/>
        </w:rPr>
        <w:t>quality</w:t>
      </w:r>
      <w:proofErr w:type="spellEnd"/>
      <w:r w:rsidRPr="000A5F53">
        <w:rPr>
          <w:rFonts w:ascii="Arial" w:hAnsi="Arial" w:cs="Arial"/>
          <w:sz w:val="24"/>
          <w:szCs w:val="24"/>
        </w:rPr>
        <w:t xml:space="preserve"> of life of the </w:t>
      </w:r>
      <w:proofErr w:type="spellStart"/>
      <w:r w:rsidRPr="000A5F53">
        <w:rPr>
          <w:rFonts w:ascii="Arial" w:hAnsi="Arial" w:cs="Arial"/>
          <w:sz w:val="24"/>
          <w:szCs w:val="24"/>
        </w:rPr>
        <w:t>country’s</w:t>
      </w:r>
      <w:proofErr w:type="spellEnd"/>
      <w:r w:rsidRPr="000A5F53">
        <w:rPr>
          <w:rFonts w:ascii="Arial" w:hAnsi="Arial" w:cs="Arial"/>
          <w:sz w:val="24"/>
          <w:szCs w:val="24"/>
        </w:rPr>
        <w:t xml:space="preserve"> </w:t>
      </w:r>
      <w:proofErr w:type="spellStart"/>
      <w:r w:rsidRPr="000A5F53">
        <w:rPr>
          <w:rFonts w:ascii="Arial" w:hAnsi="Arial" w:cs="Arial"/>
          <w:sz w:val="24"/>
          <w:szCs w:val="24"/>
        </w:rPr>
        <w:t>residents</w:t>
      </w:r>
      <w:proofErr w:type="spellEnd"/>
      <w:r w:rsidRPr="000A5F53">
        <w:rPr>
          <w:rFonts w:ascii="Arial" w:hAnsi="Arial" w:cs="Arial"/>
          <w:sz w:val="24"/>
          <w:szCs w:val="24"/>
        </w:rPr>
        <w:t xml:space="preserve">. The </w:t>
      </w:r>
      <w:proofErr w:type="spellStart"/>
      <w:r w:rsidRPr="000A5F53">
        <w:rPr>
          <w:rFonts w:ascii="Arial" w:hAnsi="Arial" w:cs="Arial"/>
          <w:sz w:val="24"/>
          <w:szCs w:val="24"/>
        </w:rPr>
        <w:t>way</w:t>
      </w:r>
      <w:proofErr w:type="spellEnd"/>
      <w:r w:rsidRPr="000A5F53">
        <w:rPr>
          <w:rFonts w:ascii="Arial" w:hAnsi="Arial" w:cs="Arial"/>
          <w:sz w:val="24"/>
          <w:szCs w:val="24"/>
        </w:rPr>
        <w:t xml:space="preserve"> the </w:t>
      </w:r>
      <w:proofErr w:type="spellStart"/>
      <w:r w:rsidRPr="000A5F53">
        <w:rPr>
          <w:rFonts w:ascii="Arial" w:hAnsi="Arial" w:cs="Arial"/>
          <w:sz w:val="24"/>
          <w:szCs w:val="24"/>
        </w:rPr>
        <w:t>funds</w:t>
      </w:r>
      <w:proofErr w:type="spellEnd"/>
      <w:r w:rsidRPr="000A5F53">
        <w:rPr>
          <w:rFonts w:ascii="Arial" w:hAnsi="Arial" w:cs="Arial"/>
          <w:sz w:val="24"/>
          <w:szCs w:val="24"/>
        </w:rPr>
        <w:t xml:space="preserve"> </w:t>
      </w:r>
      <w:proofErr w:type="spellStart"/>
      <w:r w:rsidRPr="000A5F53">
        <w:rPr>
          <w:rFonts w:ascii="Arial" w:hAnsi="Arial" w:cs="Arial"/>
          <w:sz w:val="24"/>
          <w:szCs w:val="24"/>
        </w:rPr>
        <w:t>are</w:t>
      </w:r>
      <w:proofErr w:type="spellEnd"/>
      <w:r w:rsidRPr="000A5F53">
        <w:rPr>
          <w:rFonts w:ascii="Arial" w:hAnsi="Arial" w:cs="Arial"/>
          <w:sz w:val="24"/>
          <w:szCs w:val="24"/>
        </w:rPr>
        <w:t xml:space="preserve"> </w:t>
      </w:r>
      <w:proofErr w:type="spellStart"/>
      <w:r w:rsidRPr="000A5F53">
        <w:rPr>
          <w:rFonts w:ascii="Arial" w:hAnsi="Arial" w:cs="Arial"/>
          <w:sz w:val="24"/>
          <w:szCs w:val="24"/>
        </w:rPr>
        <w:t>used</w:t>
      </w:r>
      <w:proofErr w:type="spellEnd"/>
      <w:r w:rsidRPr="000A5F53">
        <w:rPr>
          <w:rFonts w:ascii="Arial" w:hAnsi="Arial" w:cs="Arial"/>
          <w:sz w:val="24"/>
          <w:szCs w:val="24"/>
        </w:rPr>
        <w:t xml:space="preserve"> </w:t>
      </w:r>
      <w:proofErr w:type="spellStart"/>
      <w:r w:rsidRPr="000A5F53">
        <w:rPr>
          <w:rFonts w:ascii="Arial" w:hAnsi="Arial" w:cs="Arial"/>
          <w:sz w:val="24"/>
          <w:szCs w:val="24"/>
        </w:rPr>
        <w:t>is</w:t>
      </w:r>
      <w:proofErr w:type="spellEnd"/>
      <w:r w:rsidRPr="000A5F53">
        <w:rPr>
          <w:rFonts w:ascii="Arial" w:hAnsi="Arial" w:cs="Arial"/>
          <w:sz w:val="24"/>
          <w:szCs w:val="24"/>
        </w:rPr>
        <w:t xml:space="preserve"> </w:t>
      </w:r>
      <w:proofErr w:type="spellStart"/>
      <w:r w:rsidRPr="000A5F53">
        <w:rPr>
          <w:rFonts w:ascii="Arial" w:hAnsi="Arial" w:cs="Arial"/>
          <w:sz w:val="24"/>
          <w:szCs w:val="24"/>
        </w:rPr>
        <w:t>also</w:t>
      </w:r>
      <w:proofErr w:type="spellEnd"/>
      <w:r w:rsidRPr="000A5F53">
        <w:rPr>
          <w:rFonts w:ascii="Arial" w:hAnsi="Arial" w:cs="Arial"/>
          <w:sz w:val="24"/>
          <w:szCs w:val="24"/>
        </w:rPr>
        <w:t xml:space="preserve"> </w:t>
      </w:r>
      <w:proofErr w:type="spellStart"/>
      <w:r w:rsidRPr="000A5F53">
        <w:rPr>
          <w:rFonts w:ascii="Arial" w:hAnsi="Arial" w:cs="Arial"/>
          <w:sz w:val="24"/>
          <w:szCs w:val="24"/>
        </w:rPr>
        <w:t>assessed</w:t>
      </w:r>
      <w:proofErr w:type="spellEnd"/>
      <w:r w:rsidRPr="000A5F53">
        <w:rPr>
          <w:rFonts w:ascii="Arial" w:hAnsi="Arial" w:cs="Arial"/>
          <w:sz w:val="24"/>
          <w:szCs w:val="24"/>
        </w:rPr>
        <w:t xml:space="preserve"> </w:t>
      </w:r>
      <w:proofErr w:type="spellStart"/>
      <w:r w:rsidRPr="000A5F53">
        <w:rPr>
          <w:rFonts w:ascii="Arial" w:hAnsi="Arial" w:cs="Arial"/>
          <w:sz w:val="24"/>
          <w:szCs w:val="24"/>
        </w:rPr>
        <w:t>favourably</w:t>
      </w:r>
      <w:proofErr w:type="spellEnd"/>
      <w:r w:rsidRPr="000A5F53">
        <w:rPr>
          <w:rFonts w:ascii="Arial" w:hAnsi="Arial" w:cs="Arial"/>
          <w:sz w:val="24"/>
          <w:szCs w:val="24"/>
        </w:rPr>
        <w:t xml:space="preserve">, with </w:t>
      </w:r>
      <w:proofErr w:type="spellStart"/>
      <w:r w:rsidRPr="000A5F53">
        <w:rPr>
          <w:rFonts w:ascii="Arial" w:hAnsi="Arial" w:cs="Arial"/>
          <w:sz w:val="24"/>
          <w:szCs w:val="24"/>
        </w:rPr>
        <w:t>negative</w:t>
      </w:r>
      <w:proofErr w:type="spellEnd"/>
      <w:r w:rsidRPr="000A5F53">
        <w:rPr>
          <w:rFonts w:ascii="Arial" w:hAnsi="Arial" w:cs="Arial"/>
          <w:sz w:val="24"/>
          <w:szCs w:val="24"/>
        </w:rPr>
        <w:t xml:space="preserve"> </w:t>
      </w:r>
      <w:proofErr w:type="spellStart"/>
      <w:r w:rsidRPr="000A5F53">
        <w:rPr>
          <w:rFonts w:ascii="Arial" w:hAnsi="Arial" w:cs="Arial"/>
          <w:sz w:val="24"/>
          <w:szCs w:val="24"/>
        </w:rPr>
        <w:t>opinions</w:t>
      </w:r>
      <w:proofErr w:type="spellEnd"/>
      <w:r w:rsidRPr="000A5F53">
        <w:rPr>
          <w:rFonts w:ascii="Arial" w:hAnsi="Arial" w:cs="Arial"/>
          <w:sz w:val="24"/>
          <w:szCs w:val="24"/>
        </w:rPr>
        <w:t xml:space="preserve"> </w:t>
      </w:r>
      <w:proofErr w:type="spellStart"/>
      <w:r w:rsidRPr="000A5F53">
        <w:rPr>
          <w:rFonts w:ascii="Arial" w:hAnsi="Arial" w:cs="Arial"/>
          <w:sz w:val="24"/>
          <w:szCs w:val="24"/>
        </w:rPr>
        <w:t>occurring</w:t>
      </w:r>
      <w:proofErr w:type="spellEnd"/>
      <w:r w:rsidRPr="000A5F53">
        <w:rPr>
          <w:rFonts w:ascii="Arial" w:hAnsi="Arial" w:cs="Arial"/>
          <w:sz w:val="24"/>
          <w:szCs w:val="24"/>
        </w:rPr>
        <w:t xml:space="preserve"> </w:t>
      </w:r>
      <w:proofErr w:type="spellStart"/>
      <w:r w:rsidRPr="000A5F53">
        <w:rPr>
          <w:rFonts w:ascii="Arial" w:hAnsi="Arial" w:cs="Arial"/>
          <w:sz w:val="24"/>
          <w:szCs w:val="24"/>
        </w:rPr>
        <w:t>only</w:t>
      </w:r>
      <w:proofErr w:type="spellEnd"/>
      <w:r w:rsidRPr="000A5F53">
        <w:rPr>
          <w:rFonts w:ascii="Arial" w:hAnsi="Arial" w:cs="Arial"/>
          <w:sz w:val="24"/>
          <w:szCs w:val="24"/>
        </w:rPr>
        <w:t xml:space="preserve"> </w:t>
      </w:r>
      <w:proofErr w:type="spellStart"/>
      <w:r w:rsidRPr="000A5F53">
        <w:rPr>
          <w:rFonts w:ascii="Arial" w:hAnsi="Arial" w:cs="Arial"/>
          <w:sz w:val="24"/>
          <w:szCs w:val="24"/>
        </w:rPr>
        <w:t>sporadically</w:t>
      </w:r>
      <w:proofErr w:type="spellEnd"/>
      <w:r w:rsidRPr="000A5F53">
        <w:rPr>
          <w:rFonts w:ascii="Arial" w:hAnsi="Arial" w:cs="Arial"/>
          <w:sz w:val="24"/>
          <w:szCs w:val="24"/>
        </w:rPr>
        <w:t xml:space="preserve">. </w:t>
      </w:r>
      <w:proofErr w:type="spellStart"/>
      <w:r w:rsidRPr="000A5F53">
        <w:rPr>
          <w:rFonts w:ascii="Arial" w:hAnsi="Arial" w:cs="Arial"/>
          <w:sz w:val="24"/>
          <w:szCs w:val="24"/>
        </w:rPr>
        <w:t>According</w:t>
      </w:r>
      <w:proofErr w:type="spellEnd"/>
      <w:r w:rsidRPr="000A5F53">
        <w:rPr>
          <w:rFonts w:ascii="Arial" w:hAnsi="Arial" w:cs="Arial"/>
          <w:sz w:val="24"/>
          <w:szCs w:val="24"/>
        </w:rPr>
        <w:t xml:space="preserve"> to </w:t>
      </w:r>
      <w:proofErr w:type="spellStart"/>
      <w:r w:rsidRPr="000A5F53">
        <w:rPr>
          <w:rFonts w:ascii="Arial" w:hAnsi="Arial" w:cs="Arial"/>
          <w:sz w:val="24"/>
          <w:szCs w:val="24"/>
        </w:rPr>
        <w:t>respondents</w:t>
      </w:r>
      <w:proofErr w:type="spellEnd"/>
      <w:r w:rsidRPr="000A5F53">
        <w:rPr>
          <w:rFonts w:ascii="Arial" w:hAnsi="Arial" w:cs="Arial"/>
          <w:sz w:val="24"/>
          <w:szCs w:val="24"/>
        </w:rPr>
        <w:t xml:space="preserve">, </w:t>
      </w:r>
      <w:proofErr w:type="spellStart"/>
      <w:r w:rsidRPr="000A5F53">
        <w:rPr>
          <w:rFonts w:ascii="Arial" w:hAnsi="Arial" w:cs="Arial"/>
          <w:sz w:val="24"/>
          <w:szCs w:val="24"/>
        </w:rPr>
        <w:t>changes</w:t>
      </w:r>
      <w:proofErr w:type="spellEnd"/>
      <w:r w:rsidRPr="000A5F53">
        <w:rPr>
          <w:rFonts w:ascii="Arial" w:hAnsi="Arial" w:cs="Arial"/>
          <w:sz w:val="24"/>
          <w:szCs w:val="24"/>
        </w:rPr>
        <w:t xml:space="preserve"> </w:t>
      </w:r>
      <w:proofErr w:type="spellStart"/>
      <w:r w:rsidRPr="000A5F53">
        <w:rPr>
          <w:rFonts w:ascii="Arial" w:hAnsi="Arial" w:cs="Arial"/>
          <w:sz w:val="24"/>
          <w:szCs w:val="24"/>
        </w:rPr>
        <w:t>financed</w:t>
      </w:r>
      <w:proofErr w:type="spellEnd"/>
      <w:r w:rsidRPr="000A5F53">
        <w:rPr>
          <w:rFonts w:ascii="Arial" w:hAnsi="Arial" w:cs="Arial"/>
          <w:sz w:val="24"/>
          <w:szCs w:val="24"/>
        </w:rPr>
        <w:t xml:space="preserve"> by </w:t>
      </w:r>
      <w:proofErr w:type="spellStart"/>
      <w:r w:rsidRPr="000A5F53">
        <w:rPr>
          <w:rFonts w:ascii="Arial" w:hAnsi="Arial" w:cs="Arial"/>
          <w:sz w:val="24"/>
          <w:szCs w:val="24"/>
        </w:rPr>
        <w:t>European</w:t>
      </w:r>
      <w:proofErr w:type="spellEnd"/>
      <w:r w:rsidRPr="000A5F53">
        <w:rPr>
          <w:rFonts w:ascii="Arial" w:hAnsi="Arial" w:cs="Arial"/>
          <w:sz w:val="24"/>
          <w:szCs w:val="24"/>
        </w:rPr>
        <w:t xml:space="preserve"> </w:t>
      </w:r>
      <w:proofErr w:type="spellStart"/>
      <w:r w:rsidRPr="000A5F53">
        <w:rPr>
          <w:rFonts w:ascii="Arial" w:hAnsi="Arial" w:cs="Arial"/>
          <w:sz w:val="24"/>
          <w:szCs w:val="24"/>
        </w:rPr>
        <w:t>Funds</w:t>
      </w:r>
      <w:proofErr w:type="spellEnd"/>
      <w:r w:rsidRPr="000A5F53">
        <w:rPr>
          <w:rFonts w:ascii="Arial" w:hAnsi="Arial" w:cs="Arial"/>
          <w:sz w:val="24"/>
          <w:szCs w:val="24"/>
        </w:rPr>
        <w:t xml:space="preserve"> in </w:t>
      </w:r>
      <w:proofErr w:type="spellStart"/>
      <w:r w:rsidRPr="000A5F53">
        <w:rPr>
          <w:rFonts w:ascii="Arial" w:hAnsi="Arial" w:cs="Arial"/>
          <w:sz w:val="24"/>
          <w:szCs w:val="24"/>
        </w:rPr>
        <w:t>their</w:t>
      </w:r>
      <w:proofErr w:type="spellEnd"/>
      <w:r w:rsidRPr="000A5F53">
        <w:rPr>
          <w:rFonts w:ascii="Arial" w:hAnsi="Arial" w:cs="Arial"/>
          <w:sz w:val="24"/>
          <w:szCs w:val="24"/>
        </w:rPr>
        <w:t xml:space="preserve"> immediate </w:t>
      </w:r>
      <w:proofErr w:type="spellStart"/>
      <w:r w:rsidRPr="000A5F53">
        <w:rPr>
          <w:rFonts w:ascii="Arial" w:hAnsi="Arial" w:cs="Arial"/>
          <w:sz w:val="24"/>
          <w:szCs w:val="24"/>
        </w:rPr>
        <w:t>surroundings</w:t>
      </w:r>
      <w:proofErr w:type="spellEnd"/>
      <w:r w:rsidRPr="000A5F53">
        <w:rPr>
          <w:rFonts w:ascii="Arial" w:hAnsi="Arial" w:cs="Arial"/>
          <w:sz w:val="24"/>
          <w:szCs w:val="24"/>
        </w:rPr>
        <w:t xml:space="preserve"> </w:t>
      </w:r>
      <w:proofErr w:type="spellStart"/>
      <w:r w:rsidRPr="000A5F53">
        <w:rPr>
          <w:rFonts w:ascii="Arial" w:hAnsi="Arial" w:cs="Arial"/>
          <w:sz w:val="24"/>
          <w:szCs w:val="24"/>
        </w:rPr>
        <w:t>are</w:t>
      </w:r>
      <w:proofErr w:type="spellEnd"/>
      <w:r w:rsidRPr="000A5F53">
        <w:rPr>
          <w:rFonts w:ascii="Arial" w:hAnsi="Arial" w:cs="Arial"/>
          <w:sz w:val="24"/>
          <w:szCs w:val="24"/>
        </w:rPr>
        <w:t xml:space="preserve"> most </w:t>
      </w:r>
      <w:proofErr w:type="spellStart"/>
      <w:r w:rsidRPr="000A5F53">
        <w:rPr>
          <w:rFonts w:ascii="Arial" w:hAnsi="Arial" w:cs="Arial"/>
          <w:sz w:val="24"/>
          <w:szCs w:val="24"/>
        </w:rPr>
        <w:t>visible</w:t>
      </w:r>
      <w:proofErr w:type="spellEnd"/>
      <w:r w:rsidRPr="000A5F53">
        <w:rPr>
          <w:rFonts w:ascii="Arial" w:hAnsi="Arial" w:cs="Arial"/>
          <w:sz w:val="24"/>
          <w:szCs w:val="24"/>
        </w:rPr>
        <w:t xml:space="preserve">, </w:t>
      </w:r>
      <w:proofErr w:type="spellStart"/>
      <w:r w:rsidRPr="000A5F53">
        <w:rPr>
          <w:rFonts w:ascii="Arial" w:hAnsi="Arial" w:cs="Arial"/>
          <w:sz w:val="24"/>
          <w:szCs w:val="24"/>
        </w:rPr>
        <w:t>particularly</w:t>
      </w:r>
      <w:proofErr w:type="spellEnd"/>
      <w:r w:rsidRPr="000A5F53">
        <w:rPr>
          <w:rFonts w:ascii="Arial" w:hAnsi="Arial" w:cs="Arial"/>
          <w:sz w:val="24"/>
          <w:szCs w:val="24"/>
        </w:rPr>
        <w:t xml:space="preserve"> in </w:t>
      </w:r>
      <w:proofErr w:type="spellStart"/>
      <w:r w:rsidRPr="000A5F53">
        <w:rPr>
          <w:rFonts w:ascii="Arial" w:hAnsi="Arial" w:cs="Arial"/>
          <w:sz w:val="24"/>
          <w:szCs w:val="24"/>
        </w:rPr>
        <w:t>road</w:t>
      </w:r>
      <w:proofErr w:type="spellEnd"/>
      <w:r w:rsidRPr="000A5F53">
        <w:rPr>
          <w:rFonts w:ascii="Arial" w:hAnsi="Arial" w:cs="Arial"/>
          <w:sz w:val="24"/>
          <w:szCs w:val="24"/>
        </w:rPr>
        <w:t xml:space="preserve"> </w:t>
      </w:r>
      <w:proofErr w:type="spellStart"/>
      <w:r w:rsidRPr="000A5F53">
        <w:rPr>
          <w:rFonts w:ascii="Arial" w:hAnsi="Arial" w:cs="Arial"/>
          <w:sz w:val="24"/>
          <w:szCs w:val="24"/>
        </w:rPr>
        <w:t>infrastructure</w:t>
      </w:r>
      <w:proofErr w:type="spellEnd"/>
      <w:r w:rsidRPr="000A5F53">
        <w:rPr>
          <w:rFonts w:ascii="Arial" w:hAnsi="Arial" w:cs="Arial"/>
          <w:sz w:val="24"/>
          <w:szCs w:val="24"/>
        </w:rPr>
        <w:t xml:space="preserve">, </w:t>
      </w:r>
      <w:proofErr w:type="spellStart"/>
      <w:r w:rsidRPr="000A5F53">
        <w:rPr>
          <w:rFonts w:ascii="Arial" w:hAnsi="Arial" w:cs="Arial"/>
          <w:sz w:val="24"/>
          <w:szCs w:val="24"/>
        </w:rPr>
        <w:t>education</w:t>
      </w:r>
      <w:proofErr w:type="spellEnd"/>
      <w:r w:rsidRPr="000A5F53">
        <w:rPr>
          <w:rFonts w:ascii="Arial" w:hAnsi="Arial" w:cs="Arial"/>
          <w:sz w:val="24"/>
          <w:szCs w:val="24"/>
        </w:rPr>
        <w:t xml:space="preserve">, the </w:t>
      </w:r>
      <w:proofErr w:type="spellStart"/>
      <w:r w:rsidRPr="000A5F53">
        <w:rPr>
          <w:rFonts w:ascii="Arial" w:hAnsi="Arial" w:cs="Arial"/>
          <w:sz w:val="24"/>
          <w:szCs w:val="24"/>
        </w:rPr>
        <w:t>local</w:t>
      </w:r>
      <w:proofErr w:type="spellEnd"/>
      <w:r w:rsidRPr="000A5F53">
        <w:rPr>
          <w:rFonts w:ascii="Arial" w:hAnsi="Arial" w:cs="Arial"/>
          <w:sz w:val="24"/>
          <w:szCs w:val="24"/>
        </w:rPr>
        <w:t xml:space="preserve"> </w:t>
      </w:r>
      <w:proofErr w:type="spellStart"/>
      <w:r w:rsidRPr="000A5F53">
        <w:rPr>
          <w:rFonts w:ascii="Arial" w:hAnsi="Arial" w:cs="Arial"/>
          <w:sz w:val="24"/>
          <w:szCs w:val="24"/>
        </w:rPr>
        <w:t>economy</w:t>
      </w:r>
      <w:proofErr w:type="spellEnd"/>
      <w:r w:rsidRPr="000A5F53">
        <w:rPr>
          <w:rFonts w:ascii="Arial" w:hAnsi="Arial" w:cs="Arial"/>
          <w:sz w:val="24"/>
          <w:szCs w:val="24"/>
        </w:rPr>
        <w:t xml:space="preserve">, public </w:t>
      </w:r>
      <w:proofErr w:type="spellStart"/>
      <w:r w:rsidRPr="000A5F53">
        <w:rPr>
          <w:rFonts w:ascii="Arial" w:hAnsi="Arial" w:cs="Arial"/>
          <w:sz w:val="24"/>
          <w:szCs w:val="24"/>
        </w:rPr>
        <w:t>administration</w:t>
      </w:r>
      <w:proofErr w:type="spellEnd"/>
      <w:r w:rsidRPr="000A5F53">
        <w:rPr>
          <w:rFonts w:ascii="Arial" w:hAnsi="Arial" w:cs="Arial"/>
          <w:sz w:val="24"/>
          <w:szCs w:val="24"/>
        </w:rPr>
        <w:t>, and public transport.</w:t>
      </w:r>
    </w:p>
    <w:p w14:paraId="1FD75A03" w14:textId="77777777" w:rsidR="00D64FC6" w:rsidRDefault="00D64FC6" w:rsidP="00D64FC6">
      <w:pPr>
        <w:spacing w:before="240" w:line="360" w:lineRule="auto"/>
        <w:rPr>
          <w:rFonts w:ascii="Arial" w:hAnsi="Arial" w:cs="Arial"/>
          <w:sz w:val="24"/>
          <w:szCs w:val="24"/>
        </w:rPr>
      </w:pPr>
      <w:proofErr w:type="spellStart"/>
      <w:r w:rsidRPr="00D0252A">
        <w:rPr>
          <w:rFonts w:ascii="Arial" w:hAnsi="Arial" w:cs="Arial"/>
          <w:sz w:val="24"/>
          <w:szCs w:val="24"/>
        </w:rPr>
        <w:t>Sources</w:t>
      </w:r>
      <w:proofErr w:type="spellEnd"/>
      <w:r w:rsidRPr="00D0252A">
        <w:rPr>
          <w:rFonts w:ascii="Arial" w:hAnsi="Arial" w:cs="Arial"/>
          <w:sz w:val="24"/>
          <w:szCs w:val="24"/>
        </w:rPr>
        <w:t xml:space="preserve"> of </w:t>
      </w:r>
      <w:proofErr w:type="spellStart"/>
      <w:r w:rsidRPr="00D0252A">
        <w:rPr>
          <w:rFonts w:ascii="Arial" w:hAnsi="Arial" w:cs="Arial"/>
          <w:sz w:val="24"/>
          <w:szCs w:val="24"/>
        </w:rPr>
        <w:t>information</w:t>
      </w:r>
      <w:proofErr w:type="spellEnd"/>
      <w:r w:rsidRPr="00D0252A">
        <w:rPr>
          <w:rFonts w:ascii="Arial" w:hAnsi="Arial" w:cs="Arial"/>
          <w:sz w:val="24"/>
          <w:szCs w:val="24"/>
        </w:rPr>
        <w:t xml:space="preserve"> on </w:t>
      </w:r>
      <w:proofErr w:type="spellStart"/>
      <w:r w:rsidRPr="00D0252A">
        <w:rPr>
          <w:rFonts w:ascii="Arial" w:hAnsi="Arial" w:cs="Arial"/>
          <w:sz w:val="24"/>
          <w:szCs w:val="24"/>
        </w:rPr>
        <w:t>European</w:t>
      </w:r>
      <w:proofErr w:type="spellEnd"/>
      <w:r w:rsidRPr="00D0252A">
        <w:rPr>
          <w:rFonts w:ascii="Arial" w:hAnsi="Arial" w:cs="Arial"/>
          <w:sz w:val="24"/>
          <w:szCs w:val="24"/>
        </w:rPr>
        <w:t xml:space="preserve"> </w:t>
      </w:r>
      <w:proofErr w:type="spellStart"/>
      <w:r w:rsidRPr="00D0252A">
        <w:rPr>
          <w:rFonts w:ascii="Arial" w:hAnsi="Arial" w:cs="Arial"/>
          <w:sz w:val="24"/>
          <w:szCs w:val="24"/>
        </w:rPr>
        <w:t>Funds</w:t>
      </w:r>
      <w:proofErr w:type="spellEnd"/>
      <w:r w:rsidRPr="00D0252A">
        <w:rPr>
          <w:rFonts w:ascii="Arial" w:hAnsi="Arial" w:cs="Arial"/>
          <w:sz w:val="24"/>
          <w:szCs w:val="24"/>
        </w:rPr>
        <w:t xml:space="preserve"> </w:t>
      </w:r>
      <w:proofErr w:type="spellStart"/>
      <w:r w:rsidRPr="00D0252A">
        <w:rPr>
          <w:rFonts w:ascii="Arial" w:hAnsi="Arial" w:cs="Arial"/>
          <w:sz w:val="24"/>
          <w:szCs w:val="24"/>
        </w:rPr>
        <w:t>are</w:t>
      </w:r>
      <w:proofErr w:type="spellEnd"/>
      <w:r w:rsidRPr="00D0252A">
        <w:rPr>
          <w:rFonts w:ascii="Arial" w:hAnsi="Arial" w:cs="Arial"/>
          <w:sz w:val="24"/>
          <w:szCs w:val="24"/>
        </w:rPr>
        <w:t xml:space="preserve"> </w:t>
      </w:r>
      <w:proofErr w:type="spellStart"/>
      <w:r w:rsidRPr="00D0252A">
        <w:rPr>
          <w:rFonts w:ascii="Arial" w:hAnsi="Arial" w:cs="Arial"/>
          <w:sz w:val="24"/>
          <w:szCs w:val="24"/>
        </w:rPr>
        <w:t>diverse</w:t>
      </w:r>
      <w:proofErr w:type="spellEnd"/>
      <w:r w:rsidRPr="00D0252A">
        <w:rPr>
          <w:rFonts w:ascii="Arial" w:hAnsi="Arial" w:cs="Arial"/>
          <w:sz w:val="24"/>
          <w:szCs w:val="24"/>
        </w:rPr>
        <w:t xml:space="preserve">, </w:t>
      </w:r>
      <w:proofErr w:type="spellStart"/>
      <w:r w:rsidRPr="00D0252A">
        <w:rPr>
          <w:rFonts w:ascii="Arial" w:hAnsi="Arial" w:cs="Arial"/>
          <w:sz w:val="24"/>
          <w:szCs w:val="24"/>
        </w:rPr>
        <w:t>yet</w:t>
      </w:r>
      <w:proofErr w:type="spellEnd"/>
      <w:r w:rsidRPr="00D0252A">
        <w:rPr>
          <w:rFonts w:ascii="Arial" w:hAnsi="Arial" w:cs="Arial"/>
          <w:sz w:val="24"/>
          <w:szCs w:val="24"/>
        </w:rPr>
        <w:t xml:space="preserve"> </w:t>
      </w:r>
      <w:proofErr w:type="spellStart"/>
      <w:r w:rsidRPr="00D0252A">
        <w:rPr>
          <w:rFonts w:ascii="Arial" w:hAnsi="Arial" w:cs="Arial"/>
          <w:sz w:val="24"/>
          <w:szCs w:val="24"/>
        </w:rPr>
        <w:t>their</w:t>
      </w:r>
      <w:proofErr w:type="spellEnd"/>
      <w:r w:rsidRPr="00D0252A">
        <w:rPr>
          <w:rFonts w:ascii="Arial" w:hAnsi="Arial" w:cs="Arial"/>
          <w:sz w:val="24"/>
          <w:szCs w:val="24"/>
        </w:rPr>
        <w:t xml:space="preserve"> </w:t>
      </w:r>
      <w:proofErr w:type="spellStart"/>
      <w:r w:rsidRPr="00D0252A">
        <w:rPr>
          <w:rFonts w:ascii="Arial" w:hAnsi="Arial" w:cs="Arial"/>
          <w:sz w:val="24"/>
          <w:szCs w:val="24"/>
        </w:rPr>
        <w:t>overall</w:t>
      </w:r>
      <w:proofErr w:type="spellEnd"/>
      <w:r w:rsidRPr="00D0252A">
        <w:rPr>
          <w:rFonts w:ascii="Arial" w:hAnsi="Arial" w:cs="Arial"/>
          <w:sz w:val="24"/>
          <w:szCs w:val="24"/>
        </w:rPr>
        <w:t xml:space="preserve"> </w:t>
      </w:r>
      <w:proofErr w:type="spellStart"/>
      <w:r w:rsidRPr="00D0252A">
        <w:rPr>
          <w:rFonts w:ascii="Arial" w:hAnsi="Arial" w:cs="Arial"/>
          <w:sz w:val="24"/>
          <w:szCs w:val="24"/>
        </w:rPr>
        <w:t>recognition</w:t>
      </w:r>
      <w:proofErr w:type="spellEnd"/>
      <w:r w:rsidRPr="00D0252A">
        <w:rPr>
          <w:rFonts w:ascii="Arial" w:hAnsi="Arial" w:cs="Arial"/>
          <w:sz w:val="24"/>
          <w:szCs w:val="24"/>
        </w:rPr>
        <w:t xml:space="preserve"> </w:t>
      </w:r>
      <w:proofErr w:type="spellStart"/>
      <w:r w:rsidRPr="00D0252A">
        <w:rPr>
          <w:rFonts w:ascii="Arial" w:hAnsi="Arial" w:cs="Arial"/>
          <w:sz w:val="24"/>
          <w:szCs w:val="24"/>
        </w:rPr>
        <w:t>remains</w:t>
      </w:r>
      <w:proofErr w:type="spellEnd"/>
      <w:r w:rsidRPr="00D0252A">
        <w:rPr>
          <w:rFonts w:ascii="Arial" w:hAnsi="Arial" w:cs="Arial"/>
          <w:sz w:val="24"/>
          <w:szCs w:val="24"/>
        </w:rPr>
        <w:t xml:space="preserve"> </w:t>
      </w:r>
      <w:proofErr w:type="spellStart"/>
      <w:r w:rsidRPr="00D0252A">
        <w:rPr>
          <w:rFonts w:ascii="Arial" w:hAnsi="Arial" w:cs="Arial"/>
          <w:sz w:val="24"/>
          <w:szCs w:val="24"/>
        </w:rPr>
        <w:t>limited</w:t>
      </w:r>
      <w:proofErr w:type="spellEnd"/>
      <w:r w:rsidRPr="00D0252A">
        <w:rPr>
          <w:rFonts w:ascii="Arial" w:hAnsi="Arial" w:cs="Arial"/>
          <w:sz w:val="24"/>
          <w:szCs w:val="24"/>
        </w:rPr>
        <w:t xml:space="preserve">. </w:t>
      </w:r>
      <w:proofErr w:type="spellStart"/>
      <w:r w:rsidRPr="00D0252A">
        <w:rPr>
          <w:rFonts w:ascii="Arial" w:hAnsi="Arial" w:cs="Arial"/>
          <w:sz w:val="24"/>
          <w:szCs w:val="24"/>
        </w:rPr>
        <w:t>This</w:t>
      </w:r>
      <w:proofErr w:type="spellEnd"/>
      <w:r w:rsidRPr="00D0252A">
        <w:rPr>
          <w:rFonts w:ascii="Arial" w:hAnsi="Arial" w:cs="Arial"/>
          <w:sz w:val="24"/>
          <w:szCs w:val="24"/>
        </w:rPr>
        <w:t xml:space="preserve"> </w:t>
      </w:r>
      <w:proofErr w:type="spellStart"/>
      <w:r w:rsidRPr="00D0252A">
        <w:rPr>
          <w:rFonts w:ascii="Arial" w:hAnsi="Arial" w:cs="Arial"/>
          <w:sz w:val="24"/>
          <w:szCs w:val="24"/>
        </w:rPr>
        <w:t>is</w:t>
      </w:r>
      <w:proofErr w:type="spellEnd"/>
      <w:r w:rsidRPr="00D0252A">
        <w:rPr>
          <w:rFonts w:ascii="Arial" w:hAnsi="Arial" w:cs="Arial"/>
          <w:sz w:val="24"/>
          <w:szCs w:val="24"/>
        </w:rPr>
        <w:t xml:space="preserve"> </w:t>
      </w:r>
      <w:proofErr w:type="spellStart"/>
      <w:r w:rsidRPr="00D0252A">
        <w:rPr>
          <w:rFonts w:ascii="Arial" w:hAnsi="Arial" w:cs="Arial"/>
          <w:sz w:val="24"/>
          <w:szCs w:val="24"/>
        </w:rPr>
        <w:t>particularly</w:t>
      </w:r>
      <w:proofErr w:type="spellEnd"/>
      <w:r w:rsidRPr="00D0252A">
        <w:rPr>
          <w:rFonts w:ascii="Arial" w:hAnsi="Arial" w:cs="Arial"/>
          <w:sz w:val="24"/>
          <w:szCs w:val="24"/>
        </w:rPr>
        <w:t xml:space="preserve"> </w:t>
      </w:r>
      <w:proofErr w:type="spellStart"/>
      <w:r w:rsidRPr="00D0252A">
        <w:rPr>
          <w:rFonts w:ascii="Arial" w:hAnsi="Arial" w:cs="Arial"/>
          <w:sz w:val="24"/>
          <w:szCs w:val="24"/>
        </w:rPr>
        <w:t>evident</w:t>
      </w:r>
      <w:proofErr w:type="spellEnd"/>
      <w:r w:rsidRPr="00D0252A">
        <w:rPr>
          <w:rFonts w:ascii="Arial" w:hAnsi="Arial" w:cs="Arial"/>
          <w:sz w:val="24"/>
          <w:szCs w:val="24"/>
        </w:rPr>
        <w:t xml:space="preserve"> in the </w:t>
      </w:r>
      <w:proofErr w:type="spellStart"/>
      <w:r w:rsidRPr="00D0252A">
        <w:rPr>
          <w:rFonts w:ascii="Arial" w:hAnsi="Arial" w:cs="Arial"/>
          <w:sz w:val="24"/>
          <w:szCs w:val="24"/>
        </w:rPr>
        <w:t>case</w:t>
      </w:r>
      <w:proofErr w:type="spellEnd"/>
      <w:r w:rsidRPr="00D0252A">
        <w:rPr>
          <w:rFonts w:ascii="Arial" w:hAnsi="Arial" w:cs="Arial"/>
          <w:sz w:val="24"/>
          <w:szCs w:val="24"/>
        </w:rPr>
        <w:t xml:space="preserve"> of the </w:t>
      </w:r>
      <w:proofErr w:type="spellStart"/>
      <w:r w:rsidRPr="00D0252A">
        <w:rPr>
          <w:rFonts w:ascii="Arial" w:hAnsi="Arial" w:cs="Arial"/>
          <w:sz w:val="24"/>
          <w:szCs w:val="24"/>
        </w:rPr>
        <w:t>European</w:t>
      </w:r>
      <w:proofErr w:type="spellEnd"/>
      <w:r w:rsidRPr="00D0252A">
        <w:rPr>
          <w:rFonts w:ascii="Arial" w:hAnsi="Arial" w:cs="Arial"/>
          <w:sz w:val="24"/>
          <w:szCs w:val="24"/>
        </w:rPr>
        <w:t xml:space="preserve"> </w:t>
      </w:r>
      <w:proofErr w:type="spellStart"/>
      <w:r w:rsidRPr="00D0252A">
        <w:rPr>
          <w:rFonts w:ascii="Arial" w:hAnsi="Arial" w:cs="Arial"/>
          <w:sz w:val="24"/>
          <w:szCs w:val="24"/>
        </w:rPr>
        <w:t>Funds</w:t>
      </w:r>
      <w:proofErr w:type="spellEnd"/>
      <w:r w:rsidRPr="00D0252A">
        <w:rPr>
          <w:rFonts w:ascii="Arial" w:hAnsi="Arial" w:cs="Arial"/>
          <w:sz w:val="24"/>
          <w:szCs w:val="24"/>
        </w:rPr>
        <w:t xml:space="preserve"> Portal: </w:t>
      </w:r>
      <w:proofErr w:type="spellStart"/>
      <w:r w:rsidRPr="00D0252A">
        <w:rPr>
          <w:rFonts w:ascii="Arial" w:hAnsi="Arial" w:cs="Arial"/>
          <w:sz w:val="24"/>
          <w:szCs w:val="24"/>
        </w:rPr>
        <w:t>nearly</w:t>
      </w:r>
      <w:proofErr w:type="spellEnd"/>
      <w:r w:rsidRPr="00D0252A">
        <w:rPr>
          <w:rFonts w:ascii="Arial" w:hAnsi="Arial" w:cs="Arial"/>
          <w:sz w:val="24"/>
          <w:szCs w:val="24"/>
        </w:rPr>
        <w:t xml:space="preserve"> half of </w:t>
      </w:r>
      <w:proofErr w:type="spellStart"/>
      <w:r w:rsidRPr="00D0252A">
        <w:rPr>
          <w:rFonts w:ascii="Arial" w:hAnsi="Arial" w:cs="Arial"/>
          <w:sz w:val="24"/>
          <w:szCs w:val="24"/>
        </w:rPr>
        <w:t>respondents</w:t>
      </w:r>
      <w:proofErr w:type="spellEnd"/>
      <w:r w:rsidRPr="00D0252A">
        <w:rPr>
          <w:rFonts w:ascii="Arial" w:hAnsi="Arial" w:cs="Arial"/>
          <w:sz w:val="24"/>
          <w:szCs w:val="24"/>
        </w:rPr>
        <w:t xml:space="preserve"> </w:t>
      </w:r>
      <w:proofErr w:type="spellStart"/>
      <w:r w:rsidRPr="00D0252A">
        <w:rPr>
          <w:rFonts w:ascii="Arial" w:hAnsi="Arial" w:cs="Arial"/>
          <w:sz w:val="24"/>
          <w:szCs w:val="24"/>
        </w:rPr>
        <w:t>have</w:t>
      </w:r>
      <w:proofErr w:type="spellEnd"/>
      <w:r w:rsidRPr="00D0252A">
        <w:rPr>
          <w:rFonts w:ascii="Arial" w:hAnsi="Arial" w:cs="Arial"/>
          <w:sz w:val="24"/>
          <w:szCs w:val="24"/>
        </w:rPr>
        <w:t xml:space="preserve"> not </w:t>
      </w:r>
      <w:proofErr w:type="spellStart"/>
      <w:r w:rsidRPr="00D0252A">
        <w:rPr>
          <w:rFonts w:ascii="Arial" w:hAnsi="Arial" w:cs="Arial"/>
          <w:sz w:val="24"/>
          <w:szCs w:val="24"/>
        </w:rPr>
        <w:t>heard</w:t>
      </w:r>
      <w:proofErr w:type="spellEnd"/>
      <w:r w:rsidRPr="00D0252A">
        <w:rPr>
          <w:rFonts w:ascii="Arial" w:hAnsi="Arial" w:cs="Arial"/>
          <w:sz w:val="24"/>
          <w:szCs w:val="24"/>
        </w:rPr>
        <w:t xml:space="preserve"> of </w:t>
      </w:r>
      <w:proofErr w:type="spellStart"/>
      <w:r w:rsidRPr="00D0252A">
        <w:rPr>
          <w:rFonts w:ascii="Arial" w:hAnsi="Arial" w:cs="Arial"/>
          <w:sz w:val="24"/>
          <w:szCs w:val="24"/>
        </w:rPr>
        <w:t>it</w:t>
      </w:r>
      <w:proofErr w:type="spellEnd"/>
      <w:r w:rsidRPr="00D0252A">
        <w:rPr>
          <w:rFonts w:ascii="Arial" w:hAnsi="Arial" w:cs="Arial"/>
          <w:sz w:val="24"/>
          <w:szCs w:val="24"/>
        </w:rPr>
        <w:t xml:space="preserve">, and </w:t>
      </w:r>
      <w:proofErr w:type="spellStart"/>
      <w:r w:rsidRPr="00D0252A">
        <w:rPr>
          <w:rFonts w:ascii="Arial" w:hAnsi="Arial" w:cs="Arial"/>
          <w:sz w:val="24"/>
          <w:szCs w:val="24"/>
        </w:rPr>
        <w:t>only</w:t>
      </w:r>
      <w:proofErr w:type="spellEnd"/>
      <w:r w:rsidRPr="00D0252A">
        <w:rPr>
          <w:rFonts w:ascii="Arial" w:hAnsi="Arial" w:cs="Arial"/>
          <w:sz w:val="24"/>
          <w:szCs w:val="24"/>
        </w:rPr>
        <w:t xml:space="preserve"> a small </w:t>
      </w:r>
      <w:proofErr w:type="spellStart"/>
      <w:r w:rsidRPr="00D0252A">
        <w:rPr>
          <w:rFonts w:ascii="Arial" w:hAnsi="Arial" w:cs="Arial"/>
          <w:sz w:val="24"/>
          <w:szCs w:val="24"/>
        </w:rPr>
        <w:t>proportion</w:t>
      </w:r>
      <w:proofErr w:type="spellEnd"/>
      <w:r w:rsidRPr="00D0252A">
        <w:rPr>
          <w:rFonts w:ascii="Arial" w:hAnsi="Arial" w:cs="Arial"/>
          <w:sz w:val="24"/>
          <w:szCs w:val="24"/>
        </w:rPr>
        <w:t xml:space="preserve"> </w:t>
      </w:r>
      <w:proofErr w:type="spellStart"/>
      <w:r w:rsidRPr="00D0252A">
        <w:rPr>
          <w:rFonts w:ascii="Arial" w:hAnsi="Arial" w:cs="Arial"/>
          <w:sz w:val="24"/>
          <w:szCs w:val="24"/>
        </w:rPr>
        <w:t>have</w:t>
      </w:r>
      <w:proofErr w:type="spellEnd"/>
      <w:r w:rsidRPr="00D0252A">
        <w:rPr>
          <w:rFonts w:ascii="Arial" w:hAnsi="Arial" w:cs="Arial"/>
          <w:sz w:val="24"/>
          <w:szCs w:val="24"/>
        </w:rPr>
        <w:t xml:space="preserve"> </w:t>
      </w:r>
      <w:proofErr w:type="spellStart"/>
      <w:r w:rsidRPr="00D0252A">
        <w:rPr>
          <w:rFonts w:ascii="Arial" w:hAnsi="Arial" w:cs="Arial"/>
          <w:sz w:val="24"/>
          <w:szCs w:val="24"/>
        </w:rPr>
        <w:t>used</w:t>
      </w:r>
      <w:proofErr w:type="spellEnd"/>
      <w:r w:rsidRPr="00D0252A">
        <w:rPr>
          <w:rFonts w:ascii="Arial" w:hAnsi="Arial" w:cs="Arial"/>
          <w:sz w:val="24"/>
          <w:szCs w:val="24"/>
        </w:rPr>
        <w:t xml:space="preserve"> </w:t>
      </w:r>
      <w:proofErr w:type="spellStart"/>
      <w:r w:rsidRPr="00D0252A">
        <w:rPr>
          <w:rFonts w:ascii="Arial" w:hAnsi="Arial" w:cs="Arial"/>
          <w:sz w:val="24"/>
          <w:szCs w:val="24"/>
        </w:rPr>
        <w:t>it</w:t>
      </w:r>
      <w:proofErr w:type="spellEnd"/>
      <w:r w:rsidRPr="00D0252A">
        <w:rPr>
          <w:rFonts w:ascii="Arial" w:hAnsi="Arial" w:cs="Arial"/>
          <w:sz w:val="24"/>
          <w:szCs w:val="24"/>
        </w:rPr>
        <w:t xml:space="preserve"> </w:t>
      </w:r>
      <w:proofErr w:type="spellStart"/>
      <w:r w:rsidRPr="00D0252A">
        <w:rPr>
          <w:rFonts w:ascii="Arial" w:hAnsi="Arial" w:cs="Arial"/>
          <w:sz w:val="24"/>
          <w:szCs w:val="24"/>
        </w:rPr>
        <w:t>directly</w:t>
      </w:r>
      <w:proofErr w:type="spellEnd"/>
      <w:r w:rsidRPr="00D0252A">
        <w:rPr>
          <w:rFonts w:ascii="Arial" w:hAnsi="Arial" w:cs="Arial"/>
          <w:sz w:val="24"/>
          <w:szCs w:val="24"/>
        </w:rPr>
        <w:t xml:space="preserve">. </w:t>
      </w:r>
      <w:proofErr w:type="spellStart"/>
      <w:r w:rsidRPr="00D0252A">
        <w:rPr>
          <w:rFonts w:ascii="Arial" w:hAnsi="Arial" w:cs="Arial"/>
          <w:sz w:val="24"/>
          <w:szCs w:val="24"/>
        </w:rPr>
        <w:t>Similarly</w:t>
      </w:r>
      <w:proofErr w:type="spellEnd"/>
      <w:r w:rsidRPr="00D0252A">
        <w:rPr>
          <w:rFonts w:ascii="Arial" w:hAnsi="Arial" w:cs="Arial"/>
          <w:sz w:val="24"/>
          <w:szCs w:val="24"/>
        </w:rPr>
        <w:t xml:space="preserve"> </w:t>
      </w:r>
      <w:proofErr w:type="spellStart"/>
      <w:r w:rsidRPr="00D0252A">
        <w:rPr>
          <w:rFonts w:ascii="Arial" w:hAnsi="Arial" w:cs="Arial"/>
          <w:sz w:val="24"/>
          <w:szCs w:val="24"/>
        </w:rPr>
        <w:t>low</w:t>
      </w:r>
      <w:proofErr w:type="spellEnd"/>
      <w:r w:rsidRPr="00D0252A">
        <w:rPr>
          <w:rFonts w:ascii="Arial" w:hAnsi="Arial" w:cs="Arial"/>
          <w:sz w:val="24"/>
          <w:szCs w:val="24"/>
        </w:rPr>
        <w:t xml:space="preserve"> </w:t>
      </w:r>
      <w:proofErr w:type="spellStart"/>
      <w:r w:rsidRPr="00D0252A">
        <w:rPr>
          <w:rFonts w:ascii="Arial" w:hAnsi="Arial" w:cs="Arial"/>
          <w:sz w:val="24"/>
          <w:szCs w:val="24"/>
        </w:rPr>
        <w:t>levels</w:t>
      </w:r>
      <w:proofErr w:type="spellEnd"/>
      <w:r w:rsidRPr="00D0252A">
        <w:rPr>
          <w:rFonts w:ascii="Arial" w:hAnsi="Arial" w:cs="Arial"/>
          <w:sz w:val="24"/>
          <w:szCs w:val="24"/>
        </w:rPr>
        <w:t xml:space="preserve"> of </w:t>
      </w:r>
      <w:proofErr w:type="spellStart"/>
      <w:r w:rsidRPr="00D0252A">
        <w:rPr>
          <w:rFonts w:ascii="Arial" w:hAnsi="Arial" w:cs="Arial"/>
          <w:sz w:val="24"/>
          <w:szCs w:val="24"/>
        </w:rPr>
        <w:t>use</w:t>
      </w:r>
      <w:proofErr w:type="spellEnd"/>
      <w:r w:rsidRPr="00D0252A">
        <w:rPr>
          <w:rFonts w:ascii="Arial" w:hAnsi="Arial" w:cs="Arial"/>
          <w:sz w:val="24"/>
          <w:szCs w:val="24"/>
        </w:rPr>
        <w:t xml:space="preserve"> </w:t>
      </w:r>
      <w:proofErr w:type="spellStart"/>
      <w:r w:rsidRPr="00D0252A">
        <w:rPr>
          <w:rFonts w:ascii="Arial" w:hAnsi="Arial" w:cs="Arial"/>
          <w:sz w:val="24"/>
          <w:szCs w:val="24"/>
        </w:rPr>
        <w:t>are</w:t>
      </w:r>
      <w:proofErr w:type="spellEnd"/>
      <w:r w:rsidRPr="00D0252A">
        <w:rPr>
          <w:rFonts w:ascii="Arial" w:hAnsi="Arial" w:cs="Arial"/>
          <w:sz w:val="24"/>
          <w:szCs w:val="24"/>
        </w:rPr>
        <w:t xml:space="preserve"> </w:t>
      </w:r>
      <w:proofErr w:type="spellStart"/>
      <w:r w:rsidRPr="00D0252A">
        <w:rPr>
          <w:rFonts w:ascii="Arial" w:hAnsi="Arial" w:cs="Arial"/>
          <w:sz w:val="24"/>
          <w:szCs w:val="24"/>
        </w:rPr>
        <w:t>observed</w:t>
      </w:r>
      <w:proofErr w:type="spellEnd"/>
      <w:r w:rsidRPr="00D0252A">
        <w:rPr>
          <w:rFonts w:ascii="Arial" w:hAnsi="Arial" w:cs="Arial"/>
          <w:sz w:val="24"/>
          <w:szCs w:val="24"/>
        </w:rPr>
        <w:t xml:space="preserve"> for the </w:t>
      </w:r>
      <w:proofErr w:type="spellStart"/>
      <w:r w:rsidRPr="00D0252A">
        <w:rPr>
          <w:rFonts w:ascii="Arial" w:hAnsi="Arial" w:cs="Arial"/>
          <w:sz w:val="24"/>
          <w:szCs w:val="24"/>
        </w:rPr>
        <w:t>European</w:t>
      </w:r>
      <w:proofErr w:type="spellEnd"/>
      <w:r w:rsidRPr="00D0252A">
        <w:rPr>
          <w:rFonts w:ascii="Arial" w:hAnsi="Arial" w:cs="Arial"/>
          <w:sz w:val="24"/>
          <w:szCs w:val="24"/>
        </w:rPr>
        <w:t xml:space="preserve"> </w:t>
      </w:r>
      <w:proofErr w:type="spellStart"/>
      <w:r w:rsidRPr="00D0252A">
        <w:rPr>
          <w:rFonts w:ascii="Arial" w:hAnsi="Arial" w:cs="Arial"/>
          <w:sz w:val="24"/>
          <w:szCs w:val="24"/>
        </w:rPr>
        <w:t>Funds</w:t>
      </w:r>
      <w:proofErr w:type="spellEnd"/>
      <w:r w:rsidRPr="00D0252A">
        <w:rPr>
          <w:rFonts w:ascii="Arial" w:hAnsi="Arial" w:cs="Arial"/>
          <w:sz w:val="24"/>
          <w:szCs w:val="24"/>
        </w:rPr>
        <w:t xml:space="preserve"> Information </w:t>
      </w:r>
      <w:proofErr w:type="spellStart"/>
      <w:r w:rsidRPr="00D0252A">
        <w:rPr>
          <w:rFonts w:ascii="Arial" w:hAnsi="Arial" w:cs="Arial"/>
          <w:sz w:val="24"/>
          <w:szCs w:val="24"/>
        </w:rPr>
        <w:t>Points</w:t>
      </w:r>
      <w:proofErr w:type="spellEnd"/>
      <w:r w:rsidRPr="00D0252A">
        <w:rPr>
          <w:rFonts w:ascii="Arial" w:hAnsi="Arial" w:cs="Arial"/>
          <w:sz w:val="24"/>
          <w:szCs w:val="24"/>
        </w:rPr>
        <w:t>.</w:t>
      </w:r>
    </w:p>
    <w:p w14:paraId="23A4E5FB" w14:textId="77777777" w:rsidR="00D64FC6" w:rsidRPr="000A5F53" w:rsidRDefault="00D64FC6" w:rsidP="00D64FC6">
      <w:pPr>
        <w:spacing w:before="240" w:line="360" w:lineRule="auto"/>
        <w:rPr>
          <w:rFonts w:ascii="Arial" w:hAnsi="Arial" w:cs="Arial"/>
          <w:sz w:val="24"/>
          <w:szCs w:val="24"/>
        </w:rPr>
      </w:pPr>
      <w:r w:rsidRPr="000A5F53">
        <w:rPr>
          <w:rFonts w:ascii="Arial" w:hAnsi="Arial" w:cs="Arial"/>
          <w:sz w:val="24"/>
          <w:szCs w:val="24"/>
        </w:rPr>
        <w:t xml:space="preserve">In the </w:t>
      </w:r>
      <w:proofErr w:type="spellStart"/>
      <w:r w:rsidRPr="000A5F53">
        <w:rPr>
          <w:rFonts w:ascii="Arial" w:hAnsi="Arial" w:cs="Arial"/>
          <w:sz w:val="24"/>
          <w:szCs w:val="24"/>
        </w:rPr>
        <w:t>area</w:t>
      </w:r>
      <w:proofErr w:type="spellEnd"/>
      <w:r w:rsidRPr="000A5F53">
        <w:rPr>
          <w:rFonts w:ascii="Arial" w:hAnsi="Arial" w:cs="Arial"/>
          <w:sz w:val="24"/>
          <w:szCs w:val="24"/>
        </w:rPr>
        <w:t xml:space="preserve"> of </w:t>
      </w:r>
      <w:proofErr w:type="spellStart"/>
      <w:r w:rsidRPr="000A5F53">
        <w:rPr>
          <w:rFonts w:ascii="Arial" w:hAnsi="Arial" w:cs="Arial"/>
          <w:sz w:val="24"/>
          <w:szCs w:val="24"/>
        </w:rPr>
        <w:t>information</w:t>
      </w:r>
      <w:proofErr w:type="spellEnd"/>
      <w:r w:rsidRPr="000A5F53">
        <w:rPr>
          <w:rFonts w:ascii="Arial" w:hAnsi="Arial" w:cs="Arial"/>
          <w:sz w:val="24"/>
          <w:szCs w:val="24"/>
        </w:rPr>
        <w:t xml:space="preserve"> </w:t>
      </w:r>
      <w:proofErr w:type="spellStart"/>
      <w:r w:rsidRPr="000A5F53">
        <w:rPr>
          <w:rFonts w:ascii="Arial" w:hAnsi="Arial" w:cs="Arial"/>
          <w:sz w:val="24"/>
          <w:szCs w:val="24"/>
        </w:rPr>
        <w:t>seeking</w:t>
      </w:r>
      <w:proofErr w:type="spellEnd"/>
      <w:r w:rsidRPr="000A5F53">
        <w:rPr>
          <w:rFonts w:ascii="Arial" w:hAnsi="Arial" w:cs="Arial"/>
          <w:sz w:val="24"/>
          <w:szCs w:val="24"/>
        </w:rPr>
        <w:t xml:space="preserve"> and </w:t>
      </w:r>
      <w:proofErr w:type="spellStart"/>
      <w:r w:rsidRPr="000A5F53">
        <w:rPr>
          <w:rFonts w:ascii="Arial" w:hAnsi="Arial" w:cs="Arial"/>
          <w:sz w:val="24"/>
          <w:szCs w:val="24"/>
        </w:rPr>
        <w:t>message</w:t>
      </w:r>
      <w:proofErr w:type="spellEnd"/>
      <w:r w:rsidRPr="000A5F53">
        <w:rPr>
          <w:rFonts w:ascii="Arial" w:hAnsi="Arial" w:cs="Arial"/>
          <w:sz w:val="24"/>
          <w:szCs w:val="24"/>
        </w:rPr>
        <w:t xml:space="preserve"> </w:t>
      </w:r>
      <w:proofErr w:type="spellStart"/>
      <w:r w:rsidRPr="000A5F53">
        <w:rPr>
          <w:rFonts w:ascii="Arial" w:hAnsi="Arial" w:cs="Arial"/>
          <w:sz w:val="24"/>
          <w:szCs w:val="24"/>
        </w:rPr>
        <w:t>evaluation</w:t>
      </w:r>
      <w:proofErr w:type="spellEnd"/>
      <w:r w:rsidRPr="000A5F53">
        <w:rPr>
          <w:rFonts w:ascii="Arial" w:hAnsi="Arial" w:cs="Arial"/>
          <w:sz w:val="24"/>
          <w:szCs w:val="24"/>
        </w:rPr>
        <w:t xml:space="preserve">, </w:t>
      </w:r>
      <w:proofErr w:type="spellStart"/>
      <w:r w:rsidRPr="000A5F53">
        <w:rPr>
          <w:rFonts w:ascii="Arial" w:hAnsi="Arial" w:cs="Arial"/>
          <w:sz w:val="24"/>
          <w:szCs w:val="24"/>
        </w:rPr>
        <w:t>differences</w:t>
      </w:r>
      <w:proofErr w:type="spellEnd"/>
      <w:r w:rsidRPr="000A5F53">
        <w:rPr>
          <w:rFonts w:ascii="Arial" w:hAnsi="Arial" w:cs="Arial"/>
          <w:sz w:val="24"/>
          <w:szCs w:val="24"/>
        </w:rPr>
        <w:t xml:space="preserve"> </w:t>
      </w:r>
      <w:proofErr w:type="spellStart"/>
      <w:r w:rsidRPr="000A5F53">
        <w:rPr>
          <w:rFonts w:ascii="Arial" w:hAnsi="Arial" w:cs="Arial"/>
          <w:sz w:val="24"/>
          <w:szCs w:val="24"/>
        </w:rPr>
        <w:t>are</w:t>
      </w:r>
      <w:proofErr w:type="spellEnd"/>
      <w:r w:rsidRPr="000A5F53">
        <w:rPr>
          <w:rFonts w:ascii="Arial" w:hAnsi="Arial" w:cs="Arial"/>
          <w:sz w:val="24"/>
          <w:szCs w:val="24"/>
        </w:rPr>
        <w:t xml:space="preserve"> </w:t>
      </w:r>
      <w:proofErr w:type="spellStart"/>
      <w:r w:rsidRPr="000A5F53">
        <w:rPr>
          <w:rFonts w:ascii="Arial" w:hAnsi="Arial" w:cs="Arial"/>
          <w:sz w:val="24"/>
          <w:szCs w:val="24"/>
        </w:rPr>
        <w:t>evident</w:t>
      </w:r>
      <w:proofErr w:type="spellEnd"/>
      <w:r w:rsidRPr="000A5F53">
        <w:rPr>
          <w:rFonts w:ascii="Arial" w:hAnsi="Arial" w:cs="Arial"/>
          <w:sz w:val="24"/>
          <w:szCs w:val="24"/>
        </w:rPr>
        <w:t xml:space="preserve"> </w:t>
      </w:r>
      <w:proofErr w:type="spellStart"/>
      <w:r w:rsidRPr="000A5F53">
        <w:rPr>
          <w:rFonts w:ascii="Arial" w:hAnsi="Arial" w:cs="Arial"/>
          <w:sz w:val="24"/>
          <w:szCs w:val="24"/>
        </w:rPr>
        <w:t>depending</w:t>
      </w:r>
      <w:proofErr w:type="spellEnd"/>
      <w:r w:rsidRPr="000A5F53">
        <w:rPr>
          <w:rFonts w:ascii="Arial" w:hAnsi="Arial" w:cs="Arial"/>
          <w:sz w:val="24"/>
          <w:szCs w:val="24"/>
        </w:rPr>
        <w:t xml:space="preserve"> on </w:t>
      </w:r>
      <w:proofErr w:type="spellStart"/>
      <w:r w:rsidRPr="000A5F53">
        <w:rPr>
          <w:rFonts w:ascii="Arial" w:hAnsi="Arial" w:cs="Arial"/>
          <w:sz w:val="24"/>
          <w:szCs w:val="24"/>
        </w:rPr>
        <w:t>age</w:t>
      </w:r>
      <w:proofErr w:type="spellEnd"/>
      <w:r w:rsidRPr="000A5F53">
        <w:rPr>
          <w:rFonts w:ascii="Arial" w:hAnsi="Arial" w:cs="Arial"/>
          <w:sz w:val="24"/>
          <w:szCs w:val="24"/>
        </w:rPr>
        <w:t xml:space="preserve">, </w:t>
      </w:r>
      <w:proofErr w:type="spellStart"/>
      <w:r w:rsidRPr="000A5F53">
        <w:rPr>
          <w:rFonts w:ascii="Arial" w:hAnsi="Arial" w:cs="Arial"/>
          <w:sz w:val="24"/>
          <w:szCs w:val="24"/>
        </w:rPr>
        <w:t>education</w:t>
      </w:r>
      <w:proofErr w:type="spellEnd"/>
      <w:r w:rsidRPr="000A5F53">
        <w:rPr>
          <w:rFonts w:ascii="Arial" w:hAnsi="Arial" w:cs="Arial"/>
          <w:sz w:val="24"/>
          <w:szCs w:val="24"/>
        </w:rPr>
        <w:t xml:space="preserve"> </w:t>
      </w:r>
      <w:proofErr w:type="spellStart"/>
      <w:r w:rsidRPr="000A5F53">
        <w:rPr>
          <w:rFonts w:ascii="Arial" w:hAnsi="Arial" w:cs="Arial"/>
          <w:sz w:val="24"/>
          <w:szCs w:val="24"/>
        </w:rPr>
        <w:t>level</w:t>
      </w:r>
      <w:proofErr w:type="spellEnd"/>
      <w:r w:rsidRPr="000A5F53">
        <w:rPr>
          <w:rFonts w:ascii="Arial" w:hAnsi="Arial" w:cs="Arial"/>
          <w:sz w:val="24"/>
          <w:szCs w:val="24"/>
        </w:rPr>
        <w:t xml:space="preserve">, and place of </w:t>
      </w:r>
      <w:proofErr w:type="spellStart"/>
      <w:r w:rsidRPr="000A5F53">
        <w:rPr>
          <w:rFonts w:ascii="Arial" w:hAnsi="Arial" w:cs="Arial"/>
          <w:sz w:val="24"/>
          <w:szCs w:val="24"/>
        </w:rPr>
        <w:t>residence</w:t>
      </w:r>
      <w:proofErr w:type="spellEnd"/>
      <w:r w:rsidRPr="000A5F53">
        <w:rPr>
          <w:rFonts w:ascii="Arial" w:hAnsi="Arial" w:cs="Arial"/>
          <w:sz w:val="24"/>
          <w:szCs w:val="24"/>
        </w:rPr>
        <w:t xml:space="preserve">. </w:t>
      </w:r>
      <w:proofErr w:type="spellStart"/>
      <w:r w:rsidRPr="000A5F53">
        <w:rPr>
          <w:rFonts w:ascii="Arial" w:hAnsi="Arial" w:cs="Arial"/>
          <w:sz w:val="24"/>
          <w:szCs w:val="24"/>
        </w:rPr>
        <w:t>Younger</w:t>
      </w:r>
      <w:proofErr w:type="spellEnd"/>
      <w:r w:rsidRPr="000A5F53">
        <w:rPr>
          <w:rFonts w:ascii="Arial" w:hAnsi="Arial" w:cs="Arial"/>
          <w:sz w:val="24"/>
          <w:szCs w:val="24"/>
        </w:rPr>
        <w:t xml:space="preserve"> </w:t>
      </w:r>
      <w:proofErr w:type="spellStart"/>
      <w:r w:rsidRPr="000A5F53">
        <w:rPr>
          <w:rFonts w:ascii="Arial" w:hAnsi="Arial" w:cs="Arial"/>
          <w:sz w:val="24"/>
          <w:szCs w:val="24"/>
        </w:rPr>
        <w:t>respondents</w:t>
      </w:r>
      <w:proofErr w:type="spellEnd"/>
      <w:r w:rsidRPr="000A5F53">
        <w:rPr>
          <w:rFonts w:ascii="Arial" w:hAnsi="Arial" w:cs="Arial"/>
          <w:sz w:val="24"/>
          <w:szCs w:val="24"/>
        </w:rPr>
        <w:t xml:space="preserve"> </w:t>
      </w:r>
      <w:proofErr w:type="spellStart"/>
      <w:r w:rsidRPr="000A5F53">
        <w:rPr>
          <w:rFonts w:ascii="Arial" w:hAnsi="Arial" w:cs="Arial"/>
          <w:sz w:val="24"/>
          <w:szCs w:val="24"/>
        </w:rPr>
        <w:t>more</w:t>
      </w:r>
      <w:proofErr w:type="spellEnd"/>
      <w:r w:rsidRPr="000A5F53">
        <w:rPr>
          <w:rFonts w:ascii="Arial" w:hAnsi="Arial" w:cs="Arial"/>
          <w:sz w:val="24"/>
          <w:szCs w:val="24"/>
        </w:rPr>
        <w:t xml:space="preserve"> </w:t>
      </w:r>
      <w:proofErr w:type="spellStart"/>
      <w:r w:rsidRPr="000A5F53">
        <w:rPr>
          <w:rFonts w:ascii="Arial" w:hAnsi="Arial" w:cs="Arial"/>
          <w:sz w:val="24"/>
          <w:szCs w:val="24"/>
        </w:rPr>
        <w:t>frequently</w:t>
      </w:r>
      <w:proofErr w:type="spellEnd"/>
      <w:r w:rsidRPr="000A5F53">
        <w:rPr>
          <w:rFonts w:ascii="Arial" w:hAnsi="Arial" w:cs="Arial"/>
          <w:sz w:val="24"/>
          <w:szCs w:val="24"/>
        </w:rPr>
        <w:t xml:space="preserve"> </w:t>
      </w:r>
      <w:proofErr w:type="spellStart"/>
      <w:r w:rsidRPr="000A5F53">
        <w:rPr>
          <w:rFonts w:ascii="Arial" w:hAnsi="Arial" w:cs="Arial"/>
          <w:sz w:val="24"/>
          <w:szCs w:val="24"/>
        </w:rPr>
        <w:t>use</w:t>
      </w:r>
      <w:proofErr w:type="spellEnd"/>
      <w:r w:rsidRPr="000A5F53">
        <w:rPr>
          <w:rFonts w:ascii="Arial" w:hAnsi="Arial" w:cs="Arial"/>
          <w:sz w:val="24"/>
          <w:szCs w:val="24"/>
        </w:rPr>
        <w:t xml:space="preserve"> </w:t>
      </w:r>
      <w:proofErr w:type="spellStart"/>
      <w:r w:rsidRPr="000A5F53">
        <w:rPr>
          <w:rFonts w:ascii="Arial" w:hAnsi="Arial" w:cs="Arial"/>
          <w:sz w:val="24"/>
          <w:szCs w:val="24"/>
        </w:rPr>
        <w:t>digital</w:t>
      </w:r>
      <w:proofErr w:type="spellEnd"/>
      <w:r w:rsidRPr="000A5F53">
        <w:rPr>
          <w:rFonts w:ascii="Arial" w:hAnsi="Arial" w:cs="Arial"/>
          <w:sz w:val="24"/>
          <w:szCs w:val="24"/>
        </w:rPr>
        <w:t xml:space="preserve"> media and the Internet, </w:t>
      </w:r>
      <w:proofErr w:type="spellStart"/>
      <w:r w:rsidRPr="000A5F53">
        <w:rPr>
          <w:rFonts w:ascii="Arial" w:hAnsi="Arial" w:cs="Arial"/>
          <w:sz w:val="24"/>
          <w:szCs w:val="24"/>
        </w:rPr>
        <w:t>whereas</w:t>
      </w:r>
      <w:proofErr w:type="spellEnd"/>
      <w:r w:rsidRPr="000A5F53">
        <w:rPr>
          <w:rFonts w:ascii="Arial" w:hAnsi="Arial" w:cs="Arial"/>
          <w:sz w:val="24"/>
          <w:szCs w:val="24"/>
        </w:rPr>
        <w:t xml:space="preserve"> </w:t>
      </w:r>
      <w:proofErr w:type="spellStart"/>
      <w:r w:rsidRPr="000A5F53">
        <w:rPr>
          <w:rFonts w:ascii="Arial" w:hAnsi="Arial" w:cs="Arial"/>
          <w:sz w:val="24"/>
          <w:szCs w:val="24"/>
        </w:rPr>
        <w:t>older</w:t>
      </w:r>
      <w:proofErr w:type="spellEnd"/>
      <w:r w:rsidRPr="000A5F53">
        <w:rPr>
          <w:rFonts w:ascii="Arial" w:hAnsi="Arial" w:cs="Arial"/>
          <w:sz w:val="24"/>
          <w:szCs w:val="24"/>
        </w:rPr>
        <w:t xml:space="preserve"> </w:t>
      </w:r>
      <w:proofErr w:type="spellStart"/>
      <w:r w:rsidRPr="000A5F53">
        <w:rPr>
          <w:rFonts w:ascii="Arial" w:hAnsi="Arial" w:cs="Arial"/>
          <w:sz w:val="24"/>
          <w:szCs w:val="24"/>
        </w:rPr>
        <w:t>individuals</w:t>
      </w:r>
      <w:proofErr w:type="spellEnd"/>
      <w:r w:rsidRPr="000A5F53">
        <w:rPr>
          <w:rFonts w:ascii="Arial" w:hAnsi="Arial" w:cs="Arial"/>
          <w:sz w:val="24"/>
          <w:szCs w:val="24"/>
        </w:rPr>
        <w:t xml:space="preserve"> and </w:t>
      </w:r>
      <w:proofErr w:type="spellStart"/>
      <w:r w:rsidRPr="000A5F53">
        <w:rPr>
          <w:rFonts w:ascii="Arial" w:hAnsi="Arial" w:cs="Arial"/>
          <w:sz w:val="24"/>
          <w:szCs w:val="24"/>
        </w:rPr>
        <w:t>residents</w:t>
      </w:r>
      <w:proofErr w:type="spellEnd"/>
      <w:r w:rsidRPr="000A5F53">
        <w:rPr>
          <w:rFonts w:ascii="Arial" w:hAnsi="Arial" w:cs="Arial"/>
          <w:sz w:val="24"/>
          <w:szCs w:val="24"/>
        </w:rPr>
        <w:t xml:space="preserve"> of </w:t>
      </w:r>
      <w:proofErr w:type="spellStart"/>
      <w:r w:rsidRPr="000A5F53">
        <w:rPr>
          <w:rFonts w:ascii="Arial" w:hAnsi="Arial" w:cs="Arial"/>
          <w:sz w:val="24"/>
          <w:szCs w:val="24"/>
        </w:rPr>
        <w:t>smaller</w:t>
      </w:r>
      <w:proofErr w:type="spellEnd"/>
      <w:r w:rsidRPr="000A5F53">
        <w:rPr>
          <w:rFonts w:ascii="Arial" w:hAnsi="Arial" w:cs="Arial"/>
          <w:sz w:val="24"/>
          <w:szCs w:val="24"/>
        </w:rPr>
        <w:t xml:space="preserve"> </w:t>
      </w:r>
      <w:proofErr w:type="spellStart"/>
      <w:r w:rsidRPr="000A5F53">
        <w:rPr>
          <w:rFonts w:ascii="Arial" w:hAnsi="Arial" w:cs="Arial"/>
          <w:sz w:val="24"/>
          <w:szCs w:val="24"/>
        </w:rPr>
        <w:t>localities</w:t>
      </w:r>
      <w:proofErr w:type="spellEnd"/>
      <w:r w:rsidRPr="000A5F53">
        <w:rPr>
          <w:rFonts w:ascii="Arial" w:hAnsi="Arial" w:cs="Arial"/>
          <w:sz w:val="24"/>
          <w:szCs w:val="24"/>
        </w:rPr>
        <w:t xml:space="preserve"> </w:t>
      </w:r>
      <w:proofErr w:type="spellStart"/>
      <w:r w:rsidRPr="000A5F53">
        <w:rPr>
          <w:rFonts w:ascii="Arial" w:hAnsi="Arial" w:cs="Arial"/>
          <w:sz w:val="24"/>
          <w:szCs w:val="24"/>
        </w:rPr>
        <w:t>rely</w:t>
      </w:r>
      <w:proofErr w:type="spellEnd"/>
      <w:r w:rsidRPr="000A5F53">
        <w:rPr>
          <w:rFonts w:ascii="Arial" w:hAnsi="Arial" w:cs="Arial"/>
          <w:sz w:val="24"/>
          <w:szCs w:val="24"/>
        </w:rPr>
        <w:t xml:space="preserve"> </w:t>
      </w:r>
      <w:proofErr w:type="spellStart"/>
      <w:r w:rsidRPr="000A5F53">
        <w:rPr>
          <w:rFonts w:ascii="Arial" w:hAnsi="Arial" w:cs="Arial"/>
          <w:sz w:val="24"/>
          <w:szCs w:val="24"/>
        </w:rPr>
        <w:t>more</w:t>
      </w:r>
      <w:proofErr w:type="spellEnd"/>
      <w:r w:rsidRPr="000A5F53">
        <w:rPr>
          <w:rFonts w:ascii="Arial" w:hAnsi="Arial" w:cs="Arial"/>
          <w:sz w:val="24"/>
          <w:szCs w:val="24"/>
        </w:rPr>
        <w:t xml:space="preserve"> on </w:t>
      </w:r>
      <w:proofErr w:type="spellStart"/>
      <w:r w:rsidRPr="000A5F53">
        <w:rPr>
          <w:rFonts w:ascii="Arial" w:hAnsi="Arial" w:cs="Arial"/>
          <w:sz w:val="24"/>
          <w:szCs w:val="24"/>
        </w:rPr>
        <w:t>traditional</w:t>
      </w:r>
      <w:proofErr w:type="spellEnd"/>
      <w:r w:rsidRPr="000A5F53">
        <w:rPr>
          <w:rFonts w:ascii="Arial" w:hAnsi="Arial" w:cs="Arial"/>
          <w:sz w:val="24"/>
          <w:szCs w:val="24"/>
        </w:rPr>
        <w:t xml:space="preserve"> </w:t>
      </w:r>
      <w:proofErr w:type="spellStart"/>
      <w:r w:rsidRPr="000A5F53">
        <w:rPr>
          <w:rFonts w:ascii="Arial" w:hAnsi="Arial" w:cs="Arial"/>
          <w:sz w:val="24"/>
          <w:szCs w:val="24"/>
        </w:rPr>
        <w:t>channels</w:t>
      </w:r>
      <w:proofErr w:type="spellEnd"/>
      <w:r w:rsidRPr="000A5F53">
        <w:rPr>
          <w:rFonts w:ascii="Arial" w:hAnsi="Arial" w:cs="Arial"/>
          <w:sz w:val="24"/>
          <w:szCs w:val="24"/>
        </w:rPr>
        <w:t xml:space="preserve">. The </w:t>
      </w:r>
      <w:proofErr w:type="spellStart"/>
      <w:r w:rsidRPr="000A5F53">
        <w:rPr>
          <w:rFonts w:ascii="Arial" w:hAnsi="Arial" w:cs="Arial"/>
          <w:sz w:val="24"/>
          <w:szCs w:val="24"/>
        </w:rPr>
        <w:t>overall</w:t>
      </w:r>
      <w:proofErr w:type="spellEnd"/>
      <w:r w:rsidRPr="000A5F53">
        <w:rPr>
          <w:rFonts w:ascii="Arial" w:hAnsi="Arial" w:cs="Arial"/>
          <w:sz w:val="24"/>
          <w:szCs w:val="24"/>
        </w:rPr>
        <w:t xml:space="preserve"> </w:t>
      </w:r>
      <w:proofErr w:type="spellStart"/>
      <w:r w:rsidRPr="000A5F53">
        <w:rPr>
          <w:rFonts w:ascii="Arial" w:hAnsi="Arial" w:cs="Arial"/>
          <w:sz w:val="24"/>
          <w:szCs w:val="24"/>
        </w:rPr>
        <w:t>assessment</w:t>
      </w:r>
      <w:proofErr w:type="spellEnd"/>
      <w:r w:rsidRPr="000A5F53">
        <w:rPr>
          <w:rFonts w:ascii="Arial" w:hAnsi="Arial" w:cs="Arial"/>
          <w:sz w:val="24"/>
          <w:szCs w:val="24"/>
        </w:rPr>
        <w:t xml:space="preserve"> of the </w:t>
      </w:r>
      <w:proofErr w:type="spellStart"/>
      <w:r w:rsidRPr="000A5F53">
        <w:rPr>
          <w:rFonts w:ascii="Arial" w:hAnsi="Arial" w:cs="Arial"/>
          <w:sz w:val="24"/>
          <w:szCs w:val="24"/>
        </w:rPr>
        <w:t>quality</w:t>
      </w:r>
      <w:proofErr w:type="spellEnd"/>
      <w:r w:rsidRPr="000A5F53">
        <w:rPr>
          <w:rFonts w:ascii="Arial" w:hAnsi="Arial" w:cs="Arial"/>
          <w:sz w:val="24"/>
          <w:szCs w:val="24"/>
        </w:rPr>
        <w:t xml:space="preserve"> of </w:t>
      </w:r>
      <w:proofErr w:type="spellStart"/>
      <w:r w:rsidRPr="000A5F53">
        <w:rPr>
          <w:rFonts w:ascii="Arial" w:hAnsi="Arial" w:cs="Arial"/>
          <w:sz w:val="24"/>
          <w:szCs w:val="24"/>
        </w:rPr>
        <w:t>communication</w:t>
      </w:r>
      <w:proofErr w:type="spellEnd"/>
      <w:r w:rsidRPr="000A5F53">
        <w:rPr>
          <w:rFonts w:ascii="Arial" w:hAnsi="Arial" w:cs="Arial"/>
          <w:sz w:val="24"/>
          <w:szCs w:val="24"/>
        </w:rPr>
        <w:t xml:space="preserve"> </w:t>
      </w:r>
      <w:proofErr w:type="spellStart"/>
      <w:r w:rsidRPr="000A5F53">
        <w:rPr>
          <w:rFonts w:ascii="Arial" w:hAnsi="Arial" w:cs="Arial"/>
          <w:sz w:val="24"/>
          <w:szCs w:val="24"/>
        </w:rPr>
        <w:t>is</w:t>
      </w:r>
      <w:proofErr w:type="spellEnd"/>
      <w:r w:rsidRPr="000A5F53">
        <w:rPr>
          <w:rFonts w:ascii="Arial" w:hAnsi="Arial" w:cs="Arial"/>
          <w:sz w:val="24"/>
          <w:szCs w:val="24"/>
        </w:rPr>
        <w:t xml:space="preserve"> </w:t>
      </w:r>
      <w:proofErr w:type="spellStart"/>
      <w:r w:rsidRPr="000A5F53">
        <w:rPr>
          <w:rFonts w:ascii="Arial" w:hAnsi="Arial" w:cs="Arial"/>
          <w:sz w:val="24"/>
          <w:szCs w:val="24"/>
        </w:rPr>
        <w:t>moderate</w:t>
      </w:r>
      <w:proofErr w:type="spellEnd"/>
      <w:r w:rsidRPr="000A5F53">
        <w:rPr>
          <w:rFonts w:ascii="Arial" w:hAnsi="Arial" w:cs="Arial"/>
          <w:sz w:val="24"/>
          <w:szCs w:val="24"/>
        </w:rPr>
        <w:t xml:space="preserve">, and </w:t>
      </w:r>
      <w:proofErr w:type="spellStart"/>
      <w:r w:rsidRPr="000A5F53">
        <w:rPr>
          <w:rFonts w:ascii="Arial" w:hAnsi="Arial" w:cs="Arial"/>
          <w:sz w:val="24"/>
          <w:szCs w:val="24"/>
        </w:rPr>
        <w:t>some</w:t>
      </w:r>
      <w:proofErr w:type="spellEnd"/>
      <w:r w:rsidRPr="000A5F53">
        <w:rPr>
          <w:rFonts w:ascii="Arial" w:hAnsi="Arial" w:cs="Arial"/>
          <w:sz w:val="24"/>
          <w:szCs w:val="24"/>
        </w:rPr>
        <w:t xml:space="preserve"> </w:t>
      </w:r>
      <w:proofErr w:type="spellStart"/>
      <w:r w:rsidRPr="000A5F53">
        <w:rPr>
          <w:rFonts w:ascii="Arial" w:hAnsi="Arial" w:cs="Arial"/>
          <w:sz w:val="24"/>
          <w:szCs w:val="24"/>
        </w:rPr>
        <w:t>respondents</w:t>
      </w:r>
      <w:proofErr w:type="spellEnd"/>
      <w:r w:rsidRPr="000A5F53">
        <w:rPr>
          <w:rFonts w:ascii="Arial" w:hAnsi="Arial" w:cs="Arial"/>
          <w:sz w:val="24"/>
          <w:szCs w:val="24"/>
        </w:rPr>
        <w:t xml:space="preserve"> report </w:t>
      </w:r>
      <w:proofErr w:type="spellStart"/>
      <w:r w:rsidRPr="000A5F53">
        <w:rPr>
          <w:rFonts w:ascii="Arial" w:hAnsi="Arial" w:cs="Arial"/>
          <w:sz w:val="24"/>
          <w:szCs w:val="24"/>
        </w:rPr>
        <w:t>difficulties</w:t>
      </w:r>
      <w:proofErr w:type="spellEnd"/>
      <w:r w:rsidRPr="000A5F53">
        <w:rPr>
          <w:rFonts w:ascii="Arial" w:hAnsi="Arial" w:cs="Arial"/>
          <w:sz w:val="24"/>
          <w:szCs w:val="24"/>
        </w:rPr>
        <w:t xml:space="preserve"> in </w:t>
      </w:r>
      <w:proofErr w:type="spellStart"/>
      <w:r w:rsidRPr="000A5F53">
        <w:rPr>
          <w:rFonts w:ascii="Arial" w:hAnsi="Arial" w:cs="Arial"/>
          <w:sz w:val="24"/>
          <w:szCs w:val="24"/>
        </w:rPr>
        <w:t>accessing</w:t>
      </w:r>
      <w:proofErr w:type="spellEnd"/>
      <w:r w:rsidRPr="000A5F53">
        <w:rPr>
          <w:rFonts w:ascii="Arial" w:hAnsi="Arial" w:cs="Arial"/>
          <w:sz w:val="24"/>
          <w:szCs w:val="24"/>
        </w:rPr>
        <w:t xml:space="preserve"> </w:t>
      </w:r>
      <w:proofErr w:type="spellStart"/>
      <w:r w:rsidRPr="000A5F53">
        <w:rPr>
          <w:rFonts w:ascii="Arial" w:hAnsi="Arial" w:cs="Arial"/>
          <w:sz w:val="24"/>
          <w:szCs w:val="24"/>
        </w:rPr>
        <w:t>information</w:t>
      </w:r>
      <w:proofErr w:type="spellEnd"/>
      <w:r w:rsidRPr="000A5F53">
        <w:rPr>
          <w:rFonts w:ascii="Arial" w:hAnsi="Arial" w:cs="Arial"/>
          <w:sz w:val="24"/>
          <w:szCs w:val="24"/>
        </w:rPr>
        <w:t xml:space="preserve"> </w:t>
      </w:r>
      <w:proofErr w:type="spellStart"/>
      <w:r w:rsidRPr="000A5F53">
        <w:rPr>
          <w:rFonts w:ascii="Arial" w:hAnsi="Arial" w:cs="Arial"/>
          <w:sz w:val="24"/>
          <w:szCs w:val="24"/>
        </w:rPr>
        <w:t>or</w:t>
      </w:r>
      <w:proofErr w:type="spellEnd"/>
      <w:r w:rsidRPr="000A5F53">
        <w:rPr>
          <w:rFonts w:ascii="Arial" w:hAnsi="Arial" w:cs="Arial"/>
          <w:sz w:val="24"/>
          <w:szCs w:val="24"/>
        </w:rPr>
        <w:t xml:space="preserve"> </w:t>
      </w:r>
      <w:proofErr w:type="spellStart"/>
      <w:r w:rsidRPr="000A5F53">
        <w:rPr>
          <w:rFonts w:ascii="Arial" w:hAnsi="Arial" w:cs="Arial"/>
          <w:sz w:val="24"/>
          <w:szCs w:val="24"/>
        </w:rPr>
        <w:t>perceive</w:t>
      </w:r>
      <w:proofErr w:type="spellEnd"/>
      <w:r w:rsidRPr="000A5F53">
        <w:rPr>
          <w:rFonts w:ascii="Arial" w:hAnsi="Arial" w:cs="Arial"/>
          <w:sz w:val="24"/>
          <w:szCs w:val="24"/>
        </w:rPr>
        <w:t xml:space="preserve"> </w:t>
      </w:r>
      <w:proofErr w:type="spellStart"/>
      <w:r w:rsidRPr="000A5F53">
        <w:rPr>
          <w:rFonts w:ascii="Arial" w:hAnsi="Arial" w:cs="Arial"/>
          <w:sz w:val="24"/>
          <w:szCs w:val="24"/>
        </w:rPr>
        <w:t>it</w:t>
      </w:r>
      <w:proofErr w:type="spellEnd"/>
      <w:r w:rsidRPr="000A5F53">
        <w:rPr>
          <w:rFonts w:ascii="Arial" w:hAnsi="Arial" w:cs="Arial"/>
          <w:sz w:val="24"/>
          <w:szCs w:val="24"/>
        </w:rPr>
        <w:t xml:space="preserve"> as </w:t>
      </w:r>
      <w:proofErr w:type="spellStart"/>
      <w:r w:rsidRPr="000A5F53">
        <w:rPr>
          <w:rFonts w:ascii="Arial" w:hAnsi="Arial" w:cs="Arial"/>
          <w:sz w:val="24"/>
          <w:szCs w:val="24"/>
        </w:rPr>
        <w:t>overly</w:t>
      </w:r>
      <w:proofErr w:type="spellEnd"/>
      <w:r w:rsidRPr="000A5F53">
        <w:rPr>
          <w:rFonts w:ascii="Arial" w:hAnsi="Arial" w:cs="Arial"/>
          <w:sz w:val="24"/>
          <w:szCs w:val="24"/>
        </w:rPr>
        <w:t xml:space="preserve"> </w:t>
      </w:r>
      <w:proofErr w:type="spellStart"/>
      <w:r w:rsidRPr="000A5F53">
        <w:rPr>
          <w:rFonts w:ascii="Arial" w:hAnsi="Arial" w:cs="Arial"/>
          <w:sz w:val="24"/>
          <w:szCs w:val="24"/>
        </w:rPr>
        <w:t>general</w:t>
      </w:r>
      <w:proofErr w:type="spellEnd"/>
      <w:r w:rsidRPr="000A5F53">
        <w:rPr>
          <w:rFonts w:ascii="Arial" w:hAnsi="Arial" w:cs="Arial"/>
          <w:sz w:val="24"/>
          <w:szCs w:val="24"/>
        </w:rPr>
        <w:t>.</w:t>
      </w:r>
    </w:p>
    <w:p w14:paraId="08178D34" w14:textId="77777777" w:rsidR="00D64FC6" w:rsidRDefault="00D64FC6" w:rsidP="00D64FC6">
      <w:pPr>
        <w:spacing w:before="240" w:line="360" w:lineRule="auto"/>
        <w:rPr>
          <w:rFonts w:ascii="Arial" w:hAnsi="Arial" w:cs="Arial"/>
          <w:sz w:val="24"/>
          <w:szCs w:val="24"/>
        </w:rPr>
      </w:pPr>
      <w:proofErr w:type="spellStart"/>
      <w:r w:rsidRPr="000A5F53">
        <w:rPr>
          <w:rFonts w:ascii="Arial" w:hAnsi="Arial" w:cs="Arial"/>
          <w:sz w:val="24"/>
          <w:szCs w:val="24"/>
        </w:rPr>
        <w:t>Awareness</w:t>
      </w:r>
      <w:proofErr w:type="spellEnd"/>
      <w:r w:rsidRPr="000A5F53">
        <w:rPr>
          <w:rFonts w:ascii="Arial" w:hAnsi="Arial" w:cs="Arial"/>
          <w:sz w:val="24"/>
          <w:szCs w:val="24"/>
        </w:rPr>
        <w:t xml:space="preserve"> of the </w:t>
      </w:r>
      <w:proofErr w:type="spellStart"/>
      <w:r w:rsidRPr="000A5F53">
        <w:rPr>
          <w:rFonts w:ascii="Arial" w:hAnsi="Arial" w:cs="Arial"/>
          <w:sz w:val="24"/>
          <w:szCs w:val="24"/>
        </w:rPr>
        <w:t>National</w:t>
      </w:r>
      <w:proofErr w:type="spellEnd"/>
      <w:r w:rsidRPr="000A5F53">
        <w:rPr>
          <w:rFonts w:ascii="Arial" w:hAnsi="Arial" w:cs="Arial"/>
          <w:sz w:val="24"/>
          <w:szCs w:val="24"/>
        </w:rPr>
        <w:t xml:space="preserve"> </w:t>
      </w:r>
      <w:proofErr w:type="spellStart"/>
      <w:r w:rsidRPr="000A5F53">
        <w:rPr>
          <w:rFonts w:ascii="Arial" w:hAnsi="Arial" w:cs="Arial"/>
          <w:sz w:val="24"/>
          <w:szCs w:val="24"/>
        </w:rPr>
        <w:t>Recovery</w:t>
      </w:r>
      <w:proofErr w:type="spellEnd"/>
      <w:r w:rsidRPr="000A5F53">
        <w:rPr>
          <w:rFonts w:ascii="Arial" w:hAnsi="Arial" w:cs="Arial"/>
          <w:sz w:val="24"/>
          <w:szCs w:val="24"/>
        </w:rPr>
        <w:t xml:space="preserve"> Plan (</w:t>
      </w:r>
      <w:r>
        <w:rPr>
          <w:rFonts w:ascii="Arial" w:hAnsi="Arial" w:cs="Arial"/>
          <w:sz w:val="24"/>
          <w:szCs w:val="24"/>
        </w:rPr>
        <w:t>KPO</w:t>
      </w:r>
      <w:r w:rsidRPr="000A5F53">
        <w:rPr>
          <w:rFonts w:ascii="Arial" w:hAnsi="Arial" w:cs="Arial"/>
          <w:sz w:val="24"/>
          <w:szCs w:val="24"/>
        </w:rPr>
        <w:t xml:space="preserve">) </w:t>
      </w:r>
      <w:proofErr w:type="spellStart"/>
      <w:r w:rsidRPr="000A5F53">
        <w:rPr>
          <w:rFonts w:ascii="Arial" w:hAnsi="Arial" w:cs="Arial"/>
          <w:sz w:val="24"/>
          <w:szCs w:val="24"/>
        </w:rPr>
        <w:t>is</w:t>
      </w:r>
      <w:proofErr w:type="spellEnd"/>
      <w:r w:rsidRPr="000A5F53">
        <w:rPr>
          <w:rFonts w:ascii="Arial" w:hAnsi="Arial" w:cs="Arial"/>
          <w:sz w:val="24"/>
          <w:szCs w:val="24"/>
        </w:rPr>
        <w:t xml:space="preserve"> </w:t>
      </w:r>
      <w:proofErr w:type="spellStart"/>
      <w:r w:rsidRPr="000A5F53">
        <w:rPr>
          <w:rFonts w:ascii="Arial" w:hAnsi="Arial" w:cs="Arial"/>
          <w:sz w:val="24"/>
          <w:szCs w:val="24"/>
        </w:rPr>
        <w:t>clearly</w:t>
      </w:r>
      <w:proofErr w:type="spellEnd"/>
      <w:r w:rsidRPr="000A5F53">
        <w:rPr>
          <w:rFonts w:ascii="Arial" w:hAnsi="Arial" w:cs="Arial"/>
          <w:sz w:val="24"/>
          <w:szCs w:val="24"/>
        </w:rPr>
        <w:t xml:space="preserve"> </w:t>
      </w:r>
      <w:proofErr w:type="spellStart"/>
      <w:r w:rsidRPr="000A5F53">
        <w:rPr>
          <w:rFonts w:ascii="Arial" w:hAnsi="Arial" w:cs="Arial"/>
          <w:sz w:val="24"/>
          <w:szCs w:val="24"/>
        </w:rPr>
        <w:t>lower</w:t>
      </w:r>
      <w:proofErr w:type="spellEnd"/>
      <w:r w:rsidRPr="000A5F53">
        <w:rPr>
          <w:rFonts w:ascii="Arial" w:hAnsi="Arial" w:cs="Arial"/>
          <w:sz w:val="24"/>
          <w:szCs w:val="24"/>
        </w:rPr>
        <w:t xml:space="preserve"> </w:t>
      </w:r>
      <w:proofErr w:type="spellStart"/>
      <w:r w:rsidRPr="000A5F53">
        <w:rPr>
          <w:rFonts w:ascii="Arial" w:hAnsi="Arial" w:cs="Arial"/>
          <w:sz w:val="24"/>
          <w:szCs w:val="24"/>
        </w:rPr>
        <w:t>than</w:t>
      </w:r>
      <w:proofErr w:type="spellEnd"/>
      <w:r w:rsidRPr="000A5F53">
        <w:rPr>
          <w:rFonts w:ascii="Arial" w:hAnsi="Arial" w:cs="Arial"/>
          <w:sz w:val="24"/>
          <w:szCs w:val="24"/>
        </w:rPr>
        <w:t xml:space="preserve"> </w:t>
      </w:r>
      <w:proofErr w:type="spellStart"/>
      <w:r w:rsidRPr="000A5F53">
        <w:rPr>
          <w:rFonts w:ascii="Arial" w:hAnsi="Arial" w:cs="Arial"/>
          <w:sz w:val="24"/>
          <w:szCs w:val="24"/>
        </w:rPr>
        <w:t>awareness</w:t>
      </w:r>
      <w:proofErr w:type="spellEnd"/>
      <w:r w:rsidRPr="000A5F53">
        <w:rPr>
          <w:rFonts w:ascii="Arial" w:hAnsi="Arial" w:cs="Arial"/>
          <w:sz w:val="24"/>
          <w:szCs w:val="24"/>
        </w:rPr>
        <w:t xml:space="preserve"> of </w:t>
      </w:r>
      <w:proofErr w:type="spellStart"/>
      <w:r w:rsidRPr="000A5F53">
        <w:rPr>
          <w:rFonts w:ascii="Arial" w:hAnsi="Arial" w:cs="Arial"/>
          <w:sz w:val="24"/>
          <w:szCs w:val="24"/>
        </w:rPr>
        <w:t>European</w:t>
      </w:r>
      <w:proofErr w:type="spellEnd"/>
      <w:r w:rsidRPr="000A5F53">
        <w:rPr>
          <w:rFonts w:ascii="Arial" w:hAnsi="Arial" w:cs="Arial"/>
          <w:sz w:val="24"/>
          <w:szCs w:val="24"/>
        </w:rPr>
        <w:t xml:space="preserve"> </w:t>
      </w:r>
      <w:proofErr w:type="spellStart"/>
      <w:r w:rsidRPr="000A5F53">
        <w:rPr>
          <w:rFonts w:ascii="Arial" w:hAnsi="Arial" w:cs="Arial"/>
          <w:sz w:val="24"/>
          <w:szCs w:val="24"/>
        </w:rPr>
        <w:t>Funds</w:t>
      </w:r>
      <w:proofErr w:type="spellEnd"/>
      <w:r w:rsidRPr="000A5F53">
        <w:rPr>
          <w:rFonts w:ascii="Arial" w:hAnsi="Arial" w:cs="Arial"/>
          <w:sz w:val="24"/>
          <w:szCs w:val="24"/>
        </w:rPr>
        <w:t xml:space="preserve">. The NRP </w:t>
      </w:r>
      <w:proofErr w:type="spellStart"/>
      <w:r w:rsidRPr="000A5F53">
        <w:rPr>
          <w:rFonts w:ascii="Arial" w:hAnsi="Arial" w:cs="Arial"/>
          <w:sz w:val="24"/>
          <w:szCs w:val="24"/>
        </w:rPr>
        <w:t>is</w:t>
      </w:r>
      <w:proofErr w:type="spellEnd"/>
      <w:r w:rsidRPr="000A5F53">
        <w:rPr>
          <w:rFonts w:ascii="Arial" w:hAnsi="Arial" w:cs="Arial"/>
          <w:sz w:val="24"/>
          <w:szCs w:val="24"/>
        </w:rPr>
        <w:t xml:space="preserve"> </w:t>
      </w:r>
      <w:proofErr w:type="spellStart"/>
      <w:r w:rsidRPr="000A5F53">
        <w:rPr>
          <w:rFonts w:ascii="Arial" w:hAnsi="Arial" w:cs="Arial"/>
          <w:sz w:val="24"/>
          <w:szCs w:val="24"/>
        </w:rPr>
        <w:t>best</w:t>
      </w:r>
      <w:proofErr w:type="spellEnd"/>
      <w:r w:rsidRPr="000A5F53">
        <w:rPr>
          <w:rFonts w:ascii="Arial" w:hAnsi="Arial" w:cs="Arial"/>
          <w:sz w:val="24"/>
          <w:szCs w:val="24"/>
        </w:rPr>
        <w:t xml:space="preserve"> </w:t>
      </w:r>
      <w:proofErr w:type="spellStart"/>
      <w:r w:rsidRPr="000A5F53">
        <w:rPr>
          <w:rFonts w:ascii="Arial" w:hAnsi="Arial" w:cs="Arial"/>
          <w:sz w:val="24"/>
          <w:szCs w:val="24"/>
        </w:rPr>
        <w:t>recognised</w:t>
      </w:r>
      <w:proofErr w:type="spellEnd"/>
      <w:r w:rsidRPr="000A5F53">
        <w:rPr>
          <w:rFonts w:ascii="Arial" w:hAnsi="Arial" w:cs="Arial"/>
          <w:sz w:val="24"/>
          <w:szCs w:val="24"/>
        </w:rPr>
        <w:t xml:space="preserve"> by </w:t>
      </w:r>
      <w:proofErr w:type="spellStart"/>
      <w:r w:rsidRPr="000A5F53">
        <w:rPr>
          <w:rFonts w:ascii="Arial" w:hAnsi="Arial" w:cs="Arial"/>
          <w:sz w:val="24"/>
          <w:szCs w:val="24"/>
        </w:rPr>
        <w:t>older</w:t>
      </w:r>
      <w:proofErr w:type="spellEnd"/>
      <w:r w:rsidRPr="000A5F53">
        <w:rPr>
          <w:rFonts w:ascii="Arial" w:hAnsi="Arial" w:cs="Arial"/>
          <w:sz w:val="24"/>
          <w:szCs w:val="24"/>
        </w:rPr>
        <w:t xml:space="preserve"> </w:t>
      </w:r>
      <w:proofErr w:type="spellStart"/>
      <w:r w:rsidRPr="000A5F53">
        <w:rPr>
          <w:rFonts w:ascii="Arial" w:hAnsi="Arial" w:cs="Arial"/>
          <w:sz w:val="24"/>
          <w:szCs w:val="24"/>
        </w:rPr>
        <w:t>respondents</w:t>
      </w:r>
      <w:proofErr w:type="spellEnd"/>
      <w:r w:rsidRPr="000A5F53">
        <w:rPr>
          <w:rFonts w:ascii="Arial" w:hAnsi="Arial" w:cs="Arial"/>
          <w:sz w:val="24"/>
          <w:szCs w:val="24"/>
        </w:rPr>
        <w:t xml:space="preserve"> and </w:t>
      </w:r>
      <w:proofErr w:type="spellStart"/>
      <w:r w:rsidRPr="000A5F53">
        <w:rPr>
          <w:rFonts w:ascii="Arial" w:hAnsi="Arial" w:cs="Arial"/>
          <w:sz w:val="24"/>
          <w:szCs w:val="24"/>
        </w:rPr>
        <w:t>residents</w:t>
      </w:r>
      <w:proofErr w:type="spellEnd"/>
      <w:r w:rsidRPr="000A5F53">
        <w:rPr>
          <w:rFonts w:ascii="Arial" w:hAnsi="Arial" w:cs="Arial"/>
          <w:sz w:val="24"/>
          <w:szCs w:val="24"/>
        </w:rPr>
        <w:t xml:space="preserve"> of the </w:t>
      </w:r>
      <w:proofErr w:type="spellStart"/>
      <w:r w:rsidRPr="000A5F53">
        <w:rPr>
          <w:rFonts w:ascii="Arial" w:hAnsi="Arial" w:cs="Arial"/>
          <w:sz w:val="24"/>
          <w:szCs w:val="24"/>
        </w:rPr>
        <w:t>largest</w:t>
      </w:r>
      <w:proofErr w:type="spellEnd"/>
      <w:r w:rsidRPr="000A5F53">
        <w:rPr>
          <w:rFonts w:ascii="Arial" w:hAnsi="Arial" w:cs="Arial"/>
          <w:sz w:val="24"/>
          <w:szCs w:val="24"/>
        </w:rPr>
        <w:t xml:space="preserve"> </w:t>
      </w:r>
      <w:proofErr w:type="spellStart"/>
      <w:r w:rsidRPr="000A5F53">
        <w:rPr>
          <w:rFonts w:ascii="Arial" w:hAnsi="Arial" w:cs="Arial"/>
          <w:sz w:val="24"/>
          <w:szCs w:val="24"/>
        </w:rPr>
        <w:t>cities</w:t>
      </w:r>
      <w:proofErr w:type="spellEnd"/>
      <w:r w:rsidRPr="000A5F53">
        <w:rPr>
          <w:rFonts w:ascii="Arial" w:hAnsi="Arial" w:cs="Arial"/>
          <w:sz w:val="24"/>
          <w:szCs w:val="24"/>
        </w:rPr>
        <w:t xml:space="preserve">, </w:t>
      </w:r>
      <w:proofErr w:type="spellStart"/>
      <w:r w:rsidRPr="000A5F53">
        <w:rPr>
          <w:rFonts w:ascii="Arial" w:hAnsi="Arial" w:cs="Arial"/>
          <w:sz w:val="24"/>
          <w:szCs w:val="24"/>
        </w:rPr>
        <w:t>while</w:t>
      </w:r>
      <w:proofErr w:type="spellEnd"/>
      <w:r w:rsidRPr="000A5F53">
        <w:rPr>
          <w:rFonts w:ascii="Arial" w:hAnsi="Arial" w:cs="Arial"/>
          <w:sz w:val="24"/>
          <w:szCs w:val="24"/>
        </w:rPr>
        <w:t xml:space="preserve"> </w:t>
      </w:r>
      <w:proofErr w:type="spellStart"/>
      <w:r w:rsidRPr="000A5F53">
        <w:rPr>
          <w:rFonts w:ascii="Arial" w:hAnsi="Arial" w:cs="Arial"/>
          <w:sz w:val="24"/>
          <w:szCs w:val="24"/>
        </w:rPr>
        <w:t>younger</w:t>
      </w:r>
      <w:proofErr w:type="spellEnd"/>
      <w:r w:rsidRPr="000A5F53">
        <w:rPr>
          <w:rFonts w:ascii="Arial" w:hAnsi="Arial" w:cs="Arial"/>
          <w:sz w:val="24"/>
          <w:szCs w:val="24"/>
        </w:rPr>
        <w:t xml:space="preserve"> </w:t>
      </w:r>
      <w:proofErr w:type="spellStart"/>
      <w:r w:rsidRPr="000A5F53">
        <w:rPr>
          <w:rFonts w:ascii="Arial" w:hAnsi="Arial" w:cs="Arial"/>
          <w:sz w:val="24"/>
          <w:szCs w:val="24"/>
        </w:rPr>
        <w:t>individuals</w:t>
      </w:r>
      <w:proofErr w:type="spellEnd"/>
      <w:r w:rsidRPr="000A5F53">
        <w:rPr>
          <w:rFonts w:ascii="Arial" w:hAnsi="Arial" w:cs="Arial"/>
          <w:sz w:val="24"/>
          <w:szCs w:val="24"/>
        </w:rPr>
        <w:t xml:space="preserve"> </w:t>
      </w:r>
      <w:proofErr w:type="spellStart"/>
      <w:r w:rsidRPr="000A5F53">
        <w:rPr>
          <w:rFonts w:ascii="Arial" w:hAnsi="Arial" w:cs="Arial"/>
          <w:sz w:val="24"/>
          <w:szCs w:val="24"/>
        </w:rPr>
        <w:t>more</w:t>
      </w:r>
      <w:proofErr w:type="spellEnd"/>
      <w:r w:rsidRPr="000A5F53">
        <w:rPr>
          <w:rFonts w:ascii="Arial" w:hAnsi="Arial" w:cs="Arial"/>
          <w:sz w:val="24"/>
          <w:szCs w:val="24"/>
        </w:rPr>
        <w:t xml:space="preserve"> </w:t>
      </w:r>
      <w:proofErr w:type="spellStart"/>
      <w:r w:rsidRPr="000A5F53">
        <w:rPr>
          <w:rFonts w:ascii="Arial" w:hAnsi="Arial" w:cs="Arial"/>
          <w:sz w:val="24"/>
          <w:szCs w:val="24"/>
        </w:rPr>
        <w:t>often</w:t>
      </w:r>
      <w:proofErr w:type="spellEnd"/>
      <w:r w:rsidRPr="000A5F53">
        <w:rPr>
          <w:rFonts w:ascii="Arial" w:hAnsi="Arial" w:cs="Arial"/>
          <w:sz w:val="24"/>
          <w:szCs w:val="24"/>
        </w:rPr>
        <w:t xml:space="preserve"> </w:t>
      </w:r>
      <w:proofErr w:type="spellStart"/>
      <w:r w:rsidRPr="000A5F53">
        <w:rPr>
          <w:rFonts w:ascii="Arial" w:hAnsi="Arial" w:cs="Arial"/>
          <w:sz w:val="24"/>
          <w:szCs w:val="24"/>
        </w:rPr>
        <w:t>declare</w:t>
      </w:r>
      <w:proofErr w:type="spellEnd"/>
      <w:r w:rsidRPr="000A5F53">
        <w:rPr>
          <w:rFonts w:ascii="Arial" w:hAnsi="Arial" w:cs="Arial"/>
          <w:sz w:val="24"/>
          <w:szCs w:val="24"/>
        </w:rPr>
        <w:t xml:space="preserve"> a </w:t>
      </w:r>
      <w:proofErr w:type="spellStart"/>
      <w:r w:rsidRPr="000A5F53">
        <w:rPr>
          <w:rFonts w:ascii="Arial" w:hAnsi="Arial" w:cs="Arial"/>
          <w:sz w:val="24"/>
          <w:szCs w:val="24"/>
        </w:rPr>
        <w:t>lack</w:t>
      </w:r>
      <w:proofErr w:type="spellEnd"/>
      <w:r w:rsidRPr="000A5F53">
        <w:rPr>
          <w:rFonts w:ascii="Arial" w:hAnsi="Arial" w:cs="Arial"/>
          <w:sz w:val="24"/>
          <w:szCs w:val="24"/>
        </w:rPr>
        <w:t xml:space="preserve"> of </w:t>
      </w:r>
      <w:proofErr w:type="spellStart"/>
      <w:r w:rsidRPr="000A5F53">
        <w:rPr>
          <w:rFonts w:ascii="Arial" w:hAnsi="Arial" w:cs="Arial"/>
          <w:sz w:val="24"/>
          <w:szCs w:val="24"/>
        </w:rPr>
        <w:t>knowledge</w:t>
      </w:r>
      <w:proofErr w:type="spellEnd"/>
      <w:r w:rsidRPr="000A5F53">
        <w:rPr>
          <w:rFonts w:ascii="Arial" w:hAnsi="Arial" w:cs="Arial"/>
          <w:sz w:val="24"/>
          <w:szCs w:val="24"/>
        </w:rPr>
        <w:t xml:space="preserve"> </w:t>
      </w:r>
      <w:proofErr w:type="spellStart"/>
      <w:r w:rsidRPr="000A5F53">
        <w:rPr>
          <w:rFonts w:ascii="Arial" w:hAnsi="Arial" w:cs="Arial"/>
          <w:sz w:val="24"/>
          <w:szCs w:val="24"/>
        </w:rPr>
        <w:t>or</w:t>
      </w:r>
      <w:proofErr w:type="spellEnd"/>
      <w:r w:rsidRPr="000A5F53">
        <w:rPr>
          <w:rFonts w:ascii="Arial" w:hAnsi="Arial" w:cs="Arial"/>
          <w:sz w:val="24"/>
          <w:szCs w:val="24"/>
        </w:rPr>
        <w:t xml:space="preserve"> </w:t>
      </w:r>
      <w:proofErr w:type="spellStart"/>
      <w:r w:rsidRPr="000A5F53">
        <w:rPr>
          <w:rFonts w:ascii="Arial" w:hAnsi="Arial" w:cs="Arial"/>
          <w:sz w:val="24"/>
          <w:szCs w:val="24"/>
        </w:rPr>
        <w:t>contact</w:t>
      </w:r>
      <w:proofErr w:type="spellEnd"/>
      <w:r w:rsidRPr="000A5F53">
        <w:rPr>
          <w:rFonts w:ascii="Arial" w:hAnsi="Arial" w:cs="Arial"/>
          <w:sz w:val="24"/>
          <w:szCs w:val="24"/>
        </w:rPr>
        <w:t xml:space="preserve"> with the </w:t>
      </w:r>
      <w:proofErr w:type="spellStart"/>
      <w:r w:rsidRPr="000A5F53">
        <w:rPr>
          <w:rFonts w:ascii="Arial" w:hAnsi="Arial" w:cs="Arial"/>
          <w:sz w:val="24"/>
          <w:szCs w:val="24"/>
        </w:rPr>
        <w:t>topic</w:t>
      </w:r>
      <w:proofErr w:type="spellEnd"/>
      <w:r w:rsidRPr="000A5F53">
        <w:rPr>
          <w:rFonts w:ascii="Arial" w:hAnsi="Arial" w:cs="Arial"/>
          <w:sz w:val="24"/>
          <w:szCs w:val="24"/>
        </w:rPr>
        <w:t xml:space="preserve">. At the same </w:t>
      </w:r>
      <w:proofErr w:type="spellStart"/>
      <w:r w:rsidRPr="000A5F53">
        <w:rPr>
          <w:rFonts w:ascii="Arial" w:hAnsi="Arial" w:cs="Arial"/>
          <w:sz w:val="24"/>
          <w:szCs w:val="24"/>
        </w:rPr>
        <w:t>time</w:t>
      </w:r>
      <w:proofErr w:type="spellEnd"/>
      <w:r w:rsidRPr="000A5F53">
        <w:rPr>
          <w:rFonts w:ascii="Arial" w:hAnsi="Arial" w:cs="Arial"/>
          <w:sz w:val="24"/>
          <w:szCs w:val="24"/>
        </w:rPr>
        <w:t xml:space="preserve">, </w:t>
      </w:r>
      <w:proofErr w:type="spellStart"/>
      <w:r w:rsidRPr="000A5F53">
        <w:rPr>
          <w:rFonts w:ascii="Arial" w:hAnsi="Arial" w:cs="Arial"/>
          <w:sz w:val="24"/>
          <w:szCs w:val="24"/>
        </w:rPr>
        <w:t>associations</w:t>
      </w:r>
      <w:proofErr w:type="spellEnd"/>
      <w:r w:rsidRPr="000A5F53">
        <w:rPr>
          <w:rFonts w:ascii="Arial" w:hAnsi="Arial" w:cs="Arial"/>
          <w:sz w:val="24"/>
          <w:szCs w:val="24"/>
        </w:rPr>
        <w:t xml:space="preserve"> </w:t>
      </w:r>
      <w:proofErr w:type="spellStart"/>
      <w:r w:rsidRPr="000A5F53">
        <w:rPr>
          <w:rFonts w:ascii="Arial" w:hAnsi="Arial" w:cs="Arial"/>
          <w:sz w:val="24"/>
          <w:szCs w:val="24"/>
        </w:rPr>
        <w:t>related</w:t>
      </w:r>
      <w:proofErr w:type="spellEnd"/>
      <w:r w:rsidRPr="000A5F53">
        <w:rPr>
          <w:rFonts w:ascii="Arial" w:hAnsi="Arial" w:cs="Arial"/>
          <w:sz w:val="24"/>
          <w:szCs w:val="24"/>
        </w:rPr>
        <w:t xml:space="preserve"> to the NRP </w:t>
      </w:r>
      <w:proofErr w:type="spellStart"/>
      <w:r w:rsidRPr="000A5F53">
        <w:rPr>
          <w:rFonts w:ascii="Arial" w:hAnsi="Arial" w:cs="Arial"/>
          <w:sz w:val="24"/>
          <w:szCs w:val="24"/>
        </w:rPr>
        <w:t>are</w:t>
      </w:r>
      <w:proofErr w:type="spellEnd"/>
      <w:r w:rsidRPr="000A5F53">
        <w:rPr>
          <w:rFonts w:ascii="Arial" w:hAnsi="Arial" w:cs="Arial"/>
          <w:sz w:val="24"/>
          <w:szCs w:val="24"/>
        </w:rPr>
        <w:t xml:space="preserve"> </w:t>
      </w:r>
      <w:proofErr w:type="spellStart"/>
      <w:r w:rsidRPr="000A5F53">
        <w:rPr>
          <w:rFonts w:ascii="Arial" w:hAnsi="Arial" w:cs="Arial"/>
          <w:sz w:val="24"/>
          <w:szCs w:val="24"/>
        </w:rPr>
        <w:t>concentrated</w:t>
      </w:r>
      <w:proofErr w:type="spellEnd"/>
      <w:r w:rsidRPr="000A5F53">
        <w:rPr>
          <w:rFonts w:ascii="Arial" w:hAnsi="Arial" w:cs="Arial"/>
          <w:sz w:val="24"/>
          <w:szCs w:val="24"/>
        </w:rPr>
        <w:t xml:space="preserve"> </w:t>
      </w:r>
      <w:proofErr w:type="spellStart"/>
      <w:r w:rsidRPr="000A5F53">
        <w:rPr>
          <w:rFonts w:ascii="Arial" w:hAnsi="Arial" w:cs="Arial"/>
          <w:sz w:val="24"/>
          <w:szCs w:val="24"/>
        </w:rPr>
        <w:t>primarily</w:t>
      </w:r>
      <w:proofErr w:type="spellEnd"/>
      <w:r w:rsidRPr="000A5F53">
        <w:rPr>
          <w:rFonts w:ascii="Arial" w:hAnsi="Arial" w:cs="Arial"/>
          <w:sz w:val="24"/>
          <w:szCs w:val="24"/>
        </w:rPr>
        <w:t xml:space="preserve"> on post-</w:t>
      </w:r>
      <w:proofErr w:type="spellStart"/>
      <w:r w:rsidRPr="000A5F53">
        <w:rPr>
          <w:rFonts w:ascii="Arial" w:hAnsi="Arial" w:cs="Arial"/>
          <w:sz w:val="24"/>
          <w:szCs w:val="24"/>
        </w:rPr>
        <w:t>pandemic</w:t>
      </w:r>
      <w:proofErr w:type="spellEnd"/>
      <w:r w:rsidRPr="000A5F53">
        <w:rPr>
          <w:rFonts w:ascii="Arial" w:hAnsi="Arial" w:cs="Arial"/>
          <w:sz w:val="24"/>
          <w:szCs w:val="24"/>
        </w:rPr>
        <w:t xml:space="preserve"> </w:t>
      </w:r>
      <w:proofErr w:type="spellStart"/>
      <w:r w:rsidRPr="000A5F53">
        <w:rPr>
          <w:rFonts w:ascii="Arial" w:hAnsi="Arial" w:cs="Arial"/>
          <w:sz w:val="24"/>
          <w:szCs w:val="24"/>
        </w:rPr>
        <w:t>recovery</w:t>
      </w:r>
      <w:proofErr w:type="spellEnd"/>
      <w:r w:rsidRPr="000A5F53">
        <w:rPr>
          <w:rFonts w:ascii="Arial" w:hAnsi="Arial" w:cs="Arial"/>
          <w:sz w:val="24"/>
          <w:szCs w:val="24"/>
        </w:rPr>
        <w:t xml:space="preserve">, </w:t>
      </w:r>
      <w:proofErr w:type="spellStart"/>
      <w:r w:rsidRPr="000A5F53">
        <w:rPr>
          <w:rFonts w:ascii="Arial" w:hAnsi="Arial" w:cs="Arial"/>
          <w:sz w:val="24"/>
          <w:szCs w:val="24"/>
        </w:rPr>
        <w:t>infrastructure</w:t>
      </w:r>
      <w:proofErr w:type="spellEnd"/>
      <w:r w:rsidRPr="000A5F53">
        <w:rPr>
          <w:rFonts w:ascii="Arial" w:hAnsi="Arial" w:cs="Arial"/>
          <w:sz w:val="24"/>
          <w:szCs w:val="24"/>
        </w:rPr>
        <w:t xml:space="preserve"> </w:t>
      </w:r>
      <w:proofErr w:type="spellStart"/>
      <w:r w:rsidRPr="000A5F53">
        <w:rPr>
          <w:rFonts w:ascii="Arial" w:hAnsi="Arial" w:cs="Arial"/>
          <w:sz w:val="24"/>
          <w:szCs w:val="24"/>
        </w:rPr>
        <w:t>modernisation</w:t>
      </w:r>
      <w:proofErr w:type="spellEnd"/>
      <w:r w:rsidRPr="000A5F53">
        <w:rPr>
          <w:rFonts w:ascii="Arial" w:hAnsi="Arial" w:cs="Arial"/>
          <w:sz w:val="24"/>
          <w:szCs w:val="24"/>
        </w:rPr>
        <w:t>, and investment- and development-</w:t>
      </w:r>
      <w:proofErr w:type="spellStart"/>
      <w:r w:rsidRPr="000A5F53">
        <w:rPr>
          <w:rFonts w:ascii="Arial" w:hAnsi="Arial" w:cs="Arial"/>
          <w:sz w:val="24"/>
          <w:szCs w:val="24"/>
        </w:rPr>
        <w:t>oriented</w:t>
      </w:r>
      <w:proofErr w:type="spellEnd"/>
      <w:r w:rsidRPr="000A5F53">
        <w:rPr>
          <w:rFonts w:ascii="Arial" w:hAnsi="Arial" w:cs="Arial"/>
          <w:sz w:val="24"/>
          <w:szCs w:val="24"/>
        </w:rPr>
        <w:t xml:space="preserve"> </w:t>
      </w:r>
      <w:proofErr w:type="spellStart"/>
      <w:r w:rsidRPr="000A5F53">
        <w:rPr>
          <w:rFonts w:ascii="Arial" w:hAnsi="Arial" w:cs="Arial"/>
          <w:sz w:val="24"/>
          <w:szCs w:val="24"/>
        </w:rPr>
        <w:t>activities</w:t>
      </w:r>
      <w:proofErr w:type="spellEnd"/>
      <w:r w:rsidRPr="000A5F53">
        <w:rPr>
          <w:rFonts w:ascii="Arial" w:hAnsi="Arial" w:cs="Arial"/>
          <w:sz w:val="24"/>
          <w:szCs w:val="24"/>
        </w:rPr>
        <w:t>.</w:t>
      </w:r>
    </w:p>
    <w:p w14:paraId="0A90AE27" w14:textId="77777777" w:rsidR="00D64FC6" w:rsidRDefault="00D64FC6" w:rsidP="00D64FC6">
      <w:pPr>
        <w:spacing w:before="240" w:line="360" w:lineRule="auto"/>
        <w:rPr>
          <w:rFonts w:ascii="Arial" w:hAnsi="Arial" w:cs="Arial"/>
          <w:sz w:val="24"/>
          <w:szCs w:val="24"/>
        </w:rPr>
      </w:pPr>
    </w:p>
    <w:p w14:paraId="6B75D2BA" w14:textId="77777777" w:rsidR="00D64FC6" w:rsidRDefault="00D64FC6" w:rsidP="00D64FC6"/>
    <w:p w14:paraId="1401609B" w14:textId="77777777" w:rsidR="000A5F53" w:rsidRDefault="000A5F53" w:rsidP="000A5F53">
      <w:pPr>
        <w:spacing w:before="240" w:line="360" w:lineRule="auto"/>
        <w:rPr>
          <w:rFonts w:ascii="Arial" w:hAnsi="Arial" w:cs="Arial"/>
          <w:sz w:val="24"/>
          <w:szCs w:val="24"/>
        </w:rPr>
      </w:pPr>
    </w:p>
    <w:p w14:paraId="457E91A8" w14:textId="77777777" w:rsidR="00D64FC6" w:rsidRDefault="00D64FC6" w:rsidP="000A5F53">
      <w:pPr>
        <w:spacing w:before="240" w:line="360" w:lineRule="auto"/>
        <w:rPr>
          <w:rFonts w:ascii="Arial" w:hAnsi="Arial" w:cs="Arial"/>
          <w:sz w:val="24"/>
          <w:szCs w:val="24"/>
        </w:rPr>
      </w:pPr>
    </w:p>
    <w:p w14:paraId="5023A318" w14:textId="77777777" w:rsidR="00D64FC6" w:rsidRDefault="00D64FC6" w:rsidP="000A5F53">
      <w:pPr>
        <w:spacing w:before="240" w:line="360" w:lineRule="auto"/>
        <w:rPr>
          <w:rFonts w:ascii="Arial" w:hAnsi="Arial" w:cs="Arial"/>
          <w:sz w:val="24"/>
          <w:szCs w:val="24"/>
        </w:rPr>
      </w:pPr>
    </w:p>
    <w:p w14:paraId="38E0EA0E" w14:textId="77777777" w:rsidR="00D64FC6" w:rsidRDefault="00D64FC6" w:rsidP="000A5F53">
      <w:pPr>
        <w:spacing w:before="240" w:line="360" w:lineRule="auto"/>
        <w:rPr>
          <w:rFonts w:ascii="Arial" w:hAnsi="Arial" w:cs="Arial"/>
          <w:sz w:val="24"/>
          <w:szCs w:val="24"/>
        </w:rPr>
      </w:pPr>
    </w:p>
    <w:p w14:paraId="72914FFB" w14:textId="567B5DD9" w:rsidR="00386EE3" w:rsidRPr="0028226B" w:rsidRDefault="00386EE3" w:rsidP="002F1BD1">
      <w:pPr>
        <w:pStyle w:val="Nagwek1"/>
        <w:shd w:val="clear" w:color="auto" w:fill="061A3D"/>
        <w:rPr>
          <w:rFonts w:ascii="Arial" w:hAnsi="Arial" w:cs="Arial"/>
          <w:b/>
          <w:bCs/>
          <w:color w:val="auto"/>
          <w:sz w:val="24"/>
          <w:szCs w:val="24"/>
        </w:rPr>
      </w:pPr>
      <w:bookmarkStart w:id="3" w:name="_Toc219375234"/>
      <w:r w:rsidRPr="0028226B">
        <w:rPr>
          <w:rFonts w:ascii="Arial" w:hAnsi="Arial" w:cs="Arial"/>
          <w:b/>
          <w:bCs/>
          <w:color w:val="auto"/>
          <w:sz w:val="24"/>
          <w:szCs w:val="24"/>
        </w:rPr>
        <w:lastRenderedPageBreak/>
        <w:t>Koncepcja</w:t>
      </w:r>
      <w:bookmarkEnd w:id="3"/>
    </w:p>
    <w:p w14:paraId="4BB6576E" w14:textId="3CB8FA7C" w:rsidR="00386EE3" w:rsidRPr="0028226B" w:rsidRDefault="70FE4FCD" w:rsidP="00696C0B">
      <w:pPr>
        <w:spacing w:before="240" w:line="360" w:lineRule="auto"/>
        <w:rPr>
          <w:rFonts w:ascii="Arial" w:hAnsi="Arial" w:cs="Arial"/>
          <w:sz w:val="24"/>
          <w:szCs w:val="24"/>
        </w:rPr>
      </w:pPr>
      <w:r w:rsidRPr="0028226B">
        <w:rPr>
          <w:rFonts w:ascii="Arial" w:hAnsi="Arial" w:cs="Arial"/>
          <w:sz w:val="24"/>
          <w:szCs w:val="24"/>
        </w:rPr>
        <w:t>Badanie jest kontynuacją wieloletniego monitoringu</w:t>
      </w:r>
      <w:r w:rsidR="00672A70">
        <w:rPr>
          <w:rStyle w:val="Odwoanieprzypisudolnego"/>
          <w:rFonts w:ascii="Arial" w:hAnsi="Arial" w:cs="Arial"/>
          <w:sz w:val="24"/>
          <w:szCs w:val="24"/>
        </w:rPr>
        <w:footnoteReference w:id="1"/>
      </w:r>
      <w:r w:rsidRPr="0028226B">
        <w:rPr>
          <w:rFonts w:ascii="Arial" w:hAnsi="Arial" w:cs="Arial"/>
          <w:sz w:val="24"/>
          <w:szCs w:val="24"/>
        </w:rPr>
        <w:t>, który od 200</w:t>
      </w:r>
      <w:r w:rsidR="002E4812">
        <w:rPr>
          <w:rFonts w:ascii="Arial" w:hAnsi="Arial" w:cs="Arial"/>
          <w:sz w:val="24"/>
          <w:szCs w:val="24"/>
        </w:rPr>
        <w:t>9</w:t>
      </w:r>
      <w:r w:rsidRPr="0028226B">
        <w:rPr>
          <w:rFonts w:ascii="Arial" w:hAnsi="Arial" w:cs="Arial"/>
          <w:sz w:val="24"/>
          <w:szCs w:val="24"/>
        </w:rPr>
        <w:t xml:space="preserve"> roku pozwala oceniać skuteczność działań informacyjnych, promocyjnych i edukacyjnych dotyczących Funduszy Europejskich. Jego zadaniem jest uchwycenie oraz zrozumienie zmian zachodzących w świadomości społecznej – zarówno w zakresie opinii, jak i postaw wobec FE. Zmiany te pojawiają się w odpowiedzi na regularnie prowadzone działania komunikacyjne.</w:t>
      </w:r>
    </w:p>
    <w:p w14:paraId="2D44EB8E" w14:textId="55001878" w:rsidR="00386EE3" w:rsidRPr="00672A70" w:rsidRDefault="70FE4FCD" w:rsidP="00696C0B">
      <w:pPr>
        <w:spacing w:line="360" w:lineRule="auto"/>
        <w:rPr>
          <w:rFonts w:ascii="Arial" w:hAnsi="Arial" w:cs="Arial"/>
          <w:sz w:val="24"/>
          <w:szCs w:val="24"/>
        </w:rPr>
      </w:pPr>
      <w:r w:rsidRPr="0028226B">
        <w:rPr>
          <w:rFonts w:ascii="Arial" w:hAnsi="Arial" w:cs="Arial"/>
          <w:sz w:val="24"/>
          <w:szCs w:val="24"/>
        </w:rPr>
        <w:t>Uzyskane rezultaty umożliwi</w:t>
      </w:r>
      <w:r w:rsidR="00A26C79">
        <w:rPr>
          <w:rFonts w:ascii="Arial" w:hAnsi="Arial" w:cs="Arial"/>
          <w:sz w:val="24"/>
          <w:szCs w:val="24"/>
        </w:rPr>
        <w:t>ają</w:t>
      </w:r>
      <w:r w:rsidRPr="0028226B">
        <w:rPr>
          <w:rFonts w:ascii="Arial" w:hAnsi="Arial" w:cs="Arial"/>
          <w:sz w:val="24"/>
          <w:szCs w:val="24"/>
        </w:rPr>
        <w:t xml:space="preserve"> nie tylko ocenę dotychczas stosowanych narzędzi i metod komunikacji</w:t>
      </w:r>
      <w:r w:rsidR="00A26C79">
        <w:rPr>
          <w:rFonts w:ascii="Arial" w:hAnsi="Arial" w:cs="Arial"/>
          <w:sz w:val="24"/>
          <w:szCs w:val="24"/>
        </w:rPr>
        <w:t xml:space="preserve">, w tym trafności ich doboru. Pozwalają również </w:t>
      </w:r>
      <w:r w:rsidRPr="0028226B">
        <w:rPr>
          <w:rFonts w:ascii="Arial" w:hAnsi="Arial" w:cs="Arial"/>
          <w:sz w:val="24"/>
          <w:szCs w:val="24"/>
        </w:rPr>
        <w:t xml:space="preserve">planować takie formy przekazu, które w przyszłości </w:t>
      </w:r>
      <w:r w:rsidR="16C73116" w:rsidRPr="0028226B">
        <w:rPr>
          <w:rFonts w:ascii="Arial" w:hAnsi="Arial" w:cs="Arial"/>
          <w:sz w:val="24"/>
          <w:szCs w:val="24"/>
        </w:rPr>
        <w:t xml:space="preserve">mogą być </w:t>
      </w:r>
      <w:r w:rsidRPr="00672A70">
        <w:rPr>
          <w:rFonts w:ascii="Arial" w:hAnsi="Arial" w:cs="Arial"/>
          <w:sz w:val="24"/>
          <w:szCs w:val="24"/>
        </w:rPr>
        <w:t>najbardziej efektywne i adekwatne do potrzeb odbiorców.</w:t>
      </w:r>
    </w:p>
    <w:p w14:paraId="15708F36" w14:textId="5733658E" w:rsidR="00BC19CE" w:rsidRPr="0028226B" w:rsidRDefault="00C700F5" w:rsidP="002F1BD1">
      <w:pPr>
        <w:pStyle w:val="Nagwek1"/>
        <w:shd w:val="clear" w:color="auto" w:fill="061A3D"/>
        <w:rPr>
          <w:rFonts w:ascii="Arial" w:hAnsi="Arial" w:cs="Arial"/>
          <w:b/>
          <w:bCs/>
          <w:color w:val="FFFFFF" w:themeColor="background1"/>
          <w:sz w:val="24"/>
          <w:szCs w:val="24"/>
        </w:rPr>
      </w:pPr>
      <w:bookmarkStart w:id="4" w:name="_Toc219375235"/>
      <w:r w:rsidRPr="0028226B">
        <w:rPr>
          <w:rFonts w:ascii="Arial" w:hAnsi="Arial" w:cs="Arial"/>
          <w:b/>
          <w:bCs/>
          <w:color w:val="FFFFFF" w:themeColor="background1"/>
          <w:sz w:val="24"/>
          <w:szCs w:val="24"/>
        </w:rPr>
        <w:t>Cele badania</w:t>
      </w:r>
      <w:bookmarkEnd w:id="4"/>
    </w:p>
    <w:p w14:paraId="25C254F2" w14:textId="74B21015" w:rsidR="00C700F5" w:rsidRPr="0028226B" w:rsidRDefault="00C700F5" w:rsidP="00696C0B">
      <w:pPr>
        <w:spacing w:before="240" w:line="360" w:lineRule="auto"/>
        <w:rPr>
          <w:rFonts w:ascii="Arial" w:hAnsi="Arial" w:cs="Arial"/>
          <w:sz w:val="24"/>
          <w:szCs w:val="24"/>
        </w:rPr>
      </w:pPr>
      <w:r w:rsidRPr="0028226B">
        <w:rPr>
          <w:rFonts w:ascii="Arial" w:hAnsi="Arial" w:cs="Arial"/>
          <w:sz w:val="24"/>
          <w:szCs w:val="24"/>
        </w:rPr>
        <w:t xml:space="preserve">Badanie koncentrowało się na </w:t>
      </w:r>
      <w:r w:rsidR="00A26C79">
        <w:rPr>
          <w:rFonts w:ascii="Arial" w:hAnsi="Arial" w:cs="Arial"/>
          <w:sz w:val="24"/>
          <w:szCs w:val="24"/>
        </w:rPr>
        <w:t xml:space="preserve">marce </w:t>
      </w:r>
      <w:r w:rsidR="00A26C79" w:rsidRPr="0028226B">
        <w:rPr>
          <w:rFonts w:ascii="Arial" w:hAnsi="Arial" w:cs="Arial"/>
          <w:sz w:val="24"/>
          <w:szCs w:val="24"/>
        </w:rPr>
        <w:t>Fundusz</w:t>
      </w:r>
      <w:r w:rsidR="00A26C79">
        <w:rPr>
          <w:rFonts w:ascii="Arial" w:hAnsi="Arial" w:cs="Arial"/>
          <w:sz w:val="24"/>
          <w:szCs w:val="24"/>
        </w:rPr>
        <w:t>y</w:t>
      </w:r>
      <w:r w:rsidR="00A26C79" w:rsidRPr="0028226B">
        <w:rPr>
          <w:rFonts w:ascii="Arial" w:hAnsi="Arial" w:cs="Arial"/>
          <w:sz w:val="24"/>
          <w:szCs w:val="24"/>
        </w:rPr>
        <w:t xml:space="preserve"> </w:t>
      </w:r>
      <w:r w:rsidRPr="0028226B">
        <w:rPr>
          <w:rFonts w:ascii="Arial" w:hAnsi="Arial" w:cs="Arial"/>
          <w:sz w:val="24"/>
          <w:szCs w:val="24"/>
        </w:rPr>
        <w:t xml:space="preserve">Europejskich, w szczególności na poziomie </w:t>
      </w:r>
      <w:r w:rsidR="00A26C79">
        <w:rPr>
          <w:rFonts w:ascii="Arial" w:hAnsi="Arial" w:cs="Arial"/>
          <w:sz w:val="24"/>
          <w:szCs w:val="24"/>
        </w:rPr>
        <w:t>je</w:t>
      </w:r>
      <w:r w:rsidR="003A1C11">
        <w:rPr>
          <w:rFonts w:ascii="Arial" w:hAnsi="Arial" w:cs="Arial"/>
          <w:sz w:val="24"/>
          <w:szCs w:val="24"/>
        </w:rPr>
        <w:t>j</w:t>
      </w:r>
      <w:r w:rsidR="00A26C79" w:rsidRPr="0028226B">
        <w:rPr>
          <w:rFonts w:ascii="Arial" w:hAnsi="Arial" w:cs="Arial"/>
          <w:sz w:val="24"/>
          <w:szCs w:val="24"/>
        </w:rPr>
        <w:t xml:space="preserve"> </w:t>
      </w:r>
      <w:r w:rsidR="00A26C79">
        <w:rPr>
          <w:rFonts w:ascii="Arial" w:hAnsi="Arial" w:cs="Arial"/>
          <w:sz w:val="24"/>
          <w:szCs w:val="24"/>
        </w:rPr>
        <w:t>rozpoznawalności</w:t>
      </w:r>
      <w:r w:rsidRPr="0028226B">
        <w:rPr>
          <w:rFonts w:ascii="Arial" w:hAnsi="Arial" w:cs="Arial"/>
          <w:sz w:val="24"/>
          <w:szCs w:val="24"/>
        </w:rPr>
        <w:t>, wiedzy o ni</w:t>
      </w:r>
      <w:r w:rsidR="003A1C11">
        <w:rPr>
          <w:rFonts w:ascii="Arial" w:hAnsi="Arial" w:cs="Arial"/>
          <w:sz w:val="24"/>
          <w:szCs w:val="24"/>
        </w:rPr>
        <w:t>ej</w:t>
      </w:r>
      <w:r w:rsidRPr="0028226B">
        <w:rPr>
          <w:rFonts w:ascii="Arial" w:hAnsi="Arial" w:cs="Arial"/>
          <w:sz w:val="24"/>
          <w:szCs w:val="24"/>
        </w:rPr>
        <w:t>, sposobach postrzegania oraz na postawach społecznych wobec FE.</w:t>
      </w:r>
    </w:p>
    <w:p w14:paraId="2B419A43" w14:textId="77777777" w:rsidR="00C700F5" w:rsidRPr="0028226B" w:rsidRDefault="00C700F5" w:rsidP="00696C0B">
      <w:pPr>
        <w:spacing w:line="360" w:lineRule="auto"/>
        <w:rPr>
          <w:rFonts w:ascii="Arial" w:hAnsi="Arial" w:cs="Arial"/>
          <w:sz w:val="24"/>
          <w:szCs w:val="24"/>
        </w:rPr>
      </w:pPr>
      <w:r w:rsidRPr="0028226B">
        <w:rPr>
          <w:rFonts w:ascii="Arial" w:hAnsi="Arial" w:cs="Arial"/>
          <w:sz w:val="24"/>
          <w:szCs w:val="24"/>
        </w:rPr>
        <w:t>Cele badania obejmowały:</w:t>
      </w:r>
    </w:p>
    <w:p w14:paraId="0EC7C7B9" w14:textId="5489A9BD" w:rsidR="00C700F5" w:rsidRPr="0028226B" w:rsidRDefault="00C700F5" w:rsidP="00696C0B">
      <w:pPr>
        <w:spacing w:line="360" w:lineRule="auto"/>
        <w:rPr>
          <w:rFonts w:ascii="Arial" w:hAnsi="Arial" w:cs="Arial"/>
          <w:sz w:val="24"/>
          <w:szCs w:val="24"/>
        </w:rPr>
      </w:pPr>
      <w:r w:rsidRPr="0028226B">
        <w:rPr>
          <w:rFonts w:ascii="Arial" w:hAnsi="Arial" w:cs="Arial"/>
          <w:sz w:val="24"/>
          <w:szCs w:val="24"/>
        </w:rPr>
        <w:t xml:space="preserve">– określenie efektów działań informacyjnych i promocyjnych poprzez ocenę zmiany poziomu wiedzy i postrzegania Funduszy Europejskich wśród ogółu polskiego społeczeństwa, z uwzględnieniem zróżnicowania zależnego od cech </w:t>
      </w:r>
      <w:proofErr w:type="spellStart"/>
      <w:r w:rsidRPr="0028226B">
        <w:rPr>
          <w:rFonts w:ascii="Arial" w:hAnsi="Arial" w:cs="Arial"/>
          <w:sz w:val="24"/>
          <w:szCs w:val="24"/>
        </w:rPr>
        <w:t>socjo</w:t>
      </w:r>
      <w:proofErr w:type="spellEnd"/>
      <w:r w:rsidR="00A26C79">
        <w:rPr>
          <w:rFonts w:ascii="Arial" w:hAnsi="Arial" w:cs="Arial"/>
          <w:sz w:val="24"/>
          <w:szCs w:val="24"/>
        </w:rPr>
        <w:t>-</w:t>
      </w:r>
      <w:r w:rsidRPr="0028226B">
        <w:rPr>
          <w:rFonts w:ascii="Arial" w:hAnsi="Arial" w:cs="Arial"/>
          <w:sz w:val="24"/>
          <w:szCs w:val="24"/>
        </w:rPr>
        <w:t>demograficznych;</w:t>
      </w:r>
    </w:p>
    <w:p w14:paraId="2145AD58" w14:textId="77777777" w:rsidR="00C700F5" w:rsidRPr="0028226B" w:rsidRDefault="00C700F5" w:rsidP="00696C0B">
      <w:pPr>
        <w:spacing w:line="360" w:lineRule="auto"/>
        <w:rPr>
          <w:rFonts w:ascii="Arial" w:hAnsi="Arial" w:cs="Arial"/>
          <w:sz w:val="24"/>
          <w:szCs w:val="24"/>
        </w:rPr>
      </w:pPr>
      <w:r w:rsidRPr="0028226B">
        <w:rPr>
          <w:rFonts w:ascii="Arial" w:hAnsi="Arial" w:cs="Arial"/>
          <w:sz w:val="24"/>
          <w:szCs w:val="24"/>
        </w:rPr>
        <w:t>– dostarczenie wartości wskaźników opisujących postęp w realizacji Strategii komunikacji polityki spójności.</w:t>
      </w:r>
    </w:p>
    <w:p w14:paraId="0917D819" w14:textId="5B3DBD17" w:rsidR="00C700F5" w:rsidRPr="00672A70" w:rsidRDefault="38E23E65" w:rsidP="00696C0B">
      <w:pPr>
        <w:spacing w:line="360" w:lineRule="auto"/>
        <w:rPr>
          <w:rFonts w:ascii="Arial" w:hAnsi="Arial" w:cs="Arial"/>
          <w:sz w:val="24"/>
          <w:szCs w:val="24"/>
        </w:rPr>
      </w:pPr>
      <w:r w:rsidRPr="0028226B">
        <w:rPr>
          <w:rFonts w:ascii="Arial" w:hAnsi="Arial" w:cs="Arial"/>
          <w:sz w:val="24"/>
          <w:szCs w:val="24"/>
        </w:rPr>
        <w:t xml:space="preserve">Bezpośrednim użytkownikiem wyników badania jest Departament Promocji Funduszy Europejskich Ministerstwa Funduszy i Polityki Regionalnej, pełniący funkcję Instytucji </w:t>
      </w:r>
      <w:r w:rsidR="008D35E8">
        <w:rPr>
          <w:rFonts w:ascii="Arial" w:hAnsi="Arial" w:cs="Arial"/>
          <w:sz w:val="24"/>
          <w:szCs w:val="24"/>
        </w:rPr>
        <w:t>ds.</w:t>
      </w:r>
      <w:r w:rsidR="37FE55FE" w:rsidRPr="0028226B">
        <w:rPr>
          <w:rFonts w:ascii="Arial" w:hAnsi="Arial" w:cs="Arial"/>
          <w:sz w:val="24"/>
          <w:szCs w:val="24"/>
        </w:rPr>
        <w:t xml:space="preserve"> </w:t>
      </w:r>
      <w:r w:rsidRPr="00672A70">
        <w:rPr>
          <w:rFonts w:ascii="Arial" w:hAnsi="Arial" w:cs="Arial"/>
          <w:sz w:val="24"/>
          <w:szCs w:val="24"/>
        </w:rPr>
        <w:t>koordynacj</w:t>
      </w:r>
      <w:r w:rsidR="254A6E33" w:rsidRPr="0028226B">
        <w:rPr>
          <w:rFonts w:ascii="Arial" w:hAnsi="Arial" w:cs="Arial"/>
          <w:sz w:val="24"/>
          <w:szCs w:val="24"/>
        </w:rPr>
        <w:t>i wdrożeniowej wz</w:t>
      </w:r>
      <w:r w:rsidR="008D35E8">
        <w:rPr>
          <w:rFonts w:ascii="Arial" w:hAnsi="Arial" w:cs="Arial"/>
          <w:sz w:val="24"/>
          <w:szCs w:val="24"/>
        </w:rPr>
        <w:t>.</w:t>
      </w:r>
      <w:r w:rsidR="254A6E33" w:rsidRPr="0028226B">
        <w:rPr>
          <w:rFonts w:ascii="Arial" w:hAnsi="Arial" w:cs="Arial"/>
          <w:sz w:val="24"/>
          <w:szCs w:val="24"/>
        </w:rPr>
        <w:t xml:space="preserve"> </w:t>
      </w:r>
      <w:r w:rsidR="7DF84F41" w:rsidRPr="00672A70">
        <w:rPr>
          <w:rFonts w:ascii="Arial" w:hAnsi="Arial" w:cs="Arial"/>
          <w:sz w:val="24"/>
          <w:szCs w:val="24"/>
        </w:rPr>
        <w:t>informac</w:t>
      </w:r>
      <w:r w:rsidR="53EB388B" w:rsidRPr="0028226B">
        <w:rPr>
          <w:rFonts w:ascii="Arial" w:hAnsi="Arial" w:cs="Arial"/>
          <w:sz w:val="24"/>
          <w:szCs w:val="24"/>
        </w:rPr>
        <w:t>ji</w:t>
      </w:r>
      <w:r w:rsidR="7DF84F41" w:rsidRPr="00672A70">
        <w:rPr>
          <w:rFonts w:ascii="Arial" w:hAnsi="Arial" w:cs="Arial"/>
          <w:sz w:val="24"/>
          <w:szCs w:val="24"/>
        </w:rPr>
        <w:t xml:space="preserve"> </w:t>
      </w:r>
      <w:r w:rsidR="008D35E8">
        <w:rPr>
          <w:rFonts w:ascii="Arial" w:hAnsi="Arial" w:cs="Arial"/>
          <w:sz w:val="24"/>
          <w:szCs w:val="24"/>
        </w:rPr>
        <w:t xml:space="preserve">i </w:t>
      </w:r>
      <w:r w:rsidRPr="00672A70">
        <w:rPr>
          <w:rFonts w:ascii="Arial" w:hAnsi="Arial" w:cs="Arial"/>
          <w:sz w:val="24"/>
          <w:szCs w:val="24"/>
        </w:rPr>
        <w:t>promoc</w:t>
      </w:r>
      <w:r w:rsidR="70F14C11" w:rsidRPr="0028226B">
        <w:rPr>
          <w:rFonts w:ascii="Arial" w:hAnsi="Arial" w:cs="Arial"/>
          <w:sz w:val="24"/>
          <w:szCs w:val="24"/>
        </w:rPr>
        <w:t>ji</w:t>
      </w:r>
      <w:r w:rsidRPr="00672A70">
        <w:rPr>
          <w:rFonts w:ascii="Arial" w:hAnsi="Arial" w:cs="Arial"/>
          <w:sz w:val="24"/>
          <w:szCs w:val="24"/>
        </w:rPr>
        <w:t xml:space="preserve"> Umowy Partnerstwa.</w:t>
      </w:r>
    </w:p>
    <w:p w14:paraId="72C9E35D" w14:textId="355AFA7B" w:rsidR="00C700F5" w:rsidRPr="0028226B" w:rsidRDefault="38E23E65" w:rsidP="00696C0B">
      <w:pPr>
        <w:spacing w:line="360" w:lineRule="auto"/>
        <w:rPr>
          <w:rFonts w:ascii="Arial" w:hAnsi="Arial" w:cs="Arial"/>
          <w:sz w:val="24"/>
          <w:szCs w:val="24"/>
        </w:rPr>
      </w:pPr>
      <w:r w:rsidRPr="00672A70">
        <w:rPr>
          <w:rFonts w:ascii="Arial" w:hAnsi="Arial" w:cs="Arial"/>
          <w:sz w:val="24"/>
          <w:szCs w:val="24"/>
        </w:rPr>
        <w:t xml:space="preserve">Odbiorcami wyników są również </w:t>
      </w:r>
      <w:r w:rsidR="00C700F5" w:rsidRPr="00672A70">
        <w:rPr>
          <w:rFonts w:ascii="Arial" w:hAnsi="Arial" w:cs="Arial"/>
          <w:sz w:val="24"/>
          <w:szCs w:val="24"/>
        </w:rPr>
        <w:t>p</w:t>
      </w:r>
      <w:r w:rsidRPr="00672A70">
        <w:rPr>
          <w:rFonts w:ascii="Arial" w:hAnsi="Arial" w:cs="Arial"/>
          <w:sz w:val="24"/>
          <w:szCs w:val="24"/>
        </w:rPr>
        <w:t>ozostał</w:t>
      </w:r>
      <w:r w:rsidR="03E825C3" w:rsidRPr="0028226B">
        <w:rPr>
          <w:rFonts w:ascii="Arial" w:hAnsi="Arial" w:cs="Arial"/>
          <w:sz w:val="24"/>
          <w:szCs w:val="24"/>
        </w:rPr>
        <w:t>e</w:t>
      </w:r>
      <w:r w:rsidRPr="0028226B">
        <w:rPr>
          <w:rFonts w:ascii="Arial" w:hAnsi="Arial" w:cs="Arial"/>
          <w:sz w:val="24"/>
          <w:szCs w:val="24"/>
        </w:rPr>
        <w:t xml:space="preserve"> instytucj</w:t>
      </w:r>
      <w:r w:rsidR="3567EAE7" w:rsidRPr="0028226B">
        <w:rPr>
          <w:rFonts w:ascii="Arial" w:hAnsi="Arial" w:cs="Arial"/>
          <w:sz w:val="24"/>
          <w:szCs w:val="24"/>
        </w:rPr>
        <w:t xml:space="preserve">e </w:t>
      </w:r>
      <w:r w:rsidRPr="00672A70">
        <w:rPr>
          <w:rFonts w:ascii="Arial" w:hAnsi="Arial" w:cs="Arial"/>
          <w:sz w:val="24"/>
          <w:szCs w:val="24"/>
        </w:rPr>
        <w:t>zaangażowan</w:t>
      </w:r>
      <w:r w:rsidR="5BD713D1" w:rsidRPr="0028226B">
        <w:rPr>
          <w:rFonts w:ascii="Arial" w:hAnsi="Arial" w:cs="Arial"/>
          <w:sz w:val="24"/>
          <w:szCs w:val="24"/>
        </w:rPr>
        <w:t>e</w:t>
      </w:r>
      <w:r w:rsidRPr="0028226B">
        <w:rPr>
          <w:rFonts w:ascii="Arial" w:hAnsi="Arial" w:cs="Arial"/>
          <w:sz w:val="24"/>
          <w:szCs w:val="24"/>
        </w:rPr>
        <w:t xml:space="preserve"> w realizację krajowych i regionalnych programów Funduszy Europejskich, któr</w:t>
      </w:r>
      <w:r w:rsidR="001547D2" w:rsidRPr="0028226B">
        <w:rPr>
          <w:rFonts w:ascii="Arial" w:hAnsi="Arial" w:cs="Arial"/>
          <w:sz w:val="24"/>
          <w:szCs w:val="24"/>
        </w:rPr>
        <w:t>e</w:t>
      </w:r>
      <w:r w:rsidRPr="0028226B">
        <w:rPr>
          <w:rFonts w:ascii="Arial" w:hAnsi="Arial" w:cs="Arial"/>
          <w:sz w:val="24"/>
          <w:szCs w:val="24"/>
        </w:rPr>
        <w:t xml:space="preserve"> odpowiadają za planowanie i prowadzenie działań komunikacyjnych dotyczących polityki spójności.</w:t>
      </w:r>
    </w:p>
    <w:p w14:paraId="311BBCD4" w14:textId="3EEC972E" w:rsidR="009B30C1" w:rsidRPr="0028226B" w:rsidRDefault="009B30C1" w:rsidP="00BA6140">
      <w:pPr>
        <w:pStyle w:val="Nagwek1"/>
        <w:shd w:val="clear" w:color="auto" w:fill="061A3D"/>
        <w:rPr>
          <w:rFonts w:ascii="Arial" w:hAnsi="Arial" w:cs="Arial"/>
          <w:b/>
          <w:bCs/>
          <w:color w:val="FFFFFF" w:themeColor="background1"/>
          <w:sz w:val="24"/>
          <w:szCs w:val="24"/>
        </w:rPr>
      </w:pPr>
      <w:bookmarkStart w:id="5" w:name="_Toc219375236"/>
      <w:r w:rsidRPr="0028226B">
        <w:rPr>
          <w:rFonts w:ascii="Arial" w:hAnsi="Arial" w:cs="Arial"/>
          <w:b/>
          <w:bCs/>
          <w:color w:val="FFFFFF" w:themeColor="background1"/>
          <w:sz w:val="24"/>
          <w:szCs w:val="24"/>
        </w:rPr>
        <w:lastRenderedPageBreak/>
        <w:t>Metodologia badania</w:t>
      </w:r>
      <w:bookmarkEnd w:id="5"/>
    </w:p>
    <w:p w14:paraId="1027D7AD" w14:textId="6A8C012E" w:rsidR="009B30C1" w:rsidRPr="00D762DB" w:rsidRDefault="009B30C1" w:rsidP="00696C0B">
      <w:pPr>
        <w:spacing w:before="240" w:line="360" w:lineRule="auto"/>
        <w:rPr>
          <w:rFonts w:ascii="Arial" w:hAnsi="Arial" w:cs="Arial"/>
          <w:b/>
          <w:bCs/>
          <w:sz w:val="24"/>
          <w:szCs w:val="24"/>
        </w:rPr>
      </w:pPr>
      <w:r w:rsidRPr="00D762DB">
        <w:rPr>
          <w:rFonts w:ascii="Arial" w:hAnsi="Arial" w:cs="Arial"/>
          <w:b/>
          <w:bCs/>
          <w:sz w:val="24"/>
          <w:szCs w:val="24"/>
        </w:rPr>
        <w:t>Dobór próby do badania</w:t>
      </w:r>
    </w:p>
    <w:p w14:paraId="6389C656" w14:textId="74D27493" w:rsidR="009B30C1" w:rsidRPr="0028226B" w:rsidRDefault="009B30C1" w:rsidP="00696C0B">
      <w:pPr>
        <w:spacing w:line="360" w:lineRule="auto"/>
        <w:rPr>
          <w:rFonts w:ascii="Arial" w:hAnsi="Arial" w:cs="Arial"/>
          <w:sz w:val="24"/>
          <w:szCs w:val="24"/>
        </w:rPr>
      </w:pPr>
      <w:r w:rsidRPr="0028226B">
        <w:rPr>
          <w:rFonts w:ascii="Arial" w:hAnsi="Arial" w:cs="Arial"/>
          <w:sz w:val="24"/>
          <w:szCs w:val="24"/>
        </w:rPr>
        <w:t>Badanie rozpoznawalności i wiedzy o Funduszach Europejskich w społeczeństwie polskim przeprowadzono w dniach 15.10.2025 – 25.10.2025 r. w formie wywiadów terenowych realizowanych przez ankieterów w miejscu zamieszkania respondentów</w:t>
      </w:r>
      <w:r w:rsidR="00DB0E8D" w:rsidRPr="0028226B">
        <w:rPr>
          <w:rFonts w:ascii="Arial" w:hAnsi="Arial" w:cs="Arial"/>
          <w:sz w:val="24"/>
          <w:szCs w:val="24"/>
        </w:rPr>
        <w:t xml:space="preserve"> (technika CAPI)</w:t>
      </w:r>
      <w:r w:rsidRPr="0028226B">
        <w:rPr>
          <w:rFonts w:ascii="Arial" w:hAnsi="Arial" w:cs="Arial"/>
          <w:sz w:val="24"/>
          <w:szCs w:val="24"/>
        </w:rPr>
        <w:t xml:space="preserve">. Pomiar objął mieszkańców Polski w wieku </w:t>
      </w:r>
      <w:r w:rsidR="004E1996" w:rsidRPr="0028226B">
        <w:rPr>
          <w:rFonts w:ascii="Arial" w:hAnsi="Arial" w:cs="Arial"/>
          <w:sz w:val="24"/>
          <w:szCs w:val="24"/>
        </w:rPr>
        <w:t xml:space="preserve">15 </w:t>
      </w:r>
      <w:r w:rsidRPr="0028226B">
        <w:rPr>
          <w:rFonts w:ascii="Arial" w:hAnsi="Arial" w:cs="Arial"/>
          <w:sz w:val="24"/>
          <w:szCs w:val="24"/>
        </w:rPr>
        <w:t>lat i więcej. Próba miała charakter reprezentatywny dla populacji ogólnopolskiej pod względem najważniejszych cech społeczno-demograficznych.</w:t>
      </w:r>
    </w:p>
    <w:p w14:paraId="378ABDD0" w14:textId="77777777" w:rsidR="009B30C1" w:rsidRPr="0028226B" w:rsidRDefault="009B30C1" w:rsidP="00696C0B">
      <w:pPr>
        <w:spacing w:line="360" w:lineRule="auto"/>
        <w:rPr>
          <w:rFonts w:ascii="Arial" w:hAnsi="Arial" w:cs="Arial"/>
          <w:sz w:val="24"/>
          <w:szCs w:val="24"/>
        </w:rPr>
      </w:pPr>
      <w:r w:rsidRPr="0028226B">
        <w:rPr>
          <w:rFonts w:ascii="Arial" w:hAnsi="Arial" w:cs="Arial"/>
          <w:sz w:val="24"/>
          <w:szCs w:val="24"/>
        </w:rPr>
        <w:t>Łącznie zrealizowano N=1000 wywiadów.</w:t>
      </w:r>
    </w:p>
    <w:p w14:paraId="60A0B5F8" w14:textId="77777777" w:rsidR="009B30C1" w:rsidRPr="0028226B" w:rsidRDefault="009B30C1" w:rsidP="00696C0B">
      <w:pPr>
        <w:spacing w:line="360" w:lineRule="auto"/>
        <w:rPr>
          <w:rFonts w:ascii="Arial" w:hAnsi="Arial" w:cs="Arial"/>
          <w:sz w:val="24"/>
          <w:szCs w:val="24"/>
        </w:rPr>
      </w:pPr>
      <w:r w:rsidRPr="0028226B">
        <w:rPr>
          <w:rFonts w:ascii="Arial" w:hAnsi="Arial" w:cs="Arial"/>
          <w:sz w:val="24"/>
          <w:szCs w:val="24"/>
        </w:rPr>
        <w:t>W procesie doboru próby zastosowano warstwowanie ze względu na kluczowe zmienne: płeć, wiek, województwo oraz wielkość miejscowości zamieszkania. Struktura próby odzwierciedlała rozkład populacji według danych Głównego Urzędu Statystycznego (stan na 31.12.2024 r.). Próba miała charakter kwotowo-losowy: na poziomie poszczególnych warstw określono kwoty odpowiadające udziałowi danej grupy w populacji, a w obrębie gospodarstw domowych losowano osobę spełniającą przyjęte kryteria.</w:t>
      </w:r>
    </w:p>
    <w:p w14:paraId="1071CA08" w14:textId="280E29A4" w:rsidR="009B30C1" w:rsidRPr="0028226B" w:rsidRDefault="009B30C1" w:rsidP="00696C0B">
      <w:pPr>
        <w:spacing w:line="360" w:lineRule="auto"/>
        <w:rPr>
          <w:rFonts w:ascii="Arial" w:hAnsi="Arial" w:cs="Arial"/>
          <w:sz w:val="24"/>
          <w:szCs w:val="24"/>
        </w:rPr>
      </w:pPr>
      <w:r w:rsidRPr="0028226B">
        <w:rPr>
          <w:rFonts w:ascii="Arial" w:hAnsi="Arial" w:cs="Arial"/>
          <w:sz w:val="24"/>
          <w:szCs w:val="24"/>
        </w:rPr>
        <w:t>Szacunkowy błąd pomiaru dla próby ogólnopolskiej o liczebności N=1000, przy poziomie ufności 95%, nie przekracza 5 punkt</w:t>
      </w:r>
      <w:r w:rsidR="00430535">
        <w:rPr>
          <w:rFonts w:ascii="Arial" w:hAnsi="Arial" w:cs="Arial"/>
          <w:sz w:val="24"/>
          <w:szCs w:val="24"/>
        </w:rPr>
        <w:t>ów</w:t>
      </w:r>
      <w:r w:rsidRPr="0028226B">
        <w:rPr>
          <w:rFonts w:ascii="Arial" w:hAnsi="Arial" w:cs="Arial"/>
          <w:sz w:val="24"/>
          <w:szCs w:val="24"/>
        </w:rPr>
        <w:t xml:space="preserve"> procentow</w:t>
      </w:r>
      <w:r w:rsidR="00430535">
        <w:rPr>
          <w:rFonts w:ascii="Arial" w:hAnsi="Arial" w:cs="Arial"/>
          <w:sz w:val="24"/>
          <w:szCs w:val="24"/>
        </w:rPr>
        <w:t>ych</w:t>
      </w:r>
      <w:r w:rsidRPr="0028226B">
        <w:rPr>
          <w:rFonts w:ascii="Arial" w:hAnsi="Arial" w:cs="Arial"/>
          <w:sz w:val="24"/>
          <w:szCs w:val="24"/>
        </w:rPr>
        <w:t>.</w:t>
      </w:r>
    </w:p>
    <w:p w14:paraId="78604DB3" w14:textId="1159C292" w:rsidR="009B30C1" w:rsidRPr="00430535" w:rsidRDefault="009B30C1" w:rsidP="00696C0B">
      <w:pPr>
        <w:spacing w:line="360" w:lineRule="auto"/>
        <w:rPr>
          <w:rFonts w:ascii="Arial" w:hAnsi="Arial" w:cs="Arial"/>
          <w:b/>
          <w:bCs/>
          <w:sz w:val="24"/>
          <w:szCs w:val="24"/>
        </w:rPr>
      </w:pPr>
      <w:r w:rsidRPr="00430535">
        <w:rPr>
          <w:rFonts w:ascii="Arial" w:hAnsi="Arial" w:cs="Arial"/>
          <w:b/>
          <w:bCs/>
          <w:sz w:val="24"/>
          <w:szCs w:val="24"/>
        </w:rPr>
        <w:t>Realizacja badania i narzędzie badawcze</w:t>
      </w:r>
    </w:p>
    <w:p w14:paraId="2191C018" w14:textId="77777777" w:rsidR="009B30C1" w:rsidRPr="0028226B" w:rsidRDefault="009B30C1" w:rsidP="00696C0B">
      <w:pPr>
        <w:spacing w:line="360" w:lineRule="auto"/>
        <w:rPr>
          <w:rFonts w:ascii="Arial" w:hAnsi="Arial" w:cs="Arial"/>
          <w:sz w:val="24"/>
          <w:szCs w:val="24"/>
        </w:rPr>
      </w:pPr>
      <w:r w:rsidRPr="0028226B">
        <w:rPr>
          <w:rFonts w:ascii="Arial" w:hAnsi="Arial" w:cs="Arial"/>
          <w:sz w:val="24"/>
          <w:szCs w:val="24"/>
        </w:rPr>
        <w:t>Badanie zostało przeprowadzone z wykorzystaniem standaryzowanego kwestionariusza ankietowego. Ankieterzy pracowali zgodnie z jednolitą instrukcją terenową, co zapewniło porównywalność warunków zbierania danych na obszarze całego kraju. Kwestionariusz zawierał pytania zamknięte oraz wybrane pytania półotwarte, pozwalające na uchwycenie zarówno deklaratywnego poziomu wiedzy i rozpoznawalności Funduszy Europejskich, jak i skojarzeń oraz opinii badanych.</w:t>
      </w:r>
    </w:p>
    <w:p w14:paraId="6F831A21" w14:textId="77777777" w:rsidR="009B30C1" w:rsidRPr="0028226B" w:rsidRDefault="009B30C1" w:rsidP="00696C0B">
      <w:pPr>
        <w:spacing w:line="360" w:lineRule="auto"/>
        <w:rPr>
          <w:rFonts w:ascii="Arial" w:hAnsi="Arial" w:cs="Arial"/>
          <w:sz w:val="24"/>
          <w:szCs w:val="24"/>
        </w:rPr>
      </w:pPr>
      <w:r w:rsidRPr="0028226B">
        <w:rPr>
          <w:rFonts w:ascii="Arial" w:hAnsi="Arial" w:cs="Arial"/>
          <w:sz w:val="24"/>
          <w:szCs w:val="24"/>
        </w:rPr>
        <w:t>Na etapie realizacji terenowej stosowano standardowe procedury kontroli jakości, w tym: weryfikację poprawności doboru respondentów, kontrolę czasu trwania wywiadów oraz kontrolę logiczną wypełnionych kwestionariuszy. Po zakończeniu prac terenowych dane zostały poddane dodatkowej kontroli spójności i kompletności, a następnie przygotowane do analizy statystycznej.</w:t>
      </w:r>
    </w:p>
    <w:p w14:paraId="138E53C9" w14:textId="00ECA3EF" w:rsidR="009B30C1" w:rsidRPr="00430535" w:rsidRDefault="009B30C1" w:rsidP="00696C0B">
      <w:pPr>
        <w:spacing w:line="360" w:lineRule="auto"/>
        <w:rPr>
          <w:rFonts w:ascii="Arial" w:hAnsi="Arial" w:cs="Arial"/>
          <w:b/>
          <w:bCs/>
          <w:sz w:val="24"/>
          <w:szCs w:val="24"/>
        </w:rPr>
      </w:pPr>
      <w:r w:rsidRPr="00430535">
        <w:rPr>
          <w:rFonts w:ascii="Arial" w:hAnsi="Arial" w:cs="Arial"/>
          <w:b/>
          <w:bCs/>
          <w:sz w:val="24"/>
          <w:szCs w:val="24"/>
        </w:rPr>
        <w:lastRenderedPageBreak/>
        <w:t>Ważenie danych</w:t>
      </w:r>
    </w:p>
    <w:p w14:paraId="5630F9CB" w14:textId="77777777" w:rsidR="009B30C1" w:rsidRPr="0028226B" w:rsidRDefault="009B30C1" w:rsidP="00696C0B">
      <w:pPr>
        <w:spacing w:line="360" w:lineRule="auto"/>
        <w:rPr>
          <w:rFonts w:ascii="Arial" w:hAnsi="Arial" w:cs="Arial"/>
          <w:sz w:val="24"/>
          <w:szCs w:val="24"/>
        </w:rPr>
      </w:pPr>
      <w:r w:rsidRPr="0028226B">
        <w:rPr>
          <w:rFonts w:ascii="Arial" w:hAnsi="Arial" w:cs="Arial"/>
          <w:sz w:val="24"/>
          <w:szCs w:val="24"/>
        </w:rPr>
        <w:t>Dane z badania nie były ważone. Analizy statystyczne przedstawione w raporcie opierają się na surowej próbie N=1000, uzyskanej w toku realizacji terenowej, przy zachowaniu założonej struktury demograficznej.</w:t>
      </w:r>
    </w:p>
    <w:p w14:paraId="2FEBCE4B" w14:textId="0F992351" w:rsidR="009B30C1" w:rsidRPr="00430535" w:rsidRDefault="009B30C1" w:rsidP="00696C0B">
      <w:pPr>
        <w:spacing w:line="360" w:lineRule="auto"/>
        <w:rPr>
          <w:rFonts w:ascii="Arial" w:hAnsi="Arial" w:cs="Arial"/>
          <w:b/>
          <w:bCs/>
          <w:sz w:val="24"/>
          <w:szCs w:val="24"/>
        </w:rPr>
      </w:pPr>
      <w:r w:rsidRPr="00430535">
        <w:rPr>
          <w:rFonts w:ascii="Arial" w:hAnsi="Arial" w:cs="Arial"/>
          <w:b/>
          <w:bCs/>
          <w:sz w:val="24"/>
          <w:szCs w:val="24"/>
        </w:rPr>
        <w:t>Wykonawcy badań w latach 2009–2025</w:t>
      </w:r>
    </w:p>
    <w:p w14:paraId="0455DC28" w14:textId="77777777" w:rsidR="009B30C1" w:rsidRPr="0028226B" w:rsidRDefault="009B30C1" w:rsidP="00696C0B">
      <w:pPr>
        <w:spacing w:line="360" w:lineRule="auto"/>
        <w:rPr>
          <w:rFonts w:ascii="Arial" w:hAnsi="Arial" w:cs="Arial"/>
          <w:sz w:val="24"/>
          <w:szCs w:val="24"/>
        </w:rPr>
      </w:pPr>
      <w:r w:rsidRPr="0028226B">
        <w:rPr>
          <w:rFonts w:ascii="Arial" w:hAnsi="Arial" w:cs="Arial"/>
          <w:sz w:val="24"/>
          <w:szCs w:val="24"/>
        </w:rPr>
        <w:t xml:space="preserve">W niniejszym raporcie, </w:t>
      </w:r>
      <w:proofErr w:type="gramStart"/>
      <w:r w:rsidRPr="0028226B">
        <w:rPr>
          <w:rFonts w:ascii="Arial" w:hAnsi="Arial" w:cs="Arial"/>
          <w:sz w:val="24"/>
          <w:szCs w:val="24"/>
        </w:rPr>
        <w:t>tam</w:t>
      </w:r>
      <w:proofErr w:type="gramEnd"/>
      <w:r w:rsidRPr="0028226B">
        <w:rPr>
          <w:rFonts w:ascii="Arial" w:hAnsi="Arial" w:cs="Arial"/>
          <w:sz w:val="24"/>
          <w:szCs w:val="24"/>
        </w:rPr>
        <w:t xml:space="preserve"> gdzie jest to zasadne, odwołujemy się do wyników pomiarów realizowanych w poprzednich latach. Zestawienie wykonawców oraz liczebności prób w poszczególnych edycjach przedstawia poniższa tabela.</w:t>
      </w:r>
    </w:p>
    <w:p w14:paraId="6CEB93E4" w14:textId="77777777" w:rsidR="009B30C1" w:rsidRPr="00696C0B" w:rsidRDefault="009B30C1" w:rsidP="009B30C1">
      <w:pPr>
        <w:rPr>
          <w:rFonts w:ascii="Arial" w:hAnsi="Arial" w:cs="Arial"/>
          <w:b/>
          <w:bCs/>
          <w:sz w:val="24"/>
          <w:szCs w:val="24"/>
        </w:rPr>
      </w:pPr>
      <w:r w:rsidRPr="00696C0B">
        <w:rPr>
          <w:rFonts w:ascii="Arial" w:hAnsi="Arial" w:cs="Arial"/>
          <w:b/>
          <w:bCs/>
          <w:sz w:val="24"/>
          <w:szCs w:val="24"/>
        </w:rPr>
        <w:t>Tabela 1. Wykonawcy badań realizowanych w latach 2009–2025</w:t>
      </w:r>
    </w:p>
    <w:tbl>
      <w:tblPr>
        <w:tblStyle w:val="Tabelasiatki1jasna"/>
        <w:tblW w:w="8978" w:type="dxa"/>
        <w:tblLook w:val="04A0" w:firstRow="1" w:lastRow="0" w:firstColumn="1" w:lastColumn="0" w:noHBand="0" w:noVBand="1"/>
      </w:tblPr>
      <w:tblGrid>
        <w:gridCol w:w="2487"/>
        <w:gridCol w:w="3973"/>
        <w:gridCol w:w="2518"/>
      </w:tblGrid>
      <w:tr w:rsidR="009B30C1" w:rsidRPr="0028226B" w14:paraId="39F7F368" w14:textId="77777777" w:rsidTr="0096116B">
        <w:trPr>
          <w:cnfStyle w:val="100000000000" w:firstRow="1" w:lastRow="0" w:firstColumn="0" w:lastColumn="0" w:oddVBand="0" w:evenVBand="0" w:oddHBand="0" w:evenHBand="0" w:firstRowFirstColumn="0" w:firstRowLastColumn="0" w:lastRowFirstColumn="0" w:lastRowLastColumn="0"/>
          <w:trHeight w:val="319"/>
          <w:tblHeader/>
        </w:trPr>
        <w:tc>
          <w:tcPr>
            <w:cnfStyle w:val="001000000000" w:firstRow="0" w:lastRow="0" w:firstColumn="1" w:lastColumn="0" w:oddVBand="0" w:evenVBand="0" w:oddHBand="0" w:evenHBand="0" w:firstRowFirstColumn="0" w:firstRowLastColumn="0" w:lastRowFirstColumn="0" w:lastRowLastColumn="0"/>
            <w:tcW w:w="0" w:type="auto"/>
            <w:hideMark/>
          </w:tcPr>
          <w:p w14:paraId="249575DC" w14:textId="77777777" w:rsidR="009B30C1" w:rsidRPr="0028226B" w:rsidRDefault="009B30C1" w:rsidP="009B30C1">
            <w:pPr>
              <w:spacing w:after="160" w:line="259" w:lineRule="auto"/>
              <w:rPr>
                <w:rFonts w:ascii="Arial" w:hAnsi="Arial" w:cs="Arial"/>
                <w:sz w:val="24"/>
                <w:szCs w:val="24"/>
              </w:rPr>
            </w:pPr>
            <w:r w:rsidRPr="0028226B">
              <w:rPr>
                <w:rFonts w:ascii="Arial" w:hAnsi="Arial" w:cs="Arial"/>
                <w:sz w:val="24"/>
                <w:szCs w:val="24"/>
              </w:rPr>
              <w:t>Edycja badania</w:t>
            </w:r>
          </w:p>
        </w:tc>
        <w:tc>
          <w:tcPr>
            <w:tcW w:w="0" w:type="auto"/>
            <w:hideMark/>
          </w:tcPr>
          <w:p w14:paraId="14D73F48" w14:textId="77777777" w:rsidR="009B30C1" w:rsidRPr="0028226B" w:rsidRDefault="009B30C1" w:rsidP="009B30C1">
            <w:pPr>
              <w:spacing w:after="160" w:line="259" w:lineRule="auto"/>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28226B">
              <w:rPr>
                <w:rFonts w:ascii="Arial" w:hAnsi="Arial" w:cs="Arial"/>
                <w:sz w:val="24"/>
                <w:szCs w:val="24"/>
              </w:rPr>
              <w:t>Wykonawca</w:t>
            </w:r>
          </w:p>
        </w:tc>
        <w:tc>
          <w:tcPr>
            <w:tcW w:w="0" w:type="auto"/>
            <w:hideMark/>
          </w:tcPr>
          <w:p w14:paraId="20A37623" w14:textId="77777777" w:rsidR="009B30C1" w:rsidRPr="0028226B" w:rsidRDefault="009B30C1" w:rsidP="009B30C1">
            <w:pPr>
              <w:spacing w:after="160" w:line="259" w:lineRule="auto"/>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28226B">
              <w:rPr>
                <w:rFonts w:ascii="Arial" w:hAnsi="Arial" w:cs="Arial"/>
                <w:sz w:val="24"/>
                <w:szCs w:val="24"/>
              </w:rPr>
              <w:t>Wielkość próby</w:t>
            </w:r>
          </w:p>
        </w:tc>
      </w:tr>
      <w:tr w:rsidR="009B30C1" w:rsidRPr="0028226B" w14:paraId="0A574501" w14:textId="77777777" w:rsidTr="009B30C1">
        <w:trPr>
          <w:trHeight w:val="319"/>
        </w:trPr>
        <w:tc>
          <w:tcPr>
            <w:cnfStyle w:val="001000000000" w:firstRow="0" w:lastRow="0" w:firstColumn="1" w:lastColumn="0" w:oddVBand="0" w:evenVBand="0" w:oddHBand="0" w:evenHBand="0" w:firstRowFirstColumn="0" w:firstRowLastColumn="0" w:lastRowFirstColumn="0" w:lastRowLastColumn="0"/>
            <w:tcW w:w="0" w:type="auto"/>
            <w:hideMark/>
          </w:tcPr>
          <w:p w14:paraId="7841BCB0" w14:textId="77777777" w:rsidR="009B30C1" w:rsidRPr="0028226B" w:rsidRDefault="009B30C1" w:rsidP="009B30C1">
            <w:pPr>
              <w:spacing w:after="160" w:line="259" w:lineRule="auto"/>
              <w:rPr>
                <w:rFonts w:ascii="Arial" w:hAnsi="Arial" w:cs="Arial"/>
                <w:sz w:val="24"/>
                <w:szCs w:val="24"/>
              </w:rPr>
            </w:pPr>
            <w:r w:rsidRPr="0028226B">
              <w:rPr>
                <w:rFonts w:ascii="Arial" w:hAnsi="Arial" w:cs="Arial"/>
                <w:sz w:val="24"/>
                <w:szCs w:val="24"/>
              </w:rPr>
              <w:t>2009</w:t>
            </w:r>
          </w:p>
        </w:tc>
        <w:tc>
          <w:tcPr>
            <w:tcW w:w="0" w:type="auto"/>
            <w:hideMark/>
          </w:tcPr>
          <w:p w14:paraId="0CF098F6" w14:textId="77777777" w:rsidR="009B30C1" w:rsidRPr="0028226B" w:rsidRDefault="009B30C1" w:rsidP="009B30C1">
            <w:pPr>
              <w:spacing w:after="160" w:line="259"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28226B">
              <w:rPr>
                <w:rFonts w:ascii="Arial" w:hAnsi="Arial" w:cs="Arial"/>
                <w:sz w:val="24"/>
                <w:szCs w:val="24"/>
              </w:rPr>
              <w:t>PBS DGA</w:t>
            </w:r>
          </w:p>
        </w:tc>
        <w:tc>
          <w:tcPr>
            <w:tcW w:w="0" w:type="auto"/>
            <w:hideMark/>
          </w:tcPr>
          <w:p w14:paraId="0528D3F0" w14:textId="77777777" w:rsidR="009B30C1" w:rsidRPr="0028226B" w:rsidRDefault="009B30C1" w:rsidP="009B30C1">
            <w:pPr>
              <w:spacing w:after="160" w:line="259"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28226B">
              <w:rPr>
                <w:rFonts w:ascii="Arial" w:hAnsi="Arial" w:cs="Arial"/>
                <w:sz w:val="24"/>
                <w:szCs w:val="24"/>
              </w:rPr>
              <w:t>N=1610</w:t>
            </w:r>
          </w:p>
        </w:tc>
      </w:tr>
      <w:tr w:rsidR="009B30C1" w:rsidRPr="0028226B" w14:paraId="4D8B3320" w14:textId="77777777" w:rsidTr="009B30C1">
        <w:trPr>
          <w:trHeight w:val="319"/>
        </w:trPr>
        <w:tc>
          <w:tcPr>
            <w:cnfStyle w:val="001000000000" w:firstRow="0" w:lastRow="0" w:firstColumn="1" w:lastColumn="0" w:oddVBand="0" w:evenVBand="0" w:oddHBand="0" w:evenHBand="0" w:firstRowFirstColumn="0" w:firstRowLastColumn="0" w:lastRowFirstColumn="0" w:lastRowLastColumn="0"/>
            <w:tcW w:w="0" w:type="auto"/>
            <w:hideMark/>
          </w:tcPr>
          <w:p w14:paraId="50FEEE49" w14:textId="77777777" w:rsidR="009B30C1" w:rsidRPr="0028226B" w:rsidRDefault="009B30C1" w:rsidP="009B30C1">
            <w:pPr>
              <w:spacing w:after="160" w:line="259" w:lineRule="auto"/>
              <w:rPr>
                <w:rFonts w:ascii="Arial" w:hAnsi="Arial" w:cs="Arial"/>
                <w:sz w:val="24"/>
                <w:szCs w:val="24"/>
              </w:rPr>
            </w:pPr>
            <w:r w:rsidRPr="0028226B">
              <w:rPr>
                <w:rFonts w:ascii="Arial" w:hAnsi="Arial" w:cs="Arial"/>
                <w:sz w:val="24"/>
                <w:szCs w:val="24"/>
              </w:rPr>
              <w:t>2010</w:t>
            </w:r>
          </w:p>
        </w:tc>
        <w:tc>
          <w:tcPr>
            <w:tcW w:w="0" w:type="auto"/>
            <w:hideMark/>
          </w:tcPr>
          <w:p w14:paraId="5F0845D4" w14:textId="77777777" w:rsidR="009B30C1" w:rsidRPr="0028226B" w:rsidRDefault="009B30C1" w:rsidP="009B30C1">
            <w:pPr>
              <w:spacing w:after="160" w:line="259"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roofErr w:type="spellStart"/>
            <w:r w:rsidRPr="0028226B">
              <w:rPr>
                <w:rFonts w:ascii="Arial" w:hAnsi="Arial" w:cs="Arial"/>
                <w:sz w:val="24"/>
                <w:szCs w:val="24"/>
              </w:rPr>
              <w:t>Millward</w:t>
            </w:r>
            <w:proofErr w:type="spellEnd"/>
            <w:r w:rsidRPr="0028226B">
              <w:rPr>
                <w:rFonts w:ascii="Arial" w:hAnsi="Arial" w:cs="Arial"/>
                <w:sz w:val="24"/>
                <w:szCs w:val="24"/>
              </w:rPr>
              <w:t xml:space="preserve"> Brown SMG/KRC</w:t>
            </w:r>
          </w:p>
        </w:tc>
        <w:tc>
          <w:tcPr>
            <w:tcW w:w="0" w:type="auto"/>
            <w:hideMark/>
          </w:tcPr>
          <w:p w14:paraId="5B6BB1A7" w14:textId="77777777" w:rsidR="009B30C1" w:rsidRPr="0028226B" w:rsidRDefault="009B30C1" w:rsidP="009B30C1">
            <w:pPr>
              <w:spacing w:after="160" w:line="259"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28226B">
              <w:rPr>
                <w:rFonts w:ascii="Arial" w:hAnsi="Arial" w:cs="Arial"/>
                <w:sz w:val="24"/>
                <w:szCs w:val="24"/>
              </w:rPr>
              <w:t>N=1611</w:t>
            </w:r>
          </w:p>
        </w:tc>
      </w:tr>
      <w:tr w:rsidR="009B30C1" w:rsidRPr="0028226B" w14:paraId="00A2DC82" w14:textId="77777777" w:rsidTr="009B30C1">
        <w:trPr>
          <w:trHeight w:val="328"/>
        </w:trPr>
        <w:tc>
          <w:tcPr>
            <w:cnfStyle w:val="001000000000" w:firstRow="0" w:lastRow="0" w:firstColumn="1" w:lastColumn="0" w:oddVBand="0" w:evenVBand="0" w:oddHBand="0" w:evenHBand="0" w:firstRowFirstColumn="0" w:firstRowLastColumn="0" w:lastRowFirstColumn="0" w:lastRowLastColumn="0"/>
            <w:tcW w:w="0" w:type="auto"/>
            <w:hideMark/>
          </w:tcPr>
          <w:p w14:paraId="70353C32" w14:textId="77777777" w:rsidR="009B30C1" w:rsidRPr="0028226B" w:rsidRDefault="009B30C1" w:rsidP="009B30C1">
            <w:pPr>
              <w:spacing w:after="160" w:line="259" w:lineRule="auto"/>
              <w:rPr>
                <w:rFonts w:ascii="Arial" w:hAnsi="Arial" w:cs="Arial"/>
                <w:sz w:val="24"/>
                <w:szCs w:val="24"/>
              </w:rPr>
            </w:pPr>
            <w:r w:rsidRPr="0028226B">
              <w:rPr>
                <w:rFonts w:ascii="Arial" w:hAnsi="Arial" w:cs="Arial"/>
                <w:sz w:val="24"/>
                <w:szCs w:val="24"/>
              </w:rPr>
              <w:t>2011</w:t>
            </w:r>
          </w:p>
        </w:tc>
        <w:tc>
          <w:tcPr>
            <w:tcW w:w="0" w:type="auto"/>
            <w:hideMark/>
          </w:tcPr>
          <w:p w14:paraId="455347BE" w14:textId="77777777" w:rsidR="009B30C1" w:rsidRPr="0028226B" w:rsidRDefault="009B30C1" w:rsidP="009B30C1">
            <w:pPr>
              <w:spacing w:after="160" w:line="259"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28226B">
              <w:rPr>
                <w:rFonts w:ascii="Arial" w:hAnsi="Arial" w:cs="Arial"/>
                <w:sz w:val="24"/>
                <w:szCs w:val="24"/>
              </w:rPr>
              <w:t>TNS OBOP</w:t>
            </w:r>
          </w:p>
        </w:tc>
        <w:tc>
          <w:tcPr>
            <w:tcW w:w="0" w:type="auto"/>
            <w:hideMark/>
          </w:tcPr>
          <w:p w14:paraId="26F42E59" w14:textId="77777777" w:rsidR="009B30C1" w:rsidRPr="0028226B" w:rsidRDefault="009B30C1" w:rsidP="009B30C1">
            <w:pPr>
              <w:spacing w:after="160" w:line="259"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28226B">
              <w:rPr>
                <w:rFonts w:ascii="Arial" w:hAnsi="Arial" w:cs="Arial"/>
                <w:sz w:val="24"/>
                <w:szCs w:val="24"/>
              </w:rPr>
              <w:t>N=1600</w:t>
            </w:r>
          </w:p>
        </w:tc>
      </w:tr>
      <w:tr w:rsidR="009B30C1" w:rsidRPr="0028226B" w14:paraId="561A8B2A" w14:textId="77777777" w:rsidTr="009B30C1">
        <w:trPr>
          <w:trHeight w:val="319"/>
        </w:trPr>
        <w:tc>
          <w:tcPr>
            <w:cnfStyle w:val="001000000000" w:firstRow="0" w:lastRow="0" w:firstColumn="1" w:lastColumn="0" w:oddVBand="0" w:evenVBand="0" w:oddHBand="0" w:evenHBand="0" w:firstRowFirstColumn="0" w:firstRowLastColumn="0" w:lastRowFirstColumn="0" w:lastRowLastColumn="0"/>
            <w:tcW w:w="0" w:type="auto"/>
            <w:hideMark/>
          </w:tcPr>
          <w:p w14:paraId="02F22858" w14:textId="77777777" w:rsidR="009B30C1" w:rsidRPr="0028226B" w:rsidRDefault="009B30C1" w:rsidP="009B30C1">
            <w:pPr>
              <w:spacing w:after="160" w:line="259" w:lineRule="auto"/>
              <w:rPr>
                <w:rFonts w:ascii="Arial" w:hAnsi="Arial" w:cs="Arial"/>
                <w:sz w:val="24"/>
                <w:szCs w:val="24"/>
              </w:rPr>
            </w:pPr>
            <w:r w:rsidRPr="0028226B">
              <w:rPr>
                <w:rFonts w:ascii="Arial" w:hAnsi="Arial" w:cs="Arial"/>
                <w:sz w:val="24"/>
                <w:szCs w:val="24"/>
              </w:rPr>
              <w:t>2012</w:t>
            </w:r>
          </w:p>
        </w:tc>
        <w:tc>
          <w:tcPr>
            <w:tcW w:w="0" w:type="auto"/>
            <w:hideMark/>
          </w:tcPr>
          <w:p w14:paraId="1F026587" w14:textId="77777777" w:rsidR="009B30C1" w:rsidRPr="0028226B" w:rsidRDefault="009B30C1" w:rsidP="009B30C1">
            <w:pPr>
              <w:spacing w:after="160" w:line="259"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28226B">
              <w:rPr>
                <w:rFonts w:ascii="Arial" w:hAnsi="Arial" w:cs="Arial"/>
                <w:sz w:val="24"/>
                <w:szCs w:val="24"/>
              </w:rPr>
              <w:t>Grupa IQS</w:t>
            </w:r>
          </w:p>
        </w:tc>
        <w:tc>
          <w:tcPr>
            <w:tcW w:w="0" w:type="auto"/>
            <w:hideMark/>
          </w:tcPr>
          <w:p w14:paraId="39FDBBCD" w14:textId="77777777" w:rsidR="009B30C1" w:rsidRPr="0028226B" w:rsidRDefault="009B30C1" w:rsidP="009B30C1">
            <w:pPr>
              <w:spacing w:after="160" w:line="259"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28226B">
              <w:rPr>
                <w:rFonts w:ascii="Arial" w:hAnsi="Arial" w:cs="Arial"/>
                <w:sz w:val="24"/>
                <w:szCs w:val="24"/>
              </w:rPr>
              <w:t>N=1604</w:t>
            </w:r>
          </w:p>
        </w:tc>
      </w:tr>
      <w:tr w:rsidR="009B30C1" w:rsidRPr="0028226B" w14:paraId="1143DA23" w14:textId="77777777" w:rsidTr="009B30C1">
        <w:trPr>
          <w:trHeight w:val="319"/>
        </w:trPr>
        <w:tc>
          <w:tcPr>
            <w:cnfStyle w:val="001000000000" w:firstRow="0" w:lastRow="0" w:firstColumn="1" w:lastColumn="0" w:oddVBand="0" w:evenVBand="0" w:oddHBand="0" w:evenHBand="0" w:firstRowFirstColumn="0" w:firstRowLastColumn="0" w:lastRowFirstColumn="0" w:lastRowLastColumn="0"/>
            <w:tcW w:w="0" w:type="auto"/>
            <w:hideMark/>
          </w:tcPr>
          <w:p w14:paraId="5359AAC4" w14:textId="77777777" w:rsidR="009B30C1" w:rsidRPr="0028226B" w:rsidRDefault="009B30C1" w:rsidP="009B30C1">
            <w:pPr>
              <w:spacing w:after="160" w:line="259" w:lineRule="auto"/>
              <w:rPr>
                <w:rFonts w:ascii="Arial" w:hAnsi="Arial" w:cs="Arial"/>
                <w:sz w:val="24"/>
                <w:szCs w:val="24"/>
              </w:rPr>
            </w:pPr>
            <w:r w:rsidRPr="0028226B">
              <w:rPr>
                <w:rFonts w:ascii="Arial" w:hAnsi="Arial" w:cs="Arial"/>
                <w:sz w:val="24"/>
                <w:szCs w:val="24"/>
              </w:rPr>
              <w:t>2014</w:t>
            </w:r>
          </w:p>
        </w:tc>
        <w:tc>
          <w:tcPr>
            <w:tcW w:w="0" w:type="auto"/>
            <w:hideMark/>
          </w:tcPr>
          <w:p w14:paraId="31F8F93F" w14:textId="77777777" w:rsidR="009B30C1" w:rsidRPr="0028226B" w:rsidRDefault="009B30C1" w:rsidP="009B30C1">
            <w:pPr>
              <w:spacing w:after="160" w:line="259"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28226B">
              <w:rPr>
                <w:rFonts w:ascii="Arial" w:hAnsi="Arial" w:cs="Arial"/>
                <w:sz w:val="24"/>
                <w:szCs w:val="24"/>
              </w:rPr>
              <w:t>Realizacja</w:t>
            </w:r>
          </w:p>
        </w:tc>
        <w:tc>
          <w:tcPr>
            <w:tcW w:w="0" w:type="auto"/>
            <w:hideMark/>
          </w:tcPr>
          <w:p w14:paraId="377EA9C6" w14:textId="77777777" w:rsidR="009B30C1" w:rsidRPr="0028226B" w:rsidRDefault="009B30C1" w:rsidP="009B30C1">
            <w:pPr>
              <w:spacing w:after="160" w:line="259"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28226B">
              <w:rPr>
                <w:rFonts w:ascii="Arial" w:hAnsi="Arial" w:cs="Arial"/>
                <w:sz w:val="24"/>
                <w:szCs w:val="24"/>
              </w:rPr>
              <w:t>N=6352</w:t>
            </w:r>
          </w:p>
        </w:tc>
      </w:tr>
      <w:tr w:rsidR="009B30C1" w:rsidRPr="0028226B" w14:paraId="7FE4587B" w14:textId="77777777" w:rsidTr="009B30C1">
        <w:trPr>
          <w:trHeight w:val="328"/>
        </w:trPr>
        <w:tc>
          <w:tcPr>
            <w:cnfStyle w:val="001000000000" w:firstRow="0" w:lastRow="0" w:firstColumn="1" w:lastColumn="0" w:oddVBand="0" w:evenVBand="0" w:oddHBand="0" w:evenHBand="0" w:firstRowFirstColumn="0" w:firstRowLastColumn="0" w:lastRowFirstColumn="0" w:lastRowLastColumn="0"/>
            <w:tcW w:w="0" w:type="auto"/>
            <w:hideMark/>
          </w:tcPr>
          <w:p w14:paraId="731435F2" w14:textId="77777777" w:rsidR="009B30C1" w:rsidRPr="0028226B" w:rsidRDefault="009B30C1" w:rsidP="009B30C1">
            <w:pPr>
              <w:spacing w:after="160" w:line="259" w:lineRule="auto"/>
              <w:rPr>
                <w:rFonts w:ascii="Arial" w:hAnsi="Arial" w:cs="Arial"/>
                <w:sz w:val="24"/>
                <w:szCs w:val="24"/>
              </w:rPr>
            </w:pPr>
            <w:r w:rsidRPr="0028226B">
              <w:rPr>
                <w:rFonts w:ascii="Arial" w:hAnsi="Arial" w:cs="Arial"/>
                <w:sz w:val="24"/>
                <w:szCs w:val="24"/>
              </w:rPr>
              <w:t>2015</w:t>
            </w:r>
          </w:p>
        </w:tc>
        <w:tc>
          <w:tcPr>
            <w:tcW w:w="0" w:type="auto"/>
            <w:hideMark/>
          </w:tcPr>
          <w:p w14:paraId="69667ED2" w14:textId="77777777" w:rsidR="009B30C1" w:rsidRPr="0028226B" w:rsidRDefault="009B30C1" w:rsidP="009B30C1">
            <w:pPr>
              <w:spacing w:after="160" w:line="259"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roofErr w:type="spellStart"/>
            <w:r w:rsidRPr="0028226B">
              <w:rPr>
                <w:rFonts w:ascii="Arial" w:hAnsi="Arial" w:cs="Arial"/>
                <w:sz w:val="24"/>
                <w:szCs w:val="24"/>
              </w:rPr>
              <w:t>EuConsult</w:t>
            </w:r>
            <w:proofErr w:type="spellEnd"/>
          </w:p>
        </w:tc>
        <w:tc>
          <w:tcPr>
            <w:tcW w:w="0" w:type="auto"/>
            <w:hideMark/>
          </w:tcPr>
          <w:p w14:paraId="1C1C2C83" w14:textId="77777777" w:rsidR="009B30C1" w:rsidRPr="0028226B" w:rsidRDefault="009B30C1" w:rsidP="009B30C1">
            <w:pPr>
              <w:spacing w:after="160" w:line="259"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28226B">
              <w:rPr>
                <w:rFonts w:ascii="Arial" w:hAnsi="Arial" w:cs="Arial"/>
                <w:sz w:val="24"/>
                <w:szCs w:val="24"/>
              </w:rPr>
              <w:t>N=1642</w:t>
            </w:r>
          </w:p>
        </w:tc>
      </w:tr>
      <w:tr w:rsidR="009B30C1" w:rsidRPr="0028226B" w14:paraId="2774E7DF" w14:textId="77777777" w:rsidTr="009B30C1">
        <w:trPr>
          <w:trHeight w:val="319"/>
        </w:trPr>
        <w:tc>
          <w:tcPr>
            <w:cnfStyle w:val="001000000000" w:firstRow="0" w:lastRow="0" w:firstColumn="1" w:lastColumn="0" w:oddVBand="0" w:evenVBand="0" w:oddHBand="0" w:evenHBand="0" w:firstRowFirstColumn="0" w:firstRowLastColumn="0" w:lastRowFirstColumn="0" w:lastRowLastColumn="0"/>
            <w:tcW w:w="0" w:type="auto"/>
            <w:hideMark/>
          </w:tcPr>
          <w:p w14:paraId="76235E0B" w14:textId="77777777" w:rsidR="009B30C1" w:rsidRPr="0028226B" w:rsidRDefault="009B30C1" w:rsidP="009B30C1">
            <w:pPr>
              <w:spacing w:after="160" w:line="259" w:lineRule="auto"/>
              <w:rPr>
                <w:rFonts w:ascii="Arial" w:hAnsi="Arial" w:cs="Arial"/>
                <w:sz w:val="24"/>
                <w:szCs w:val="24"/>
              </w:rPr>
            </w:pPr>
            <w:r w:rsidRPr="0028226B">
              <w:rPr>
                <w:rFonts w:ascii="Arial" w:hAnsi="Arial" w:cs="Arial"/>
                <w:sz w:val="24"/>
                <w:szCs w:val="24"/>
              </w:rPr>
              <w:t>2016</w:t>
            </w:r>
          </w:p>
        </w:tc>
        <w:tc>
          <w:tcPr>
            <w:tcW w:w="0" w:type="auto"/>
            <w:hideMark/>
          </w:tcPr>
          <w:p w14:paraId="45DBB379" w14:textId="77777777" w:rsidR="009B30C1" w:rsidRPr="0028226B" w:rsidRDefault="009B30C1" w:rsidP="009B30C1">
            <w:pPr>
              <w:spacing w:after="160" w:line="259"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roofErr w:type="spellStart"/>
            <w:r w:rsidRPr="0028226B">
              <w:rPr>
                <w:rFonts w:ascii="Arial" w:hAnsi="Arial" w:cs="Arial"/>
                <w:sz w:val="24"/>
                <w:szCs w:val="24"/>
              </w:rPr>
              <w:t>Millward</w:t>
            </w:r>
            <w:proofErr w:type="spellEnd"/>
            <w:r w:rsidRPr="0028226B">
              <w:rPr>
                <w:rFonts w:ascii="Arial" w:hAnsi="Arial" w:cs="Arial"/>
                <w:sz w:val="24"/>
                <w:szCs w:val="24"/>
              </w:rPr>
              <w:t xml:space="preserve"> Brown i Realizacja</w:t>
            </w:r>
          </w:p>
        </w:tc>
        <w:tc>
          <w:tcPr>
            <w:tcW w:w="0" w:type="auto"/>
            <w:hideMark/>
          </w:tcPr>
          <w:p w14:paraId="1880FCF4" w14:textId="77777777" w:rsidR="009B30C1" w:rsidRPr="0028226B" w:rsidRDefault="009B30C1" w:rsidP="009B30C1">
            <w:pPr>
              <w:spacing w:after="160" w:line="259"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28226B">
              <w:rPr>
                <w:rFonts w:ascii="Arial" w:hAnsi="Arial" w:cs="Arial"/>
                <w:sz w:val="24"/>
                <w:szCs w:val="24"/>
              </w:rPr>
              <w:t>N=6160</w:t>
            </w:r>
          </w:p>
        </w:tc>
      </w:tr>
      <w:tr w:rsidR="009B30C1" w:rsidRPr="0028226B" w14:paraId="6E58F93C" w14:textId="77777777" w:rsidTr="009B30C1">
        <w:trPr>
          <w:trHeight w:val="319"/>
        </w:trPr>
        <w:tc>
          <w:tcPr>
            <w:cnfStyle w:val="001000000000" w:firstRow="0" w:lastRow="0" w:firstColumn="1" w:lastColumn="0" w:oddVBand="0" w:evenVBand="0" w:oddHBand="0" w:evenHBand="0" w:firstRowFirstColumn="0" w:firstRowLastColumn="0" w:lastRowFirstColumn="0" w:lastRowLastColumn="0"/>
            <w:tcW w:w="0" w:type="auto"/>
            <w:hideMark/>
          </w:tcPr>
          <w:p w14:paraId="4AF01793" w14:textId="77777777" w:rsidR="009B30C1" w:rsidRPr="0028226B" w:rsidRDefault="009B30C1" w:rsidP="009B30C1">
            <w:pPr>
              <w:spacing w:after="160" w:line="259" w:lineRule="auto"/>
              <w:rPr>
                <w:rFonts w:ascii="Arial" w:hAnsi="Arial" w:cs="Arial"/>
                <w:sz w:val="24"/>
                <w:szCs w:val="24"/>
              </w:rPr>
            </w:pPr>
            <w:r w:rsidRPr="0028226B">
              <w:rPr>
                <w:rFonts w:ascii="Arial" w:hAnsi="Arial" w:cs="Arial"/>
                <w:sz w:val="24"/>
                <w:szCs w:val="24"/>
              </w:rPr>
              <w:t>2017</w:t>
            </w:r>
          </w:p>
        </w:tc>
        <w:tc>
          <w:tcPr>
            <w:tcW w:w="0" w:type="auto"/>
            <w:hideMark/>
          </w:tcPr>
          <w:p w14:paraId="77C539C4" w14:textId="77777777" w:rsidR="009B30C1" w:rsidRPr="0028226B" w:rsidRDefault="009B30C1" w:rsidP="009B30C1">
            <w:pPr>
              <w:spacing w:after="160" w:line="259"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28226B">
              <w:rPr>
                <w:rFonts w:ascii="Arial" w:hAnsi="Arial" w:cs="Arial"/>
                <w:sz w:val="24"/>
                <w:szCs w:val="24"/>
              </w:rPr>
              <w:t>Danae i Realizacja</w:t>
            </w:r>
          </w:p>
        </w:tc>
        <w:tc>
          <w:tcPr>
            <w:tcW w:w="0" w:type="auto"/>
            <w:hideMark/>
          </w:tcPr>
          <w:p w14:paraId="64460C76" w14:textId="77777777" w:rsidR="009B30C1" w:rsidRPr="0028226B" w:rsidRDefault="009B30C1" w:rsidP="009B30C1">
            <w:pPr>
              <w:spacing w:after="160" w:line="259"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28226B">
              <w:rPr>
                <w:rFonts w:ascii="Arial" w:hAnsi="Arial" w:cs="Arial"/>
                <w:sz w:val="24"/>
                <w:szCs w:val="24"/>
              </w:rPr>
              <w:t>N=1010</w:t>
            </w:r>
          </w:p>
        </w:tc>
      </w:tr>
      <w:tr w:rsidR="009B30C1" w:rsidRPr="0028226B" w14:paraId="7C325C92" w14:textId="77777777" w:rsidTr="009B30C1">
        <w:trPr>
          <w:trHeight w:val="328"/>
        </w:trPr>
        <w:tc>
          <w:tcPr>
            <w:cnfStyle w:val="001000000000" w:firstRow="0" w:lastRow="0" w:firstColumn="1" w:lastColumn="0" w:oddVBand="0" w:evenVBand="0" w:oddHBand="0" w:evenHBand="0" w:firstRowFirstColumn="0" w:firstRowLastColumn="0" w:lastRowFirstColumn="0" w:lastRowLastColumn="0"/>
            <w:tcW w:w="0" w:type="auto"/>
            <w:hideMark/>
          </w:tcPr>
          <w:p w14:paraId="665E61FD" w14:textId="77777777" w:rsidR="009B30C1" w:rsidRPr="0028226B" w:rsidRDefault="009B30C1" w:rsidP="009B30C1">
            <w:pPr>
              <w:spacing w:after="160" w:line="259" w:lineRule="auto"/>
              <w:rPr>
                <w:rFonts w:ascii="Arial" w:hAnsi="Arial" w:cs="Arial"/>
                <w:sz w:val="24"/>
                <w:szCs w:val="24"/>
              </w:rPr>
            </w:pPr>
            <w:r w:rsidRPr="0028226B">
              <w:rPr>
                <w:rFonts w:ascii="Arial" w:hAnsi="Arial" w:cs="Arial"/>
                <w:sz w:val="24"/>
                <w:szCs w:val="24"/>
              </w:rPr>
              <w:t>2018</w:t>
            </w:r>
          </w:p>
        </w:tc>
        <w:tc>
          <w:tcPr>
            <w:tcW w:w="0" w:type="auto"/>
            <w:hideMark/>
          </w:tcPr>
          <w:p w14:paraId="4DE21607" w14:textId="77777777" w:rsidR="009B30C1" w:rsidRPr="0028226B" w:rsidRDefault="009B30C1" w:rsidP="009B30C1">
            <w:pPr>
              <w:spacing w:after="160" w:line="259"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28226B">
              <w:rPr>
                <w:rFonts w:ascii="Arial" w:hAnsi="Arial" w:cs="Arial"/>
                <w:sz w:val="24"/>
                <w:szCs w:val="24"/>
              </w:rPr>
              <w:t>Danae i Realizacja</w:t>
            </w:r>
          </w:p>
        </w:tc>
        <w:tc>
          <w:tcPr>
            <w:tcW w:w="0" w:type="auto"/>
            <w:hideMark/>
          </w:tcPr>
          <w:p w14:paraId="7573F2B1" w14:textId="77777777" w:rsidR="009B30C1" w:rsidRPr="0028226B" w:rsidRDefault="009B30C1" w:rsidP="009B30C1">
            <w:pPr>
              <w:spacing w:after="160" w:line="259"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28226B">
              <w:rPr>
                <w:rFonts w:ascii="Arial" w:hAnsi="Arial" w:cs="Arial"/>
                <w:sz w:val="24"/>
                <w:szCs w:val="24"/>
              </w:rPr>
              <w:t>N=6193</w:t>
            </w:r>
          </w:p>
        </w:tc>
      </w:tr>
      <w:tr w:rsidR="009B30C1" w:rsidRPr="0028226B" w14:paraId="47D900F4" w14:textId="77777777" w:rsidTr="009B30C1">
        <w:trPr>
          <w:trHeight w:val="319"/>
        </w:trPr>
        <w:tc>
          <w:tcPr>
            <w:cnfStyle w:val="001000000000" w:firstRow="0" w:lastRow="0" w:firstColumn="1" w:lastColumn="0" w:oddVBand="0" w:evenVBand="0" w:oddHBand="0" w:evenHBand="0" w:firstRowFirstColumn="0" w:firstRowLastColumn="0" w:lastRowFirstColumn="0" w:lastRowLastColumn="0"/>
            <w:tcW w:w="0" w:type="auto"/>
            <w:hideMark/>
          </w:tcPr>
          <w:p w14:paraId="33163903" w14:textId="77777777" w:rsidR="009B30C1" w:rsidRPr="0028226B" w:rsidRDefault="009B30C1" w:rsidP="009B30C1">
            <w:pPr>
              <w:spacing w:after="160" w:line="259" w:lineRule="auto"/>
              <w:rPr>
                <w:rFonts w:ascii="Arial" w:hAnsi="Arial" w:cs="Arial"/>
                <w:sz w:val="24"/>
                <w:szCs w:val="24"/>
              </w:rPr>
            </w:pPr>
            <w:r w:rsidRPr="0028226B">
              <w:rPr>
                <w:rFonts w:ascii="Arial" w:hAnsi="Arial" w:cs="Arial"/>
                <w:sz w:val="24"/>
                <w:szCs w:val="24"/>
              </w:rPr>
              <w:t>2019</w:t>
            </w:r>
          </w:p>
        </w:tc>
        <w:tc>
          <w:tcPr>
            <w:tcW w:w="0" w:type="auto"/>
            <w:hideMark/>
          </w:tcPr>
          <w:p w14:paraId="7695F82F" w14:textId="77777777" w:rsidR="009B30C1" w:rsidRPr="0028226B" w:rsidRDefault="009B30C1" w:rsidP="009B30C1">
            <w:pPr>
              <w:spacing w:after="160" w:line="259"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28226B">
              <w:rPr>
                <w:rFonts w:ascii="Arial" w:hAnsi="Arial" w:cs="Arial"/>
                <w:sz w:val="24"/>
                <w:szCs w:val="24"/>
              </w:rPr>
              <w:t>Kantar</w:t>
            </w:r>
          </w:p>
        </w:tc>
        <w:tc>
          <w:tcPr>
            <w:tcW w:w="0" w:type="auto"/>
            <w:hideMark/>
          </w:tcPr>
          <w:p w14:paraId="725F29F1" w14:textId="77777777" w:rsidR="009B30C1" w:rsidRPr="0028226B" w:rsidRDefault="009B30C1" w:rsidP="009B30C1">
            <w:pPr>
              <w:spacing w:after="160" w:line="259"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28226B">
              <w:rPr>
                <w:rFonts w:ascii="Arial" w:hAnsi="Arial" w:cs="Arial"/>
                <w:sz w:val="24"/>
                <w:szCs w:val="24"/>
              </w:rPr>
              <w:t>N=1011</w:t>
            </w:r>
          </w:p>
        </w:tc>
      </w:tr>
      <w:tr w:rsidR="009B30C1" w:rsidRPr="0028226B" w14:paraId="4D79146D" w14:textId="77777777" w:rsidTr="009B30C1">
        <w:trPr>
          <w:trHeight w:val="319"/>
        </w:trPr>
        <w:tc>
          <w:tcPr>
            <w:cnfStyle w:val="001000000000" w:firstRow="0" w:lastRow="0" w:firstColumn="1" w:lastColumn="0" w:oddVBand="0" w:evenVBand="0" w:oddHBand="0" w:evenHBand="0" w:firstRowFirstColumn="0" w:firstRowLastColumn="0" w:lastRowFirstColumn="0" w:lastRowLastColumn="0"/>
            <w:tcW w:w="0" w:type="auto"/>
            <w:hideMark/>
          </w:tcPr>
          <w:p w14:paraId="6B067AF6" w14:textId="77777777" w:rsidR="009B30C1" w:rsidRPr="0028226B" w:rsidRDefault="009B30C1" w:rsidP="009B30C1">
            <w:pPr>
              <w:spacing w:after="160" w:line="259" w:lineRule="auto"/>
              <w:rPr>
                <w:rFonts w:ascii="Arial" w:hAnsi="Arial" w:cs="Arial"/>
                <w:sz w:val="24"/>
                <w:szCs w:val="24"/>
              </w:rPr>
            </w:pPr>
            <w:r w:rsidRPr="0028226B">
              <w:rPr>
                <w:rFonts w:ascii="Arial" w:hAnsi="Arial" w:cs="Arial"/>
                <w:sz w:val="24"/>
                <w:szCs w:val="24"/>
              </w:rPr>
              <w:t>2020</w:t>
            </w:r>
          </w:p>
        </w:tc>
        <w:tc>
          <w:tcPr>
            <w:tcW w:w="0" w:type="auto"/>
            <w:hideMark/>
          </w:tcPr>
          <w:p w14:paraId="72A825E7" w14:textId="77777777" w:rsidR="009B30C1" w:rsidRPr="0028226B" w:rsidRDefault="009B30C1" w:rsidP="009B30C1">
            <w:pPr>
              <w:spacing w:after="160" w:line="259"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28226B">
              <w:rPr>
                <w:rFonts w:ascii="Arial" w:hAnsi="Arial" w:cs="Arial"/>
                <w:sz w:val="24"/>
                <w:szCs w:val="24"/>
              </w:rPr>
              <w:t>Danae</w:t>
            </w:r>
          </w:p>
        </w:tc>
        <w:tc>
          <w:tcPr>
            <w:tcW w:w="0" w:type="auto"/>
            <w:hideMark/>
          </w:tcPr>
          <w:p w14:paraId="37C2F68B" w14:textId="77777777" w:rsidR="009B30C1" w:rsidRPr="0028226B" w:rsidRDefault="009B30C1" w:rsidP="009B30C1">
            <w:pPr>
              <w:spacing w:after="160" w:line="259"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28226B">
              <w:rPr>
                <w:rFonts w:ascii="Arial" w:hAnsi="Arial" w:cs="Arial"/>
                <w:sz w:val="24"/>
                <w:szCs w:val="24"/>
              </w:rPr>
              <w:t>N=6160</w:t>
            </w:r>
          </w:p>
        </w:tc>
      </w:tr>
      <w:tr w:rsidR="009B30C1" w:rsidRPr="0028226B" w14:paraId="25B8D6C3" w14:textId="77777777" w:rsidTr="009B30C1">
        <w:trPr>
          <w:trHeight w:val="319"/>
        </w:trPr>
        <w:tc>
          <w:tcPr>
            <w:cnfStyle w:val="001000000000" w:firstRow="0" w:lastRow="0" w:firstColumn="1" w:lastColumn="0" w:oddVBand="0" w:evenVBand="0" w:oddHBand="0" w:evenHBand="0" w:firstRowFirstColumn="0" w:firstRowLastColumn="0" w:lastRowFirstColumn="0" w:lastRowLastColumn="0"/>
            <w:tcW w:w="0" w:type="auto"/>
            <w:hideMark/>
          </w:tcPr>
          <w:p w14:paraId="391182F3" w14:textId="77777777" w:rsidR="009B30C1" w:rsidRPr="0028226B" w:rsidRDefault="009B30C1" w:rsidP="009B30C1">
            <w:pPr>
              <w:spacing w:after="160" w:line="259" w:lineRule="auto"/>
              <w:rPr>
                <w:rFonts w:ascii="Arial" w:hAnsi="Arial" w:cs="Arial"/>
                <w:sz w:val="24"/>
                <w:szCs w:val="24"/>
              </w:rPr>
            </w:pPr>
            <w:r w:rsidRPr="0028226B">
              <w:rPr>
                <w:rFonts w:ascii="Arial" w:hAnsi="Arial" w:cs="Arial"/>
                <w:sz w:val="24"/>
                <w:szCs w:val="24"/>
              </w:rPr>
              <w:t>2021</w:t>
            </w:r>
          </w:p>
        </w:tc>
        <w:tc>
          <w:tcPr>
            <w:tcW w:w="0" w:type="auto"/>
            <w:hideMark/>
          </w:tcPr>
          <w:p w14:paraId="6FD96696" w14:textId="77777777" w:rsidR="009B30C1" w:rsidRPr="0028226B" w:rsidRDefault="009B30C1" w:rsidP="009B30C1">
            <w:pPr>
              <w:spacing w:after="160" w:line="259"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28226B">
              <w:rPr>
                <w:rFonts w:ascii="Arial" w:hAnsi="Arial" w:cs="Arial"/>
                <w:sz w:val="24"/>
                <w:szCs w:val="24"/>
              </w:rPr>
              <w:t>Grupa BST</w:t>
            </w:r>
          </w:p>
        </w:tc>
        <w:tc>
          <w:tcPr>
            <w:tcW w:w="0" w:type="auto"/>
            <w:hideMark/>
          </w:tcPr>
          <w:p w14:paraId="02417F2F" w14:textId="77777777" w:rsidR="009B30C1" w:rsidRPr="0028226B" w:rsidRDefault="009B30C1" w:rsidP="009B30C1">
            <w:pPr>
              <w:spacing w:after="160" w:line="259"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28226B">
              <w:rPr>
                <w:rFonts w:ascii="Arial" w:hAnsi="Arial" w:cs="Arial"/>
                <w:sz w:val="24"/>
                <w:szCs w:val="24"/>
              </w:rPr>
              <w:t>N=1101</w:t>
            </w:r>
          </w:p>
        </w:tc>
      </w:tr>
      <w:tr w:rsidR="009B30C1" w:rsidRPr="0028226B" w14:paraId="031C0530" w14:textId="77777777" w:rsidTr="009B30C1">
        <w:trPr>
          <w:trHeight w:val="328"/>
        </w:trPr>
        <w:tc>
          <w:tcPr>
            <w:cnfStyle w:val="001000000000" w:firstRow="0" w:lastRow="0" w:firstColumn="1" w:lastColumn="0" w:oddVBand="0" w:evenVBand="0" w:oddHBand="0" w:evenHBand="0" w:firstRowFirstColumn="0" w:firstRowLastColumn="0" w:lastRowFirstColumn="0" w:lastRowLastColumn="0"/>
            <w:tcW w:w="0" w:type="auto"/>
            <w:hideMark/>
          </w:tcPr>
          <w:p w14:paraId="3F13C285" w14:textId="77777777" w:rsidR="009B30C1" w:rsidRPr="0028226B" w:rsidRDefault="009B30C1" w:rsidP="009B30C1">
            <w:pPr>
              <w:spacing w:after="160" w:line="259" w:lineRule="auto"/>
              <w:rPr>
                <w:rFonts w:ascii="Arial" w:hAnsi="Arial" w:cs="Arial"/>
                <w:sz w:val="24"/>
                <w:szCs w:val="24"/>
              </w:rPr>
            </w:pPr>
            <w:r w:rsidRPr="0028226B">
              <w:rPr>
                <w:rFonts w:ascii="Arial" w:hAnsi="Arial" w:cs="Arial"/>
                <w:sz w:val="24"/>
                <w:szCs w:val="24"/>
              </w:rPr>
              <w:t>2022</w:t>
            </w:r>
          </w:p>
        </w:tc>
        <w:tc>
          <w:tcPr>
            <w:tcW w:w="0" w:type="auto"/>
            <w:hideMark/>
          </w:tcPr>
          <w:p w14:paraId="741A4453" w14:textId="77777777" w:rsidR="009B30C1" w:rsidRPr="0028226B" w:rsidRDefault="009B30C1" w:rsidP="009B30C1">
            <w:pPr>
              <w:spacing w:after="160" w:line="259"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28226B">
              <w:rPr>
                <w:rFonts w:ascii="Arial" w:hAnsi="Arial" w:cs="Arial"/>
                <w:sz w:val="24"/>
                <w:szCs w:val="24"/>
              </w:rPr>
              <w:t>Danae</w:t>
            </w:r>
          </w:p>
        </w:tc>
        <w:tc>
          <w:tcPr>
            <w:tcW w:w="0" w:type="auto"/>
            <w:hideMark/>
          </w:tcPr>
          <w:p w14:paraId="2EBC2674" w14:textId="77777777" w:rsidR="009B30C1" w:rsidRPr="0028226B" w:rsidRDefault="009B30C1" w:rsidP="009B30C1">
            <w:pPr>
              <w:spacing w:after="160" w:line="259"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28226B">
              <w:rPr>
                <w:rFonts w:ascii="Arial" w:hAnsi="Arial" w:cs="Arial"/>
                <w:sz w:val="24"/>
                <w:szCs w:val="24"/>
              </w:rPr>
              <w:t>N=6160</w:t>
            </w:r>
          </w:p>
        </w:tc>
      </w:tr>
      <w:tr w:rsidR="009B30C1" w:rsidRPr="0028226B" w14:paraId="1259124D" w14:textId="77777777" w:rsidTr="009B30C1">
        <w:trPr>
          <w:trHeight w:val="319"/>
        </w:trPr>
        <w:tc>
          <w:tcPr>
            <w:cnfStyle w:val="001000000000" w:firstRow="0" w:lastRow="0" w:firstColumn="1" w:lastColumn="0" w:oddVBand="0" w:evenVBand="0" w:oddHBand="0" w:evenHBand="0" w:firstRowFirstColumn="0" w:firstRowLastColumn="0" w:lastRowFirstColumn="0" w:lastRowLastColumn="0"/>
            <w:tcW w:w="0" w:type="auto"/>
            <w:hideMark/>
          </w:tcPr>
          <w:p w14:paraId="64FFBC21" w14:textId="77777777" w:rsidR="009B30C1" w:rsidRPr="0028226B" w:rsidRDefault="009B30C1" w:rsidP="009B30C1">
            <w:pPr>
              <w:spacing w:after="160" w:line="259" w:lineRule="auto"/>
              <w:rPr>
                <w:rFonts w:ascii="Arial" w:hAnsi="Arial" w:cs="Arial"/>
                <w:sz w:val="24"/>
                <w:szCs w:val="24"/>
              </w:rPr>
            </w:pPr>
            <w:r w:rsidRPr="0028226B">
              <w:rPr>
                <w:rFonts w:ascii="Arial" w:hAnsi="Arial" w:cs="Arial"/>
                <w:sz w:val="24"/>
                <w:szCs w:val="24"/>
              </w:rPr>
              <w:t>2023</w:t>
            </w:r>
          </w:p>
        </w:tc>
        <w:tc>
          <w:tcPr>
            <w:tcW w:w="0" w:type="auto"/>
            <w:hideMark/>
          </w:tcPr>
          <w:p w14:paraId="41E138F3" w14:textId="77777777" w:rsidR="009B30C1" w:rsidRPr="0028226B" w:rsidRDefault="009B30C1" w:rsidP="009B30C1">
            <w:pPr>
              <w:spacing w:after="160" w:line="259"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28226B">
              <w:rPr>
                <w:rFonts w:ascii="Arial" w:hAnsi="Arial" w:cs="Arial"/>
                <w:sz w:val="24"/>
                <w:szCs w:val="24"/>
              </w:rPr>
              <w:t>Grupa BST</w:t>
            </w:r>
          </w:p>
        </w:tc>
        <w:tc>
          <w:tcPr>
            <w:tcW w:w="0" w:type="auto"/>
            <w:hideMark/>
          </w:tcPr>
          <w:p w14:paraId="78528F86" w14:textId="77777777" w:rsidR="009B30C1" w:rsidRPr="0028226B" w:rsidRDefault="009B30C1" w:rsidP="009B30C1">
            <w:pPr>
              <w:spacing w:after="160" w:line="259"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28226B">
              <w:rPr>
                <w:rFonts w:ascii="Arial" w:hAnsi="Arial" w:cs="Arial"/>
                <w:sz w:val="24"/>
                <w:szCs w:val="24"/>
              </w:rPr>
              <w:t>N=1078</w:t>
            </w:r>
          </w:p>
        </w:tc>
      </w:tr>
      <w:tr w:rsidR="009B30C1" w:rsidRPr="0028226B" w14:paraId="2A62FCA5" w14:textId="77777777" w:rsidTr="009B30C1">
        <w:trPr>
          <w:trHeight w:val="319"/>
        </w:trPr>
        <w:tc>
          <w:tcPr>
            <w:cnfStyle w:val="001000000000" w:firstRow="0" w:lastRow="0" w:firstColumn="1" w:lastColumn="0" w:oddVBand="0" w:evenVBand="0" w:oddHBand="0" w:evenHBand="0" w:firstRowFirstColumn="0" w:firstRowLastColumn="0" w:lastRowFirstColumn="0" w:lastRowLastColumn="0"/>
            <w:tcW w:w="0" w:type="auto"/>
            <w:hideMark/>
          </w:tcPr>
          <w:p w14:paraId="7E1FC8F2" w14:textId="77777777" w:rsidR="009B30C1" w:rsidRPr="0028226B" w:rsidRDefault="009B30C1" w:rsidP="009B30C1">
            <w:pPr>
              <w:spacing w:after="160" w:line="259" w:lineRule="auto"/>
              <w:rPr>
                <w:rFonts w:ascii="Arial" w:hAnsi="Arial" w:cs="Arial"/>
                <w:sz w:val="24"/>
                <w:szCs w:val="24"/>
              </w:rPr>
            </w:pPr>
            <w:r w:rsidRPr="0028226B">
              <w:rPr>
                <w:rFonts w:ascii="Arial" w:hAnsi="Arial" w:cs="Arial"/>
                <w:sz w:val="24"/>
                <w:szCs w:val="24"/>
              </w:rPr>
              <w:t>2024</w:t>
            </w:r>
          </w:p>
        </w:tc>
        <w:tc>
          <w:tcPr>
            <w:tcW w:w="0" w:type="auto"/>
            <w:hideMark/>
          </w:tcPr>
          <w:p w14:paraId="246CD5DD" w14:textId="77777777" w:rsidR="009B30C1" w:rsidRPr="0028226B" w:rsidRDefault="009B30C1" w:rsidP="009B30C1">
            <w:pPr>
              <w:spacing w:after="160" w:line="259"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28226B">
              <w:rPr>
                <w:rFonts w:ascii="Arial" w:hAnsi="Arial" w:cs="Arial"/>
                <w:sz w:val="24"/>
                <w:szCs w:val="24"/>
              </w:rPr>
              <w:t>Danae</w:t>
            </w:r>
          </w:p>
        </w:tc>
        <w:tc>
          <w:tcPr>
            <w:tcW w:w="0" w:type="auto"/>
            <w:hideMark/>
          </w:tcPr>
          <w:p w14:paraId="7E555320" w14:textId="77777777" w:rsidR="009B30C1" w:rsidRPr="0028226B" w:rsidRDefault="009B30C1" w:rsidP="009B30C1">
            <w:pPr>
              <w:spacing w:after="160" w:line="259"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28226B">
              <w:rPr>
                <w:rFonts w:ascii="Arial" w:hAnsi="Arial" w:cs="Arial"/>
                <w:sz w:val="24"/>
                <w:szCs w:val="24"/>
              </w:rPr>
              <w:t>N=6160</w:t>
            </w:r>
          </w:p>
        </w:tc>
      </w:tr>
      <w:tr w:rsidR="009B30C1" w:rsidRPr="0028226B" w14:paraId="1A36AF86" w14:textId="77777777" w:rsidTr="009B30C1">
        <w:trPr>
          <w:trHeight w:val="328"/>
        </w:trPr>
        <w:tc>
          <w:tcPr>
            <w:cnfStyle w:val="001000000000" w:firstRow="0" w:lastRow="0" w:firstColumn="1" w:lastColumn="0" w:oddVBand="0" w:evenVBand="0" w:oddHBand="0" w:evenHBand="0" w:firstRowFirstColumn="0" w:firstRowLastColumn="0" w:lastRowFirstColumn="0" w:lastRowLastColumn="0"/>
            <w:tcW w:w="0" w:type="auto"/>
            <w:hideMark/>
          </w:tcPr>
          <w:p w14:paraId="32830FE6" w14:textId="77777777" w:rsidR="009B30C1" w:rsidRPr="0028226B" w:rsidRDefault="009B30C1" w:rsidP="009B30C1">
            <w:pPr>
              <w:spacing w:after="160" w:line="259" w:lineRule="auto"/>
              <w:rPr>
                <w:rFonts w:ascii="Arial" w:hAnsi="Arial" w:cs="Arial"/>
                <w:sz w:val="24"/>
                <w:szCs w:val="24"/>
              </w:rPr>
            </w:pPr>
            <w:r w:rsidRPr="0028226B">
              <w:rPr>
                <w:rFonts w:ascii="Arial" w:hAnsi="Arial" w:cs="Arial"/>
                <w:sz w:val="24"/>
                <w:szCs w:val="24"/>
              </w:rPr>
              <w:t>2025</w:t>
            </w:r>
          </w:p>
        </w:tc>
        <w:tc>
          <w:tcPr>
            <w:tcW w:w="0" w:type="auto"/>
            <w:hideMark/>
          </w:tcPr>
          <w:p w14:paraId="6905A8BE" w14:textId="77777777" w:rsidR="009B30C1" w:rsidRPr="0028226B" w:rsidRDefault="009B30C1" w:rsidP="009B30C1">
            <w:pPr>
              <w:spacing w:after="160" w:line="259"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28226B">
              <w:rPr>
                <w:rFonts w:ascii="Arial" w:hAnsi="Arial" w:cs="Arial"/>
                <w:sz w:val="24"/>
                <w:szCs w:val="24"/>
              </w:rPr>
              <w:t>MRW</w:t>
            </w:r>
          </w:p>
        </w:tc>
        <w:tc>
          <w:tcPr>
            <w:tcW w:w="0" w:type="auto"/>
            <w:hideMark/>
          </w:tcPr>
          <w:p w14:paraId="19277816" w14:textId="77777777" w:rsidR="009B30C1" w:rsidRPr="0028226B" w:rsidRDefault="009B30C1" w:rsidP="009B30C1">
            <w:pPr>
              <w:spacing w:after="160" w:line="259"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28226B">
              <w:rPr>
                <w:rFonts w:ascii="Arial" w:hAnsi="Arial" w:cs="Arial"/>
                <w:sz w:val="24"/>
                <w:szCs w:val="24"/>
              </w:rPr>
              <w:t>N=1000</w:t>
            </w:r>
          </w:p>
        </w:tc>
      </w:tr>
    </w:tbl>
    <w:p w14:paraId="3FF7CDD1" w14:textId="09AE097A" w:rsidR="009B30C1" w:rsidRPr="0028226B" w:rsidRDefault="009B30C1">
      <w:pPr>
        <w:rPr>
          <w:rFonts w:ascii="Arial" w:hAnsi="Arial" w:cs="Arial"/>
          <w:sz w:val="24"/>
          <w:szCs w:val="24"/>
        </w:rPr>
      </w:pPr>
      <w:r w:rsidRPr="0028226B">
        <w:rPr>
          <w:rFonts w:ascii="Arial" w:hAnsi="Arial" w:cs="Arial"/>
          <w:sz w:val="24"/>
          <w:szCs w:val="24"/>
        </w:rPr>
        <w:t xml:space="preserve">Źródło: Badania realizowane przez </w:t>
      </w:r>
      <w:proofErr w:type="spellStart"/>
      <w:r w:rsidRPr="0028226B">
        <w:rPr>
          <w:rFonts w:ascii="Arial" w:hAnsi="Arial" w:cs="Arial"/>
          <w:sz w:val="24"/>
          <w:szCs w:val="24"/>
        </w:rPr>
        <w:t>M</w:t>
      </w:r>
      <w:r w:rsidR="000A1363">
        <w:rPr>
          <w:rFonts w:ascii="Arial" w:hAnsi="Arial" w:cs="Arial"/>
          <w:sz w:val="24"/>
          <w:szCs w:val="24"/>
        </w:rPr>
        <w:t>F</w:t>
      </w:r>
      <w:r w:rsidRPr="0028226B">
        <w:rPr>
          <w:rFonts w:ascii="Arial" w:hAnsi="Arial" w:cs="Arial"/>
          <w:sz w:val="24"/>
          <w:szCs w:val="24"/>
        </w:rPr>
        <w:t>iPR</w:t>
      </w:r>
      <w:proofErr w:type="spellEnd"/>
      <w:r w:rsidRPr="0028226B">
        <w:rPr>
          <w:rFonts w:ascii="Arial" w:hAnsi="Arial" w:cs="Arial"/>
          <w:sz w:val="24"/>
          <w:szCs w:val="24"/>
        </w:rPr>
        <w:t xml:space="preserve"> w latach 2009-2025</w:t>
      </w:r>
    </w:p>
    <w:p w14:paraId="09C9A2F0" w14:textId="57EA139C" w:rsidR="00904767" w:rsidRDefault="00904767" w:rsidP="00696C0B">
      <w:pPr>
        <w:spacing w:line="360" w:lineRule="auto"/>
        <w:rPr>
          <w:rFonts w:ascii="Arial" w:hAnsi="Arial" w:cs="Arial"/>
          <w:sz w:val="24"/>
          <w:szCs w:val="24"/>
        </w:rPr>
      </w:pPr>
      <w:r w:rsidRPr="00904767">
        <w:rPr>
          <w:rFonts w:ascii="Arial" w:hAnsi="Arial" w:cs="Arial"/>
          <w:sz w:val="24"/>
          <w:szCs w:val="24"/>
        </w:rPr>
        <w:t xml:space="preserve">W celu uporządkowania prezentacji danych wartości istotnie </w:t>
      </w:r>
      <w:r w:rsidRPr="00904767">
        <w:rPr>
          <w:rFonts w:ascii="Arial" w:hAnsi="Arial" w:cs="Arial"/>
          <w:b/>
          <w:bCs/>
          <w:color w:val="EE0000"/>
          <w:sz w:val="24"/>
          <w:szCs w:val="24"/>
        </w:rPr>
        <w:t xml:space="preserve">wyższe statystycznie od średniej dla całej badanej populacji oznaczono na wykresach kolorem </w:t>
      </w:r>
      <w:r w:rsidRPr="00904767">
        <w:rPr>
          <w:rFonts w:ascii="Arial" w:hAnsi="Arial" w:cs="Arial"/>
          <w:b/>
          <w:bCs/>
          <w:color w:val="EE0000"/>
          <w:sz w:val="24"/>
          <w:szCs w:val="24"/>
        </w:rPr>
        <w:lastRenderedPageBreak/>
        <w:t>czerwonym</w:t>
      </w:r>
      <w:r w:rsidRPr="00904767">
        <w:rPr>
          <w:rFonts w:ascii="Arial" w:hAnsi="Arial" w:cs="Arial"/>
          <w:sz w:val="24"/>
          <w:szCs w:val="24"/>
        </w:rPr>
        <w:t xml:space="preserve">, </w:t>
      </w:r>
      <w:r w:rsidRPr="00AA4EBE">
        <w:rPr>
          <w:rFonts w:ascii="Arial" w:hAnsi="Arial" w:cs="Arial"/>
          <w:b/>
          <w:bCs/>
          <w:color w:val="00B0F0"/>
          <w:sz w:val="24"/>
          <w:szCs w:val="24"/>
        </w:rPr>
        <w:t>natomiast wartości istotnie niższe statystycznie od tej średniej oznaczono kolorem niebieskim</w:t>
      </w:r>
      <w:r w:rsidRPr="00AA4EBE">
        <w:rPr>
          <w:rFonts w:ascii="Arial" w:hAnsi="Arial" w:cs="Arial"/>
          <w:color w:val="00B0F0"/>
          <w:sz w:val="24"/>
          <w:szCs w:val="24"/>
        </w:rPr>
        <w:t>.</w:t>
      </w:r>
    </w:p>
    <w:p w14:paraId="49FF3B96" w14:textId="2B3A61BA" w:rsidR="00CE7EB4" w:rsidRDefault="00CE7EB4" w:rsidP="00696C0B">
      <w:pPr>
        <w:spacing w:line="360" w:lineRule="auto"/>
        <w:rPr>
          <w:rFonts w:ascii="Arial" w:hAnsi="Arial" w:cs="Arial"/>
          <w:sz w:val="24"/>
          <w:szCs w:val="24"/>
        </w:rPr>
      </w:pPr>
      <w:r>
        <w:rPr>
          <w:rFonts w:ascii="Arial" w:hAnsi="Arial" w:cs="Arial"/>
          <w:sz w:val="24"/>
          <w:szCs w:val="24"/>
        </w:rPr>
        <w:t>Wartości</w:t>
      </w:r>
      <w:r w:rsidRPr="00CE7EB4">
        <w:rPr>
          <w:rFonts w:ascii="Arial" w:hAnsi="Arial" w:cs="Arial"/>
          <w:sz w:val="24"/>
          <w:szCs w:val="24"/>
        </w:rPr>
        <w:t xml:space="preserve"> procentowe zaokrąglono do liczb całkowitych w celu zwiększenia czytelności wykresów i pozostałych treści. Może to jednak skutkować tym, że w pewnych elementach raportu w pytaniach jednokrotnego wyboru suma udziałów nie będzie się równała dokładnie 100%, a np. 99% lub 101%.</w:t>
      </w:r>
      <w:r w:rsidR="003E4169">
        <w:rPr>
          <w:rFonts w:ascii="Arial" w:hAnsi="Arial" w:cs="Arial"/>
          <w:sz w:val="24"/>
          <w:szCs w:val="24"/>
        </w:rPr>
        <w:t xml:space="preserve"> Dla porządku danych przy opisach wykresów przyjęto</w:t>
      </w:r>
      <w:r w:rsidR="00A26C79">
        <w:rPr>
          <w:rFonts w:ascii="Arial" w:hAnsi="Arial" w:cs="Arial"/>
          <w:sz w:val="24"/>
          <w:szCs w:val="24"/>
        </w:rPr>
        <w:t>,</w:t>
      </w:r>
      <w:r w:rsidR="003E4169">
        <w:rPr>
          <w:rFonts w:ascii="Arial" w:hAnsi="Arial" w:cs="Arial"/>
          <w:sz w:val="24"/>
          <w:szCs w:val="24"/>
        </w:rPr>
        <w:t xml:space="preserve"> że wszyscy respondenci to grupa</w:t>
      </w:r>
      <w:r w:rsidR="00F16B64">
        <w:rPr>
          <w:rFonts w:ascii="Arial" w:hAnsi="Arial" w:cs="Arial"/>
          <w:sz w:val="24"/>
          <w:szCs w:val="24"/>
        </w:rPr>
        <w:t>.</w:t>
      </w:r>
      <w:r w:rsidR="003E4169">
        <w:rPr>
          <w:rFonts w:ascii="Arial" w:hAnsi="Arial" w:cs="Arial"/>
          <w:sz w:val="24"/>
          <w:szCs w:val="24"/>
        </w:rPr>
        <w:t xml:space="preserve"> </w:t>
      </w:r>
    </w:p>
    <w:p w14:paraId="3367FFEE" w14:textId="325A792D" w:rsidR="00BC19CE" w:rsidRPr="0028226B" w:rsidRDefault="00BC19CE" w:rsidP="00BA6140">
      <w:pPr>
        <w:pStyle w:val="Nagwek1"/>
        <w:shd w:val="clear" w:color="auto" w:fill="061A3D"/>
        <w:rPr>
          <w:rFonts w:ascii="Arial" w:hAnsi="Arial" w:cs="Arial"/>
          <w:b/>
          <w:bCs/>
          <w:color w:val="FFFFFF" w:themeColor="background1"/>
          <w:sz w:val="24"/>
          <w:szCs w:val="24"/>
        </w:rPr>
      </w:pPr>
      <w:bookmarkStart w:id="6" w:name="_Toc219375237"/>
      <w:r w:rsidRPr="0028226B">
        <w:rPr>
          <w:rFonts w:ascii="Arial" w:hAnsi="Arial" w:cs="Arial"/>
          <w:b/>
          <w:bCs/>
          <w:color w:val="FFFFFF" w:themeColor="background1"/>
          <w:sz w:val="24"/>
          <w:szCs w:val="24"/>
        </w:rPr>
        <w:t>Struktura próby badawczej</w:t>
      </w:r>
      <w:bookmarkEnd w:id="6"/>
    </w:p>
    <w:p w14:paraId="4DF1BFB5" w14:textId="43A74DD1" w:rsidR="00BC19CE" w:rsidRPr="0028226B" w:rsidRDefault="522B0E1B" w:rsidP="00696C0B">
      <w:pPr>
        <w:spacing w:before="240" w:line="360" w:lineRule="auto"/>
        <w:rPr>
          <w:rFonts w:ascii="Arial" w:hAnsi="Arial" w:cs="Arial"/>
          <w:sz w:val="24"/>
          <w:szCs w:val="24"/>
        </w:rPr>
      </w:pPr>
      <w:r w:rsidRPr="0028226B">
        <w:rPr>
          <w:rFonts w:ascii="Arial" w:hAnsi="Arial" w:cs="Arial"/>
          <w:sz w:val="24"/>
          <w:szCs w:val="24"/>
        </w:rPr>
        <w:t xml:space="preserve">Struktura badanej próby odzwierciedla zróżnicowanie </w:t>
      </w:r>
      <w:proofErr w:type="gramStart"/>
      <w:r w:rsidRPr="0028226B">
        <w:rPr>
          <w:rFonts w:ascii="Arial" w:hAnsi="Arial" w:cs="Arial"/>
          <w:sz w:val="24"/>
          <w:szCs w:val="24"/>
        </w:rPr>
        <w:t>demograficzne  mieszkańców</w:t>
      </w:r>
      <w:proofErr w:type="gramEnd"/>
      <w:r w:rsidRPr="0028226B">
        <w:rPr>
          <w:rFonts w:ascii="Arial" w:hAnsi="Arial" w:cs="Arial"/>
          <w:sz w:val="24"/>
          <w:szCs w:val="24"/>
        </w:rPr>
        <w:t xml:space="preserve"> Polski. Pod względem płci próba była zbliżona do równowagi – 48% stanowiły kobiety, a 5</w:t>
      </w:r>
      <w:r w:rsidR="00F5418A">
        <w:rPr>
          <w:rFonts w:ascii="Arial" w:hAnsi="Arial" w:cs="Arial"/>
          <w:sz w:val="24"/>
          <w:szCs w:val="24"/>
        </w:rPr>
        <w:t>2</w:t>
      </w:r>
      <w:r w:rsidRPr="0028226B">
        <w:rPr>
          <w:rFonts w:ascii="Arial" w:hAnsi="Arial" w:cs="Arial"/>
          <w:sz w:val="24"/>
          <w:szCs w:val="24"/>
        </w:rPr>
        <w:t>% mężczyźni. Zróżnicowanie wiekowe respondentów jest szerokie: największą grupę stanowili badani w wieku 65 lat i więcej (24%) oraz osoby w wieku 35–44 lata (2</w:t>
      </w:r>
      <w:r w:rsidR="00CE7EB4">
        <w:rPr>
          <w:rFonts w:ascii="Arial" w:hAnsi="Arial" w:cs="Arial"/>
          <w:sz w:val="24"/>
          <w:szCs w:val="24"/>
        </w:rPr>
        <w:t>1</w:t>
      </w:r>
      <w:r w:rsidRPr="0028226B">
        <w:rPr>
          <w:rFonts w:ascii="Arial" w:hAnsi="Arial" w:cs="Arial"/>
          <w:sz w:val="24"/>
          <w:szCs w:val="24"/>
        </w:rPr>
        <w:t>%). Kolejne liczebne kategorie to osoby w wieku 25–34 lata (15%) i 45–54 lata (1</w:t>
      </w:r>
      <w:r w:rsidR="00F5418A">
        <w:rPr>
          <w:rFonts w:ascii="Arial" w:hAnsi="Arial" w:cs="Arial"/>
          <w:sz w:val="24"/>
          <w:szCs w:val="24"/>
        </w:rPr>
        <w:t>5</w:t>
      </w:r>
      <w:r w:rsidRPr="0028226B">
        <w:rPr>
          <w:rFonts w:ascii="Arial" w:hAnsi="Arial" w:cs="Arial"/>
          <w:sz w:val="24"/>
          <w:szCs w:val="24"/>
        </w:rPr>
        <w:t xml:space="preserve">%). Najmłodsze grupy (15–19 lat oraz 20–24 lata) stanowiły </w:t>
      </w:r>
      <w:r w:rsidR="00CE7EB4">
        <w:rPr>
          <w:rFonts w:ascii="Arial" w:hAnsi="Arial" w:cs="Arial"/>
          <w:sz w:val="24"/>
          <w:szCs w:val="24"/>
        </w:rPr>
        <w:t>po</w:t>
      </w:r>
      <w:r w:rsidR="00CE7EB4" w:rsidRPr="0028226B">
        <w:rPr>
          <w:rFonts w:ascii="Arial" w:hAnsi="Arial" w:cs="Arial"/>
          <w:sz w:val="24"/>
          <w:szCs w:val="24"/>
        </w:rPr>
        <w:t xml:space="preserve"> </w:t>
      </w:r>
      <w:r w:rsidRPr="0028226B">
        <w:rPr>
          <w:rFonts w:ascii="Arial" w:hAnsi="Arial" w:cs="Arial"/>
          <w:sz w:val="24"/>
          <w:szCs w:val="24"/>
        </w:rPr>
        <w:t>6% próby.</w:t>
      </w:r>
    </w:p>
    <w:p w14:paraId="4E54704C" w14:textId="07ECF9CC" w:rsidR="00BC19CE" w:rsidRPr="0028226B" w:rsidRDefault="522B0E1B" w:rsidP="00696C0B">
      <w:pPr>
        <w:spacing w:line="360" w:lineRule="auto"/>
        <w:rPr>
          <w:rFonts w:ascii="Arial" w:hAnsi="Arial" w:cs="Arial"/>
          <w:sz w:val="24"/>
          <w:szCs w:val="24"/>
        </w:rPr>
      </w:pPr>
      <w:r w:rsidRPr="0028226B">
        <w:rPr>
          <w:rFonts w:ascii="Arial" w:hAnsi="Arial" w:cs="Arial"/>
          <w:sz w:val="24"/>
          <w:szCs w:val="24"/>
        </w:rPr>
        <w:t>W zakresie wykształcenia dominowały osoby z wykształceniem średnim (35%) oraz wyższym (2</w:t>
      </w:r>
      <w:r w:rsidR="00F5418A">
        <w:rPr>
          <w:rFonts w:ascii="Arial" w:hAnsi="Arial" w:cs="Arial"/>
          <w:sz w:val="24"/>
          <w:szCs w:val="24"/>
        </w:rPr>
        <w:t>8</w:t>
      </w:r>
      <w:r w:rsidRPr="0028226B">
        <w:rPr>
          <w:rFonts w:ascii="Arial" w:hAnsi="Arial" w:cs="Arial"/>
          <w:sz w:val="24"/>
          <w:szCs w:val="24"/>
        </w:rPr>
        <w:t>%). Wykształcenie zawodowe deklarowało 2</w:t>
      </w:r>
      <w:r w:rsidR="00F5418A">
        <w:rPr>
          <w:rFonts w:ascii="Arial" w:hAnsi="Arial" w:cs="Arial"/>
          <w:sz w:val="24"/>
          <w:szCs w:val="24"/>
        </w:rPr>
        <w:t>5</w:t>
      </w:r>
      <w:r w:rsidRPr="0028226B">
        <w:rPr>
          <w:rFonts w:ascii="Arial" w:hAnsi="Arial" w:cs="Arial"/>
          <w:sz w:val="24"/>
          <w:szCs w:val="24"/>
        </w:rPr>
        <w:t>% badanych, natomiast podstawowe – 12%.</w:t>
      </w:r>
    </w:p>
    <w:p w14:paraId="186502E1" w14:textId="04612CC9" w:rsidR="00BC19CE" w:rsidRPr="0028226B" w:rsidRDefault="522B0E1B" w:rsidP="00696C0B">
      <w:pPr>
        <w:spacing w:line="360" w:lineRule="auto"/>
        <w:rPr>
          <w:rFonts w:ascii="Arial" w:hAnsi="Arial" w:cs="Arial"/>
          <w:sz w:val="24"/>
          <w:szCs w:val="24"/>
        </w:rPr>
      </w:pPr>
      <w:r w:rsidRPr="0028226B">
        <w:rPr>
          <w:rFonts w:ascii="Arial" w:hAnsi="Arial" w:cs="Arial"/>
          <w:sz w:val="24"/>
          <w:szCs w:val="24"/>
        </w:rPr>
        <w:t>Znaczący udział w próbie miały osoby mieszkające na wsi (</w:t>
      </w:r>
      <w:r w:rsidR="00F5418A">
        <w:rPr>
          <w:rFonts w:ascii="Arial" w:hAnsi="Arial" w:cs="Arial"/>
          <w:sz w:val="24"/>
          <w:szCs w:val="24"/>
        </w:rPr>
        <w:t>40</w:t>
      </w:r>
      <w:r w:rsidRPr="0028226B">
        <w:rPr>
          <w:rFonts w:ascii="Arial" w:hAnsi="Arial" w:cs="Arial"/>
          <w:sz w:val="24"/>
          <w:szCs w:val="24"/>
        </w:rPr>
        <w:t>%). Wśród mieszkańców miast największą grupę stanowili respondenci z ośrodków liczących 50–199 tys. mieszkańców (15%). Kolejne segmenty obejmowały miasta do 20 tys. mieszkańców (1</w:t>
      </w:r>
      <w:r w:rsidR="00F5418A">
        <w:rPr>
          <w:rFonts w:ascii="Arial" w:hAnsi="Arial" w:cs="Arial"/>
          <w:sz w:val="24"/>
          <w:szCs w:val="24"/>
        </w:rPr>
        <w:t>3</w:t>
      </w:r>
      <w:r w:rsidRPr="0028226B">
        <w:rPr>
          <w:rFonts w:ascii="Arial" w:hAnsi="Arial" w:cs="Arial"/>
          <w:sz w:val="24"/>
          <w:szCs w:val="24"/>
        </w:rPr>
        <w:t>%), powyżej 500 tys. mieszkańców (12%) oraz 20–49 tys. mieszkańców (</w:t>
      </w:r>
      <w:r w:rsidR="00F5418A">
        <w:rPr>
          <w:rFonts w:ascii="Arial" w:hAnsi="Arial" w:cs="Arial"/>
          <w:sz w:val="24"/>
          <w:szCs w:val="24"/>
        </w:rPr>
        <w:t>12</w:t>
      </w:r>
      <w:r w:rsidRPr="0028226B">
        <w:rPr>
          <w:rFonts w:ascii="Arial" w:hAnsi="Arial" w:cs="Arial"/>
          <w:sz w:val="24"/>
          <w:szCs w:val="24"/>
        </w:rPr>
        <w:t>%). Najmniejszą kategorię stanowiły osoby mieszkające w miastach liczących 200–499 tys. mieszkańców (</w:t>
      </w:r>
      <w:r w:rsidR="00F5418A">
        <w:rPr>
          <w:rFonts w:ascii="Arial" w:hAnsi="Arial" w:cs="Arial"/>
          <w:sz w:val="24"/>
          <w:szCs w:val="24"/>
        </w:rPr>
        <w:t>9</w:t>
      </w:r>
      <w:r w:rsidRPr="0028226B">
        <w:rPr>
          <w:rFonts w:ascii="Arial" w:hAnsi="Arial" w:cs="Arial"/>
          <w:sz w:val="24"/>
          <w:szCs w:val="24"/>
        </w:rPr>
        <w:t>%).</w:t>
      </w:r>
    </w:p>
    <w:p w14:paraId="1DAB9B9D" w14:textId="77777777" w:rsidR="00BC19CE" w:rsidRPr="0028226B" w:rsidRDefault="00BC19CE">
      <w:pPr>
        <w:rPr>
          <w:rFonts w:ascii="Arial" w:hAnsi="Arial" w:cs="Arial"/>
          <w:sz w:val="24"/>
          <w:szCs w:val="24"/>
        </w:rPr>
      </w:pPr>
    </w:p>
    <w:p w14:paraId="71466511" w14:textId="619A1812" w:rsidR="00BC19CE" w:rsidRPr="0028226B" w:rsidRDefault="00BC19CE" w:rsidP="22BDA2B4">
      <w:pPr>
        <w:pStyle w:val="Legenda"/>
        <w:keepNext/>
        <w:rPr>
          <w:rFonts w:ascii="Arial" w:hAnsi="Arial" w:cs="Arial"/>
          <w:b/>
          <w:bCs/>
          <w:i w:val="0"/>
          <w:iCs w:val="0"/>
          <w:color w:val="auto"/>
          <w:sz w:val="24"/>
          <w:szCs w:val="24"/>
        </w:rPr>
      </w:pPr>
      <w:bookmarkStart w:id="7" w:name="_Toc219369227"/>
      <w:r w:rsidRPr="0028226B">
        <w:rPr>
          <w:rFonts w:ascii="Arial" w:hAnsi="Arial" w:cs="Arial"/>
          <w:b/>
          <w:bCs/>
          <w:i w:val="0"/>
          <w:iCs w:val="0"/>
          <w:color w:val="auto"/>
          <w:sz w:val="24"/>
          <w:szCs w:val="24"/>
        </w:rPr>
        <w:lastRenderedPageBreak/>
        <w:t xml:space="preserve">Wykres </w:t>
      </w:r>
      <w:r w:rsidRPr="0028226B">
        <w:rPr>
          <w:rFonts w:ascii="Arial" w:hAnsi="Arial" w:cs="Arial"/>
          <w:b/>
          <w:bCs/>
          <w:i w:val="0"/>
          <w:iCs w:val="0"/>
          <w:color w:val="auto"/>
          <w:sz w:val="24"/>
          <w:szCs w:val="24"/>
        </w:rPr>
        <w:fldChar w:fldCharType="begin"/>
      </w:r>
      <w:r w:rsidRPr="0028226B">
        <w:rPr>
          <w:rFonts w:ascii="Arial" w:hAnsi="Arial" w:cs="Arial"/>
          <w:b/>
          <w:bCs/>
          <w:i w:val="0"/>
          <w:iCs w:val="0"/>
          <w:color w:val="auto"/>
          <w:sz w:val="24"/>
          <w:szCs w:val="24"/>
        </w:rPr>
        <w:instrText xml:space="preserve"> SEQ Wykres \* ARABIC </w:instrText>
      </w:r>
      <w:r w:rsidRPr="0028226B">
        <w:rPr>
          <w:rFonts w:ascii="Arial" w:hAnsi="Arial" w:cs="Arial"/>
          <w:b/>
          <w:bCs/>
          <w:i w:val="0"/>
          <w:iCs w:val="0"/>
          <w:color w:val="auto"/>
          <w:sz w:val="24"/>
          <w:szCs w:val="24"/>
        </w:rPr>
        <w:fldChar w:fldCharType="separate"/>
      </w:r>
      <w:r w:rsidR="0055789E">
        <w:rPr>
          <w:rFonts w:ascii="Arial" w:hAnsi="Arial" w:cs="Arial"/>
          <w:b/>
          <w:bCs/>
          <w:i w:val="0"/>
          <w:iCs w:val="0"/>
          <w:noProof/>
          <w:color w:val="auto"/>
          <w:sz w:val="24"/>
          <w:szCs w:val="24"/>
        </w:rPr>
        <w:t>1</w:t>
      </w:r>
      <w:r w:rsidRPr="0028226B">
        <w:rPr>
          <w:rFonts w:ascii="Arial" w:hAnsi="Arial" w:cs="Arial"/>
          <w:b/>
          <w:bCs/>
          <w:i w:val="0"/>
          <w:iCs w:val="0"/>
          <w:color w:val="auto"/>
          <w:sz w:val="24"/>
          <w:szCs w:val="24"/>
        </w:rPr>
        <w:fldChar w:fldCharType="end"/>
      </w:r>
      <w:r w:rsidRPr="0028226B">
        <w:rPr>
          <w:rFonts w:ascii="Arial" w:hAnsi="Arial" w:cs="Arial"/>
          <w:b/>
          <w:bCs/>
          <w:i w:val="0"/>
          <w:iCs w:val="0"/>
          <w:color w:val="auto"/>
          <w:sz w:val="24"/>
          <w:szCs w:val="24"/>
        </w:rPr>
        <w:t>. Struktura próby badawczej.</w:t>
      </w:r>
      <w:bookmarkEnd w:id="7"/>
    </w:p>
    <w:p w14:paraId="712C69A1" w14:textId="0D3ADDE2" w:rsidR="00BC19CE" w:rsidRPr="0028226B" w:rsidRDefault="00BC19CE">
      <w:pPr>
        <w:rPr>
          <w:rFonts w:ascii="Arial" w:hAnsi="Arial" w:cs="Arial"/>
          <w:sz w:val="24"/>
          <w:szCs w:val="24"/>
        </w:rPr>
      </w:pPr>
      <w:r w:rsidRPr="0028226B">
        <w:rPr>
          <w:rFonts w:ascii="Arial" w:hAnsi="Arial" w:cs="Arial"/>
          <w:noProof/>
          <w:sz w:val="24"/>
          <w:szCs w:val="24"/>
        </w:rPr>
        <w:drawing>
          <wp:inline distT="0" distB="0" distL="0" distR="0" wp14:anchorId="265EDB54" wp14:editId="09F18F47">
            <wp:extent cx="6305107" cy="5013960"/>
            <wp:effectExtent l="0" t="0" r="635" b="0"/>
            <wp:docPr id="848704175" name="Wykres 1" descr="Wykres przedstawia strukturę próby badawczej według płci, wieku, wykształcenia oraz wielkości miejscowości zamieszkania. Dane wyrażono w procentach.&#10;&#10;Płeć: kobiety stanowią 48,2% próby, mężczyźni 51,8%.&#10;&#10;Wiek: 15–19 lat – 6,2%; 20–24 lata – 6,1%; 25–34 lata – 15,4%; 35–44 lata – 20,5%; 45–54 lata – 14,6%; 55–64 lata – 13,1%; osoby w wieku 65 lat i więcej – 24,1%.&#10;&#10;Wykształcenie: wyższe – 27,5%; średnie – 35,4%; zawodowe – 24,8%; podstawowe – 12,3%.&#10;&#10;Wielkość miejscowości: wieś – 39,8%; miasta do 20 tys. mieszkańców – 12,8%; miasta 20–49 tys. – 11,7%; miasta 50–199 tys. – 15,0%; miasta 200–499 tys. – 8,6%; miasta powyżej 500 tys. mieszkańców – 12,1%.&#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7BC24343" w14:textId="1B030103" w:rsidR="00BC19CE" w:rsidRDefault="00BC19CE">
      <w:pPr>
        <w:rPr>
          <w:rFonts w:ascii="Arial" w:hAnsi="Arial" w:cs="Arial"/>
          <w:sz w:val="24"/>
          <w:szCs w:val="24"/>
        </w:rPr>
      </w:pPr>
      <w:r w:rsidRPr="0028226B">
        <w:rPr>
          <w:rFonts w:ascii="Arial" w:hAnsi="Arial" w:cs="Arial"/>
          <w:sz w:val="24"/>
          <w:szCs w:val="24"/>
        </w:rPr>
        <w:t>Źródło: Opracowano na podstawie badania CAPI</w:t>
      </w:r>
    </w:p>
    <w:p w14:paraId="1C4C5B20" w14:textId="77777777" w:rsidR="00904767" w:rsidRDefault="00904767">
      <w:pPr>
        <w:rPr>
          <w:rFonts w:ascii="Arial" w:hAnsi="Arial" w:cs="Arial"/>
          <w:sz w:val="24"/>
          <w:szCs w:val="24"/>
        </w:rPr>
      </w:pPr>
    </w:p>
    <w:p w14:paraId="630819B2" w14:textId="77777777" w:rsidR="00904767" w:rsidRDefault="00904767">
      <w:pPr>
        <w:rPr>
          <w:rFonts w:ascii="Arial" w:hAnsi="Arial" w:cs="Arial"/>
          <w:sz w:val="24"/>
          <w:szCs w:val="24"/>
        </w:rPr>
      </w:pPr>
    </w:p>
    <w:p w14:paraId="3A83A646" w14:textId="77777777" w:rsidR="00904767" w:rsidRDefault="00904767">
      <w:pPr>
        <w:rPr>
          <w:rFonts w:ascii="Arial" w:hAnsi="Arial" w:cs="Arial"/>
          <w:sz w:val="24"/>
          <w:szCs w:val="24"/>
        </w:rPr>
      </w:pPr>
    </w:p>
    <w:p w14:paraId="6833050B" w14:textId="77777777" w:rsidR="00904767" w:rsidRDefault="00904767">
      <w:pPr>
        <w:rPr>
          <w:rFonts w:ascii="Arial" w:hAnsi="Arial" w:cs="Arial"/>
          <w:sz w:val="24"/>
          <w:szCs w:val="24"/>
        </w:rPr>
      </w:pPr>
    </w:p>
    <w:p w14:paraId="50A57E64" w14:textId="77777777" w:rsidR="00904767" w:rsidRDefault="00904767">
      <w:pPr>
        <w:rPr>
          <w:rFonts w:ascii="Arial" w:hAnsi="Arial" w:cs="Arial"/>
          <w:sz w:val="24"/>
          <w:szCs w:val="24"/>
        </w:rPr>
      </w:pPr>
    </w:p>
    <w:p w14:paraId="179972EB" w14:textId="77777777" w:rsidR="00904767" w:rsidRDefault="00904767">
      <w:pPr>
        <w:rPr>
          <w:rFonts w:ascii="Arial" w:hAnsi="Arial" w:cs="Arial"/>
          <w:sz w:val="24"/>
          <w:szCs w:val="24"/>
        </w:rPr>
      </w:pPr>
    </w:p>
    <w:p w14:paraId="76F5DA80" w14:textId="77777777" w:rsidR="00904767" w:rsidRDefault="00904767">
      <w:pPr>
        <w:rPr>
          <w:rFonts w:ascii="Arial" w:hAnsi="Arial" w:cs="Arial"/>
          <w:sz w:val="24"/>
          <w:szCs w:val="24"/>
        </w:rPr>
      </w:pPr>
    </w:p>
    <w:p w14:paraId="4B9B2BA8" w14:textId="77777777" w:rsidR="00904767" w:rsidRDefault="00904767">
      <w:pPr>
        <w:rPr>
          <w:rFonts w:ascii="Arial" w:hAnsi="Arial" w:cs="Arial"/>
          <w:sz w:val="24"/>
          <w:szCs w:val="24"/>
        </w:rPr>
      </w:pPr>
    </w:p>
    <w:p w14:paraId="1B28E833" w14:textId="77777777" w:rsidR="00904767" w:rsidRDefault="00904767">
      <w:pPr>
        <w:rPr>
          <w:rFonts w:ascii="Arial" w:hAnsi="Arial" w:cs="Arial"/>
          <w:sz w:val="24"/>
          <w:szCs w:val="24"/>
        </w:rPr>
      </w:pPr>
    </w:p>
    <w:p w14:paraId="14F57764" w14:textId="77777777" w:rsidR="00904767" w:rsidRDefault="00904767">
      <w:pPr>
        <w:rPr>
          <w:rFonts w:ascii="Arial" w:hAnsi="Arial" w:cs="Arial"/>
          <w:sz w:val="24"/>
          <w:szCs w:val="24"/>
        </w:rPr>
      </w:pPr>
    </w:p>
    <w:p w14:paraId="0961B4A3" w14:textId="77777777" w:rsidR="00904767" w:rsidRPr="0028226B" w:rsidRDefault="00904767">
      <w:pPr>
        <w:rPr>
          <w:rFonts w:ascii="Arial" w:hAnsi="Arial" w:cs="Arial"/>
          <w:sz w:val="24"/>
          <w:szCs w:val="24"/>
        </w:rPr>
      </w:pPr>
    </w:p>
    <w:p w14:paraId="5E9D21D2" w14:textId="77777777" w:rsidR="00BC19CE" w:rsidRPr="0028226B" w:rsidRDefault="00BC19CE" w:rsidP="22BDA2B4">
      <w:pPr>
        <w:shd w:val="clear" w:color="auto" w:fill="061A3D"/>
        <w:spacing w:after="0"/>
        <w:rPr>
          <w:rFonts w:ascii="Arial" w:hAnsi="Arial" w:cs="Arial"/>
          <w:b/>
          <w:bCs/>
          <w:sz w:val="24"/>
          <w:szCs w:val="24"/>
        </w:rPr>
      </w:pPr>
      <w:r w:rsidRPr="0028226B">
        <w:rPr>
          <w:rFonts w:ascii="Arial" w:hAnsi="Arial" w:cs="Arial"/>
          <w:b/>
          <w:bCs/>
          <w:sz w:val="24"/>
          <w:szCs w:val="24"/>
        </w:rPr>
        <w:lastRenderedPageBreak/>
        <w:t>Opis wyników badania</w:t>
      </w:r>
    </w:p>
    <w:p w14:paraId="3FF4CE4D" w14:textId="77777777" w:rsidR="00BC19CE" w:rsidRPr="0028226B" w:rsidRDefault="00BC19CE" w:rsidP="00BC19CE">
      <w:pPr>
        <w:rPr>
          <w:rFonts w:ascii="Arial" w:hAnsi="Arial" w:cs="Arial"/>
          <w:sz w:val="24"/>
          <w:szCs w:val="24"/>
        </w:rPr>
      </w:pPr>
    </w:p>
    <w:p w14:paraId="2BD820AC" w14:textId="64843BBE" w:rsidR="00BC19CE" w:rsidRPr="0028226B" w:rsidRDefault="00BC19CE" w:rsidP="00BC19CE">
      <w:pPr>
        <w:shd w:val="clear" w:color="auto" w:fill="061A3D"/>
        <w:rPr>
          <w:rFonts w:ascii="Arial" w:hAnsi="Arial" w:cs="Arial"/>
          <w:b/>
          <w:bCs/>
          <w:sz w:val="24"/>
          <w:szCs w:val="24"/>
        </w:rPr>
      </w:pPr>
      <w:r w:rsidRPr="0028226B">
        <w:rPr>
          <w:rFonts w:ascii="Arial" w:hAnsi="Arial" w:cs="Arial"/>
          <w:b/>
          <w:bCs/>
          <w:sz w:val="24"/>
          <w:szCs w:val="24"/>
        </w:rPr>
        <w:t>Stosunek polskiego społeczeństwa względem przynależności Polski do Unii Europejskiej</w:t>
      </w:r>
    </w:p>
    <w:p w14:paraId="7F76245C" w14:textId="1EFFD70A" w:rsidR="008D0E19" w:rsidRPr="0028226B" w:rsidRDefault="008D0E19" w:rsidP="00696C0B">
      <w:pPr>
        <w:spacing w:line="360" w:lineRule="auto"/>
        <w:rPr>
          <w:rFonts w:ascii="Arial" w:hAnsi="Arial" w:cs="Arial"/>
          <w:sz w:val="24"/>
          <w:szCs w:val="24"/>
        </w:rPr>
      </w:pPr>
      <w:r w:rsidRPr="0028226B">
        <w:rPr>
          <w:rFonts w:ascii="Arial" w:hAnsi="Arial" w:cs="Arial"/>
          <w:sz w:val="24"/>
          <w:szCs w:val="24"/>
        </w:rPr>
        <w:t xml:space="preserve">W latach 2016–2025 poziom poparcia dla członkostwa Polski w Unii Europejskiej utrzymywał się na wysokim poziomie, choć jego struktura zmieniała się wyraźnie między poszczególnymi falami badania. Dane wskazują na dominację dwóch kategorii: „raczej popieram” oraz „zdecydowanie popieram”, które w każdym z analizowanych </w:t>
      </w:r>
      <w:r w:rsidR="004B7BD0">
        <w:rPr>
          <w:rFonts w:ascii="Arial" w:hAnsi="Arial" w:cs="Arial"/>
          <w:sz w:val="24"/>
          <w:szCs w:val="24"/>
        </w:rPr>
        <w:t xml:space="preserve">badań </w:t>
      </w:r>
      <w:r w:rsidRPr="0028226B">
        <w:rPr>
          <w:rFonts w:ascii="Arial" w:hAnsi="Arial" w:cs="Arial"/>
          <w:sz w:val="24"/>
          <w:szCs w:val="24"/>
        </w:rPr>
        <w:t>stanowiły wspólnie większość odpowiedzi.</w:t>
      </w:r>
    </w:p>
    <w:p w14:paraId="725DDCB9" w14:textId="244C10AB" w:rsidR="008D0E19" w:rsidRPr="0028226B" w:rsidRDefault="008D0E19" w:rsidP="00696C0B">
      <w:pPr>
        <w:spacing w:line="360" w:lineRule="auto"/>
        <w:rPr>
          <w:rFonts w:ascii="Arial" w:hAnsi="Arial" w:cs="Arial"/>
          <w:sz w:val="24"/>
          <w:szCs w:val="24"/>
        </w:rPr>
      </w:pPr>
      <w:r w:rsidRPr="0028226B">
        <w:rPr>
          <w:rFonts w:ascii="Arial" w:hAnsi="Arial" w:cs="Arial"/>
          <w:sz w:val="24"/>
          <w:szCs w:val="24"/>
        </w:rPr>
        <w:t>Najwyższy poziom zdecydowanego poparcia odnotowano w roku 2023, kiedy aż 47%</w:t>
      </w:r>
      <w:r w:rsidR="00095403" w:rsidRPr="0028226B">
        <w:rPr>
          <w:rFonts w:ascii="Arial" w:hAnsi="Arial" w:cs="Arial"/>
          <w:sz w:val="24"/>
          <w:szCs w:val="24"/>
        </w:rPr>
        <w:t xml:space="preserve"> (28% - 2016, 25% - 2025)</w:t>
      </w:r>
      <w:r w:rsidRPr="0028226B">
        <w:rPr>
          <w:rFonts w:ascii="Arial" w:hAnsi="Arial" w:cs="Arial"/>
          <w:sz w:val="24"/>
          <w:szCs w:val="24"/>
        </w:rPr>
        <w:t xml:space="preserve"> badanych deklarowało pełne poparcie dla obecności Polski w UE. Jest to jednocześnie największa wartość w całej badanej dekadzie. W kolejnych latach widoczne jest jednak wyraźne obniżenie tej kategorii – w 2024 r. wyniosła ona 28%, a w 2025 r. 25%. Spadek ten nie oznacza jednak zmniejszenia poparcia ogółem, lecz przesunięcie części odpowiedzi do kategorii „raczej popieram”.</w:t>
      </w:r>
      <w:r w:rsidR="00095403" w:rsidRPr="0028226B">
        <w:rPr>
          <w:rFonts w:ascii="Arial" w:hAnsi="Arial" w:cs="Arial"/>
          <w:sz w:val="24"/>
          <w:szCs w:val="24"/>
        </w:rPr>
        <w:t xml:space="preserve"> Oznacza to, że poparcie dla UE jest nadal powszechne, choć bardziej umiarkowane niż w szczytowym 2023 roku.</w:t>
      </w:r>
    </w:p>
    <w:p w14:paraId="15E9966D" w14:textId="15283402" w:rsidR="008D0E19" w:rsidRPr="0028226B" w:rsidRDefault="008D0E19" w:rsidP="00696C0B">
      <w:pPr>
        <w:spacing w:line="360" w:lineRule="auto"/>
        <w:rPr>
          <w:rFonts w:ascii="Arial" w:hAnsi="Arial" w:cs="Arial"/>
          <w:sz w:val="24"/>
          <w:szCs w:val="24"/>
        </w:rPr>
      </w:pPr>
      <w:r w:rsidRPr="0028226B">
        <w:rPr>
          <w:rFonts w:ascii="Arial" w:hAnsi="Arial" w:cs="Arial"/>
          <w:sz w:val="24"/>
          <w:szCs w:val="24"/>
        </w:rPr>
        <w:t xml:space="preserve">Udział respondentów raczej popierających członkostwo od lat pozostaje stabilnie wysoki. W latach 2020–2022 osiągał </w:t>
      </w:r>
      <w:r w:rsidR="00904767">
        <w:rPr>
          <w:rFonts w:ascii="Arial" w:hAnsi="Arial" w:cs="Arial"/>
          <w:sz w:val="24"/>
          <w:szCs w:val="24"/>
        </w:rPr>
        <w:t>około 30</w:t>
      </w:r>
      <w:r w:rsidRPr="0028226B">
        <w:rPr>
          <w:rFonts w:ascii="Arial" w:hAnsi="Arial" w:cs="Arial"/>
          <w:sz w:val="24"/>
          <w:szCs w:val="24"/>
        </w:rPr>
        <w:t>–45%, a w ostatnich dwóch falach przyjął wartości 47% w 2024 r. i 4</w:t>
      </w:r>
      <w:r w:rsidR="00F5418A">
        <w:rPr>
          <w:rFonts w:ascii="Arial" w:hAnsi="Arial" w:cs="Arial"/>
          <w:sz w:val="24"/>
          <w:szCs w:val="24"/>
        </w:rPr>
        <w:t>8</w:t>
      </w:r>
      <w:r w:rsidRPr="0028226B">
        <w:rPr>
          <w:rFonts w:ascii="Arial" w:hAnsi="Arial" w:cs="Arial"/>
          <w:sz w:val="24"/>
          <w:szCs w:val="24"/>
        </w:rPr>
        <w:t xml:space="preserve">% w 2025 r. </w:t>
      </w:r>
    </w:p>
    <w:p w14:paraId="3D3C98C2" w14:textId="425FF9EF" w:rsidR="008D0E19" w:rsidRPr="00672A70" w:rsidRDefault="008D0E19" w:rsidP="00696C0B">
      <w:pPr>
        <w:spacing w:line="360" w:lineRule="auto"/>
        <w:rPr>
          <w:rFonts w:ascii="Arial" w:hAnsi="Arial" w:cs="Arial"/>
          <w:sz w:val="24"/>
          <w:szCs w:val="24"/>
        </w:rPr>
      </w:pPr>
      <w:r w:rsidRPr="0028226B">
        <w:rPr>
          <w:rFonts w:ascii="Arial" w:hAnsi="Arial" w:cs="Arial"/>
          <w:sz w:val="24"/>
          <w:szCs w:val="24"/>
        </w:rPr>
        <w:t xml:space="preserve">Kategoria neutralna („ani popieram, ani nie popieram”) pozostawała relatywnie stabilna – od 11% do 15% w większości </w:t>
      </w:r>
      <w:r w:rsidR="5431923D" w:rsidRPr="0028226B">
        <w:rPr>
          <w:rFonts w:ascii="Arial" w:hAnsi="Arial" w:cs="Arial"/>
          <w:sz w:val="24"/>
          <w:szCs w:val="24"/>
        </w:rPr>
        <w:t>edycji</w:t>
      </w:r>
      <w:r w:rsidRPr="00672A70">
        <w:rPr>
          <w:rFonts w:ascii="Arial" w:hAnsi="Arial" w:cs="Arial"/>
          <w:sz w:val="24"/>
          <w:szCs w:val="24"/>
        </w:rPr>
        <w:t>. Najnowsze dane z 2025 r. mieszczą się w tej tendencji, wskazując 15%.</w:t>
      </w:r>
    </w:p>
    <w:p w14:paraId="58BD170D" w14:textId="189A05A9" w:rsidR="008D0E19" w:rsidRPr="00672A70" w:rsidRDefault="008D0E19" w:rsidP="00696C0B">
      <w:pPr>
        <w:spacing w:line="360" w:lineRule="auto"/>
        <w:rPr>
          <w:rFonts w:ascii="Arial" w:hAnsi="Arial" w:cs="Arial"/>
          <w:sz w:val="24"/>
          <w:szCs w:val="24"/>
        </w:rPr>
      </w:pPr>
      <w:r w:rsidRPr="00672A70">
        <w:rPr>
          <w:rFonts w:ascii="Arial" w:hAnsi="Arial" w:cs="Arial"/>
          <w:sz w:val="24"/>
          <w:szCs w:val="24"/>
        </w:rPr>
        <w:t xml:space="preserve">Odsetek osób wyrażających sprzeciw wobec członkostwa Polski w UE pozostaje niski i w żadnym roku nie przekroczył 12%. W latach 2016–2024 oscylował on najczęściej w przedziale 7–10% (łącznie „raczej nie popieram” i „zdecydowanie nie popieram”). W 2025 r. łączny poziom sprzeciwu wyniósł </w:t>
      </w:r>
      <w:r w:rsidR="003A1C11">
        <w:rPr>
          <w:rFonts w:ascii="Arial" w:hAnsi="Arial" w:cs="Arial"/>
          <w:sz w:val="24"/>
          <w:szCs w:val="24"/>
        </w:rPr>
        <w:t>9</w:t>
      </w:r>
      <w:r w:rsidRPr="00672A70">
        <w:rPr>
          <w:rFonts w:ascii="Arial" w:hAnsi="Arial" w:cs="Arial"/>
          <w:sz w:val="24"/>
          <w:szCs w:val="24"/>
        </w:rPr>
        <w:t>% (5% raczej nie popiera oraz 4% zdecydowanie nie popiera), co potwierdza utrzymujący się relatywnie niewielki odsetek respondentów przeciwnych obecności Polski w UE.</w:t>
      </w:r>
    </w:p>
    <w:p w14:paraId="692A3FFC" w14:textId="6825621A" w:rsidR="008D0E19" w:rsidRPr="00672A70" w:rsidRDefault="008D0E19" w:rsidP="00696C0B">
      <w:pPr>
        <w:spacing w:line="360" w:lineRule="auto"/>
        <w:rPr>
          <w:rFonts w:ascii="Arial" w:hAnsi="Arial" w:cs="Arial"/>
          <w:sz w:val="24"/>
          <w:szCs w:val="24"/>
        </w:rPr>
      </w:pPr>
      <w:r w:rsidRPr="00672A70">
        <w:rPr>
          <w:rFonts w:ascii="Arial" w:hAnsi="Arial" w:cs="Arial"/>
          <w:sz w:val="24"/>
          <w:szCs w:val="24"/>
        </w:rPr>
        <w:t xml:space="preserve">Warto również zwrócić uwagę na niewielki, lecz powtarzalny odsetek osób niezdecydowanych. W każdej edycji badania mieścił się on w granicach 2–8%. W </w:t>
      </w:r>
      <w:r w:rsidRPr="00672A70">
        <w:rPr>
          <w:rFonts w:ascii="Arial" w:hAnsi="Arial" w:cs="Arial"/>
          <w:sz w:val="24"/>
          <w:szCs w:val="24"/>
        </w:rPr>
        <w:lastRenderedPageBreak/>
        <w:t>najnowszej fali z 2025 r. wyniósł 2%, co jest jedną z niższych wartości w całej analizowanej serii.</w:t>
      </w:r>
    </w:p>
    <w:p w14:paraId="14E5A6D4" w14:textId="77777777" w:rsidR="008D0E19" w:rsidRPr="00672A70" w:rsidRDefault="008D0E19" w:rsidP="00696C0B">
      <w:pPr>
        <w:spacing w:line="360" w:lineRule="auto"/>
        <w:rPr>
          <w:rFonts w:ascii="Arial" w:hAnsi="Arial" w:cs="Arial"/>
          <w:sz w:val="24"/>
          <w:szCs w:val="24"/>
        </w:rPr>
      </w:pPr>
      <w:r w:rsidRPr="00672A70">
        <w:rPr>
          <w:rFonts w:ascii="Arial" w:hAnsi="Arial" w:cs="Arial"/>
          <w:sz w:val="24"/>
          <w:szCs w:val="24"/>
        </w:rPr>
        <w:t>Podsumowując, dane z lat 2016–2025 pokazują stabilnie wysokie poparcie dla członkostwa Polski w Unii Europejskiej. Choć poziom „zdecydowanego poparcia” ulega wahaniom, to łączne poparcie – zarówno zdecydowane, jak i umiarkowane – pozostaje bardzo wysokie. Najnowsze wyniki z 2025 r. wskazują, że 73% respondentów popiera obecność Polski w UE, a jedynie niespełna 10% wyraża sprzeciw.</w:t>
      </w:r>
    </w:p>
    <w:p w14:paraId="66FD8B3E" w14:textId="58024C98" w:rsidR="008D0E19" w:rsidRPr="0028226B" w:rsidRDefault="008D0E19" w:rsidP="008D0E19">
      <w:pPr>
        <w:pStyle w:val="Legenda"/>
        <w:keepNext/>
        <w:rPr>
          <w:rFonts w:ascii="Arial" w:hAnsi="Arial" w:cs="Arial"/>
          <w:b/>
          <w:bCs/>
          <w:i w:val="0"/>
          <w:iCs w:val="0"/>
          <w:color w:val="000000" w:themeColor="text1"/>
          <w:sz w:val="24"/>
          <w:szCs w:val="24"/>
        </w:rPr>
      </w:pPr>
      <w:bookmarkStart w:id="8" w:name="_Toc219369228"/>
      <w:r w:rsidRPr="0028226B">
        <w:rPr>
          <w:rFonts w:ascii="Arial" w:hAnsi="Arial" w:cs="Arial"/>
          <w:b/>
          <w:bCs/>
          <w:i w:val="0"/>
          <w:iCs w:val="0"/>
          <w:color w:val="000000" w:themeColor="text1"/>
          <w:sz w:val="24"/>
          <w:szCs w:val="24"/>
        </w:rPr>
        <w:t xml:space="preserve">Wykres </w:t>
      </w:r>
      <w:r w:rsidRPr="0028226B">
        <w:rPr>
          <w:rFonts w:ascii="Arial" w:hAnsi="Arial" w:cs="Arial"/>
          <w:b/>
          <w:bCs/>
          <w:i w:val="0"/>
          <w:iCs w:val="0"/>
          <w:color w:val="000000" w:themeColor="text1"/>
          <w:sz w:val="24"/>
          <w:szCs w:val="24"/>
        </w:rPr>
        <w:fldChar w:fldCharType="begin"/>
      </w:r>
      <w:r w:rsidRPr="0028226B">
        <w:rPr>
          <w:rFonts w:ascii="Arial" w:hAnsi="Arial" w:cs="Arial"/>
          <w:b/>
          <w:bCs/>
          <w:i w:val="0"/>
          <w:iCs w:val="0"/>
          <w:color w:val="000000" w:themeColor="text1"/>
          <w:sz w:val="24"/>
          <w:szCs w:val="24"/>
        </w:rPr>
        <w:instrText xml:space="preserve"> SEQ Wykres \* ARABIC </w:instrText>
      </w:r>
      <w:r w:rsidRPr="0028226B">
        <w:rPr>
          <w:rFonts w:ascii="Arial" w:hAnsi="Arial" w:cs="Arial"/>
          <w:b/>
          <w:bCs/>
          <w:i w:val="0"/>
          <w:iCs w:val="0"/>
          <w:color w:val="000000" w:themeColor="text1"/>
          <w:sz w:val="24"/>
          <w:szCs w:val="24"/>
        </w:rPr>
        <w:fldChar w:fldCharType="separate"/>
      </w:r>
      <w:r w:rsidR="0055789E">
        <w:rPr>
          <w:rFonts w:ascii="Arial" w:hAnsi="Arial" w:cs="Arial"/>
          <w:b/>
          <w:bCs/>
          <w:i w:val="0"/>
          <w:iCs w:val="0"/>
          <w:noProof/>
          <w:color w:val="000000" w:themeColor="text1"/>
          <w:sz w:val="24"/>
          <w:szCs w:val="24"/>
        </w:rPr>
        <w:t>2</w:t>
      </w:r>
      <w:r w:rsidRPr="0028226B">
        <w:rPr>
          <w:rFonts w:ascii="Arial" w:hAnsi="Arial" w:cs="Arial"/>
          <w:b/>
          <w:bCs/>
          <w:i w:val="0"/>
          <w:iCs w:val="0"/>
          <w:color w:val="000000" w:themeColor="text1"/>
          <w:sz w:val="24"/>
          <w:szCs w:val="24"/>
        </w:rPr>
        <w:fldChar w:fldCharType="end"/>
      </w:r>
      <w:r w:rsidRPr="0028226B">
        <w:rPr>
          <w:rFonts w:ascii="Arial" w:hAnsi="Arial" w:cs="Arial"/>
          <w:b/>
          <w:bCs/>
          <w:i w:val="0"/>
          <w:iCs w:val="0"/>
          <w:color w:val="000000" w:themeColor="text1"/>
          <w:sz w:val="24"/>
          <w:szCs w:val="24"/>
        </w:rPr>
        <w:t xml:space="preserve">. </w:t>
      </w:r>
      <w:r w:rsidR="001D7813" w:rsidRPr="001D7813">
        <w:rPr>
          <w:rFonts w:ascii="Arial" w:hAnsi="Arial" w:cs="Arial"/>
          <w:b/>
          <w:bCs/>
          <w:i w:val="0"/>
          <w:iCs w:val="0"/>
          <w:color w:val="000000" w:themeColor="text1"/>
          <w:sz w:val="24"/>
          <w:szCs w:val="24"/>
        </w:rPr>
        <w:t>P1. Czy popiera Pan(i) czy też nie popiera członkostwo Polski w Unii Europejskiej?</w:t>
      </w:r>
      <w:r w:rsidR="00F30D52">
        <w:rPr>
          <w:rStyle w:val="Odwoanieprzypisudolnego"/>
          <w:rFonts w:ascii="Arial" w:hAnsi="Arial" w:cs="Arial"/>
          <w:b/>
          <w:bCs/>
          <w:i w:val="0"/>
          <w:iCs w:val="0"/>
          <w:color w:val="000000" w:themeColor="text1"/>
          <w:sz w:val="24"/>
          <w:szCs w:val="24"/>
        </w:rPr>
        <w:footnoteReference w:id="2"/>
      </w:r>
      <w:bookmarkEnd w:id="8"/>
    </w:p>
    <w:p w14:paraId="62F089B5" w14:textId="2D4C2600" w:rsidR="008D0E19" w:rsidRPr="0028226B" w:rsidRDefault="008D0E19" w:rsidP="00BC19CE">
      <w:pPr>
        <w:rPr>
          <w:rFonts w:ascii="Arial" w:hAnsi="Arial" w:cs="Arial"/>
          <w:sz w:val="24"/>
          <w:szCs w:val="24"/>
        </w:rPr>
      </w:pPr>
      <w:r w:rsidRPr="003E4169">
        <w:rPr>
          <w:rFonts w:ascii="Arial" w:hAnsi="Arial" w:cs="Arial"/>
          <w:noProof/>
          <w:color w:val="061A3D"/>
        </w:rPr>
        <w:drawing>
          <wp:inline distT="0" distB="0" distL="0" distR="0" wp14:anchorId="2310E50E" wp14:editId="32219978">
            <wp:extent cx="5852160" cy="4248150"/>
            <wp:effectExtent l="0" t="0" r="0" b="0"/>
            <wp:docPr id="405486909" name="Wykres 2" descr="Wykres prezentuje odpowiedzi na pytanie „Czy popiera Pan(i) czy też nie popiera członkostwo Polski w Unii Europejskiej?” w latach 2016–2025. Odpowiedzi podano w sześciu kategoriach: „zdecydowanie popieram”, „raczej popieram”, „ani popieram, ani nie”, „raczej nie popieram”, „zdecydowanie nie popieram”, „nie wiem”.&#10;&#10;Dane dla poszczególnych lat:&#10;&#10;2016: 28% zdecydowanie popiera, 45% raczej popiera, 14% neutralnie, 5% raczej nie popiera, 4% zdecydowanie nie, 3% nie wiem.&#10;&#10;2018: 34% zdecydowanie, 43% raczej; 14% neutralnie; 4% raczej nie; 2% zdecydowanie nie; 2% nie wiem.&#10;&#10;2020: 31% zdecydowanie, 43% raczej; 14% neutralnie; 5% raczej nie; 4% zdecydowanie nie; 3% nie wiem.&#10;&#10;2021: 37% zdecydowanie, 29% raczej; 14% neutralnie; 7% raczej nie; 5% zdecydowanie nie; 8% nie wiem.&#10;&#10;2022: 38% zdecydowanie, 40% raczej; 11% neutralnie; 4% raczej nie; 4% zdecydowanie nie; 3% nie wiem.&#10;&#10;2023: 47% zdecydowanie, 29% raczej; 13% neutralnie; 5% raczej nie; 4% zdecydowanie nie; 3% nie wiem.&#10;&#10;2024: 28% zdecydowanie, 47% raczej; 15% neutralnie; 6% raczej nie; 3% zdecydowanie nie; 2% nie wiem.&#10;&#10;2025: 25% zdecydowanie, 48% raczej; 15% neutralnie; 5% raczej nie; 4% zdecydowanie nie; 2% nie wiem."/>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r w:rsidRPr="0028226B">
        <w:rPr>
          <w:rFonts w:ascii="Arial" w:hAnsi="Arial" w:cs="Arial"/>
          <w:sz w:val="24"/>
          <w:szCs w:val="24"/>
        </w:rPr>
        <w:br/>
      </w:r>
      <w:r w:rsidR="35B7B27C" w:rsidRPr="0028226B">
        <w:rPr>
          <w:rFonts w:ascii="Arial" w:hAnsi="Arial" w:cs="Arial"/>
          <w:sz w:val="24"/>
          <w:szCs w:val="24"/>
        </w:rPr>
        <w:t>Źródło: Opracowano na podstawie badania CAPI</w:t>
      </w:r>
      <w:r w:rsidR="00CE7EB4">
        <w:rPr>
          <w:rFonts w:ascii="Arial" w:hAnsi="Arial" w:cs="Arial"/>
          <w:sz w:val="24"/>
          <w:szCs w:val="24"/>
        </w:rPr>
        <w:t>; odpowiadający: wszyscy respondenci</w:t>
      </w:r>
    </w:p>
    <w:p w14:paraId="1F3918C8" w14:textId="40A7BC30" w:rsidR="007D0BDA" w:rsidRPr="0028226B" w:rsidRDefault="007D0BDA" w:rsidP="00696C0B">
      <w:pPr>
        <w:spacing w:line="360" w:lineRule="auto"/>
        <w:rPr>
          <w:rFonts w:ascii="Arial" w:hAnsi="Arial" w:cs="Arial"/>
          <w:sz w:val="24"/>
          <w:szCs w:val="24"/>
        </w:rPr>
      </w:pPr>
      <w:r w:rsidRPr="0028226B">
        <w:rPr>
          <w:rFonts w:ascii="Arial" w:hAnsi="Arial" w:cs="Arial"/>
          <w:sz w:val="24"/>
          <w:szCs w:val="24"/>
        </w:rPr>
        <w:lastRenderedPageBreak/>
        <w:t>Dane dotyczące poparcia członkostwa Polski w Unii Europejskiej pokazują, że zdecydowana większość respondentów wyraża postawę pozytywną wobec obecności Polski w UE: łącznie 73% badanych deklaruje poparcie, w tym 25% zdecydowanie i 4</w:t>
      </w:r>
      <w:r w:rsidR="00F5418A">
        <w:rPr>
          <w:rFonts w:ascii="Arial" w:hAnsi="Arial" w:cs="Arial"/>
          <w:sz w:val="24"/>
          <w:szCs w:val="24"/>
        </w:rPr>
        <w:t>8</w:t>
      </w:r>
      <w:r w:rsidRPr="0028226B">
        <w:rPr>
          <w:rFonts w:ascii="Arial" w:hAnsi="Arial" w:cs="Arial"/>
          <w:sz w:val="24"/>
          <w:szCs w:val="24"/>
        </w:rPr>
        <w:t xml:space="preserve">% raczej. Odpowiedzi przeciwne stanowią łącznie </w:t>
      </w:r>
      <w:r w:rsidR="00F5418A">
        <w:rPr>
          <w:rFonts w:ascii="Arial" w:hAnsi="Arial" w:cs="Arial"/>
          <w:sz w:val="24"/>
          <w:szCs w:val="24"/>
        </w:rPr>
        <w:t>10</w:t>
      </w:r>
      <w:r w:rsidRPr="0028226B">
        <w:rPr>
          <w:rFonts w:ascii="Arial" w:hAnsi="Arial" w:cs="Arial"/>
          <w:sz w:val="24"/>
          <w:szCs w:val="24"/>
        </w:rPr>
        <w:t>% (5% „raczej nie popieram” i 4% „zdecydowanie nie popieram”), natomiast 15% respondentów zajmuje stanowisko neutralne, a 2% nie ma zdania. Różnice między kobietami i mężczyznami są niewielkie — kobiety deklarują poparcie na poziomie 7</w:t>
      </w:r>
      <w:r w:rsidR="00F5418A">
        <w:rPr>
          <w:rFonts w:ascii="Arial" w:hAnsi="Arial" w:cs="Arial"/>
          <w:sz w:val="24"/>
          <w:szCs w:val="24"/>
        </w:rPr>
        <w:t>5</w:t>
      </w:r>
      <w:r w:rsidRPr="0028226B">
        <w:rPr>
          <w:rFonts w:ascii="Arial" w:hAnsi="Arial" w:cs="Arial"/>
          <w:sz w:val="24"/>
          <w:szCs w:val="24"/>
        </w:rPr>
        <w:t>%, a mężczyźni 7</w:t>
      </w:r>
      <w:r w:rsidR="00F5418A">
        <w:rPr>
          <w:rFonts w:ascii="Arial" w:hAnsi="Arial" w:cs="Arial"/>
          <w:sz w:val="24"/>
          <w:szCs w:val="24"/>
        </w:rPr>
        <w:t>2</w:t>
      </w:r>
      <w:r w:rsidRPr="0028226B">
        <w:rPr>
          <w:rFonts w:ascii="Arial" w:hAnsi="Arial" w:cs="Arial"/>
          <w:sz w:val="24"/>
          <w:szCs w:val="24"/>
        </w:rPr>
        <w:t>%; mężczyźni częściej wskazują postawy neutralne (16%) oraz brak zdania (</w:t>
      </w:r>
      <w:r w:rsidR="00F5418A">
        <w:rPr>
          <w:rFonts w:ascii="Arial" w:hAnsi="Arial" w:cs="Arial"/>
          <w:sz w:val="24"/>
          <w:szCs w:val="24"/>
        </w:rPr>
        <w:t>3</w:t>
      </w:r>
      <w:r w:rsidRPr="0028226B">
        <w:rPr>
          <w:rFonts w:ascii="Arial" w:hAnsi="Arial" w:cs="Arial"/>
          <w:sz w:val="24"/>
          <w:szCs w:val="24"/>
        </w:rPr>
        <w:t>%).</w:t>
      </w:r>
    </w:p>
    <w:p w14:paraId="6C787211" w14:textId="647006DC" w:rsidR="007D0BDA" w:rsidRPr="0028226B" w:rsidRDefault="007D0BDA" w:rsidP="00696C0B">
      <w:pPr>
        <w:spacing w:line="360" w:lineRule="auto"/>
        <w:rPr>
          <w:rFonts w:ascii="Arial" w:hAnsi="Arial" w:cs="Arial"/>
          <w:sz w:val="24"/>
          <w:szCs w:val="24"/>
        </w:rPr>
      </w:pPr>
      <w:r w:rsidRPr="0028226B">
        <w:rPr>
          <w:rFonts w:ascii="Arial" w:hAnsi="Arial" w:cs="Arial"/>
          <w:sz w:val="24"/>
          <w:szCs w:val="24"/>
        </w:rPr>
        <w:t>Zróżnicowanie pojawia się natomiast w przekroju wiekowym. W grupie 15–19 lat najwyższy jest odsetek odpowiedzi neutralnych (2</w:t>
      </w:r>
      <w:r w:rsidR="00F5418A">
        <w:rPr>
          <w:rFonts w:ascii="Arial" w:hAnsi="Arial" w:cs="Arial"/>
          <w:sz w:val="24"/>
          <w:szCs w:val="24"/>
        </w:rPr>
        <w:t>6</w:t>
      </w:r>
      <w:r w:rsidRPr="0028226B">
        <w:rPr>
          <w:rFonts w:ascii="Arial" w:hAnsi="Arial" w:cs="Arial"/>
          <w:sz w:val="24"/>
          <w:szCs w:val="24"/>
        </w:rPr>
        <w:t>%), co odróżnia ją od pozostałych grup wiekowych. Osoby w wieku 20–24 lata najczęściej popierają członkostwo (7</w:t>
      </w:r>
      <w:r w:rsidR="00F5418A">
        <w:rPr>
          <w:rFonts w:ascii="Arial" w:hAnsi="Arial" w:cs="Arial"/>
          <w:sz w:val="24"/>
          <w:szCs w:val="24"/>
        </w:rPr>
        <w:t>9</w:t>
      </w:r>
      <w:r w:rsidRPr="0028226B">
        <w:rPr>
          <w:rFonts w:ascii="Arial" w:hAnsi="Arial" w:cs="Arial"/>
          <w:sz w:val="24"/>
          <w:szCs w:val="24"/>
        </w:rPr>
        <w:t>%), przy najwyższym udziale odpowiedzi „raczej popieram” (54%). W grupach 35–44 lata, 45–54 lata oraz 55–64 lata szczególnie wyróżnia się wysoki odsetek poparcia zdecydowanego — odpowiednio 2</w:t>
      </w:r>
      <w:r w:rsidR="00F5418A">
        <w:rPr>
          <w:rFonts w:ascii="Arial" w:hAnsi="Arial" w:cs="Arial"/>
          <w:sz w:val="24"/>
          <w:szCs w:val="24"/>
        </w:rPr>
        <w:t>5</w:t>
      </w:r>
      <w:r w:rsidRPr="0028226B">
        <w:rPr>
          <w:rFonts w:ascii="Arial" w:hAnsi="Arial" w:cs="Arial"/>
          <w:sz w:val="24"/>
          <w:szCs w:val="24"/>
        </w:rPr>
        <w:t>%, 3</w:t>
      </w:r>
      <w:r w:rsidR="00F5418A">
        <w:rPr>
          <w:rFonts w:ascii="Arial" w:hAnsi="Arial" w:cs="Arial"/>
          <w:sz w:val="24"/>
          <w:szCs w:val="24"/>
        </w:rPr>
        <w:t>1</w:t>
      </w:r>
      <w:r w:rsidRPr="0028226B">
        <w:rPr>
          <w:rFonts w:ascii="Arial" w:hAnsi="Arial" w:cs="Arial"/>
          <w:sz w:val="24"/>
          <w:szCs w:val="24"/>
        </w:rPr>
        <w:t>% i 29%. Osoby w wieku 65+ mają bardziej zrównoważoną strukturę odpowiedzi, ale nadal większość (69%) deklaruje poparcie.</w:t>
      </w:r>
    </w:p>
    <w:p w14:paraId="4F0FCAA2" w14:textId="5E8139A1" w:rsidR="001D7813" w:rsidRDefault="001D7813" w:rsidP="00696C0B">
      <w:pPr>
        <w:spacing w:line="360" w:lineRule="auto"/>
        <w:rPr>
          <w:rFonts w:ascii="Arial" w:hAnsi="Arial" w:cs="Arial"/>
          <w:sz w:val="24"/>
          <w:szCs w:val="24"/>
        </w:rPr>
      </w:pPr>
      <w:r w:rsidRPr="001D7813">
        <w:rPr>
          <w:rFonts w:ascii="Arial" w:hAnsi="Arial" w:cs="Arial"/>
          <w:sz w:val="24"/>
          <w:szCs w:val="24"/>
        </w:rPr>
        <w:t>W podziale na poziom wykształcenia rozkłady odpowiedzi przedstawiają się następująco.</w:t>
      </w:r>
      <w:r w:rsidR="00980E4F">
        <w:rPr>
          <w:rFonts w:ascii="Arial" w:hAnsi="Arial" w:cs="Arial"/>
          <w:sz w:val="24"/>
          <w:szCs w:val="24"/>
        </w:rPr>
        <w:t xml:space="preserve"> </w:t>
      </w:r>
      <w:r w:rsidRPr="001D7813">
        <w:rPr>
          <w:rFonts w:ascii="Arial" w:hAnsi="Arial" w:cs="Arial"/>
          <w:sz w:val="24"/>
          <w:szCs w:val="24"/>
        </w:rPr>
        <w:t>Wśród osób z wykształceniem wyższym łączne poparcie („zdecydowanie” lub „raczej”) wynosi 7</w:t>
      </w:r>
      <w:r w:rsidR="00F5418A">
        <w:rPr>
          <w:rFonts w:ascii="Arial" w:hAnsi="Arial" w:cs="Arial"/>
          <w:sz w:val="24"/>
          <w:szCs w:val="24"/>
        </w:rPr>
        <w:t>5</w:t>
      </w:r>
      <w:r w:rsidRPr="001D7813">
        <w:rPr>
          <w:rFonts w:ascii="Arial" w:hAnsi="Arial" w:cs="Arial"/>
          <w:sz w:val="24"/>
          <w:szCs w:val="24"/>
        </w:rPr>
        <w:t>% przy najniższym odsetku odpowiedzi „zdecydowanie nie popieram” (</w:t>
      </w:r>
      <w:r w:rsidR="00F5418A">
        <w:rPr>
          <w:rFonts w:ascii="Arial" w:hAnsi="Arial" w:cs="Arial"/>
          <w:sz w:val="24"/>
          <w:szCs w:val="24"/>
        </w:rPr>
        <w:t>3</w:t>
      </w:r>
      <w:r w:rsidRPr="001D7813">
        <w:rPr>
          <w:rFonts w:ascii="Arial" w:hAnsi="Arial" w:cs="Arial"/>
          <w:sz w:val="24"/>
          <w:szCs w:val="24"/>
        </w:rPr>
        <w:t>%). W grupie osób ze średnim wykształceniem poparcie osiąga 70%. Wśród osób z wykształceniem zawodowym łączny poziom poparcia wynosi 7</w:t>
      </w:r>
      <w:r w:rsidR="00F5418A">
        <w:rPr>
          <w:rFonts w:ascii="Arial" w:hAnsi="Arial" w:cs="Arial"/>
          <w:sz w:val="24"/>
          <w:szCs w:val="24"/>
        </w:rPr>
        <w:t>5</w:t>
      </w:r>
      <w:r w:rsidRPr="001D7813">
        <w:rPr>
          <w:rFonts w:ascii="Arial" w:hAnsi="Arial" w:cs="Arial"/>
          <w:sz w:val="24"/>
          <w:szCs w:val="24"/>
        </w:rPr>
        <w:t>%, przy relatywnie najwyższym odsetku odpowiedzi „zdecydowanie popieram” (31%). W grupie osób z wykształceniem podstawowym poparcie deklaruje 73% respondentów, a jednocześnie ta kategoria cechuje się nieco wyższym udziałem odpowiedzi negatywnych (9% łącznie).</w:t>
      </w:r>
    </w:p>
    <w:p w14:paraId="60CF353B" w14:textId="67E42334" w:rsidR="007D0BDA" w:rsidRPr="0028226B" w:rsidRDefault="007D0BDA" w:rsidP="00696C0B">
      <w:pPr>
        <w:spacing w:line="360" w:lineRule="auto"/>
        <w:rPr>
          <w:rFonts w:ascii="Arial" w:hAnsi="Arial" w:cs="Arial"/>
          <w:sz w:val="24"/>
          <w:szCs w:val="24"/>
        </w:rPr>
      </w:pPr>
      <w:r w:rsidRPr="0028226B">
        <w:rPr>
          <w:rFonts w:ascii="Arial" w:hAnsi="Arial" w:cs="Arial"/>
          <w:sz w:val="24"/>
          <w:szCs w:val="24"/>
        </w:rPr>
        <w:t>Widoczne są również różnice ze względu na wielkość miejscowości. W największych miastach powyżej 500 tys. mieszkańców poparcie wynosi 75%, przy jednym z najwyższych udziałów odpowiedzi „zdecydowanie popieram” (2</w:t>
      </w:r>
      <w:r w:rsidR="00F5418A">
        <w:rPr>
          <w:rFonts w:ascii="Arial" w:hAnsi="Arial" w:cs="Arial"/>
          <w:sz w:val="24"/>
          <w:szCs w:val="24"/>
        </w:rPr>
        <w:t>9</w:t>
      </w:r>
      <w:r w:rsidRPr="0028226B">
        <w:rPr>
          <w:rFonts w:ascii="Arial" w:hAnsi="Arial" w:cs="Arial"/>
          <w:sz w:val="24"/>
          <w:szCs w:val="24"/>
        </w:rPr>
        <w:t>%). W miastach 50–199 tys. poparcie sięga 77%, również z wysokim udziałem postaw zdecydowanych (2</w:t>
      </w:r>
      <w:r w:rsidR="00F5418A">
        <w:rPr>
          <w:rFonts w:ascii="Arial" w:hAnsi="Arial" w:cs="Arial"/>
          <w:sz w:val="24"/>
          <w:szCs w:val="24"/>
        </w:rPr>
        <w:t>9</w:t>
      </w:r>
      <w:r w:rsidRPr="0028226B">
        <w:rPr>
          <w:rFonts w:ascii="Arial" w:hAnsi="Arial" w:cs="Arial"/>
          <w:sz w:val="24"/>
          <w:szCs w:val="24"/>
        </w:rPr>
        <w:t>%). Na wsi poparcie jest zbliżone do średniej (łącznie 7</w:t>
      </w:r>
      <w:r w:rsidR="00F5418A">
        <w:rPr>
          <w:rFonts w:ascii="Arial" w:hAnsi="Arial" w:cs="Arial"/>
          <w:sz w:val="24"/>
          <w:szCs w:val="24"/>
        </w:rPr>
        <w:t>1</w:t>
      </w:r>
      <w:r w:rsidRPr="0028226B">
        <w:rPr>
          <w:rFonts w:ascii="Arial" w:hAnsi="Arial" w:cs="Arial"/>
          <w:sz w:val="24"/>
          <w:szCs w:val="24"/>
        </w:rPr>
        <w:t xml:space="preserve">%), jednak częściej pojawiają się odpowiedzi „nie wiem” (3%). Najniższy udział odpowiedzi </w:t>
      </w:r>
      <w:r w:rsidRPr="0028226B">
        <w:rPr>
          <w:rFonts w:ascii="Arial" w:hAnsi="Arial" w:cs="Arial"/>
          <w:sz w:val="24"/>
          <w:szCs w:val="24"/>
        </w:rPr>
        <w:lastRenderedPageBreak/>
        <w:t>„zdecydowanie popieram” widoczny jest w miastach do 20 tys. mieszkańców (2</w:t>
      </w:r>
      <w:r w:rsidR="00F5418A">
        <w:rPr>
          <w:rFonts w:ascii="Arial" w:hAnsi="Arial" w:cs="Arial"/>
          <w:sz w:val="24"/>
          <w:szCs w:val="24"/>
        </w:rPr>
        <w:t>2</w:t>
      </w:r>
      <w:r w:rsidRPr="0028226B">
        <w:rPr>
          <w:rFonts w:ascii="Arial" w:hAnsi="Arial" w:cs="Arial"/>
          <w:sz w:val="24"/>
          <w:szCs w:val="24"/>
        </w:rPr>
        <w:t>%), choć ogólny poziom poparcia nadal pozostaje wysoki (75%).</w:t>
      </w:r>
    </w:p>
    <w:p w14:paraId="083A05FC" w14:textId="44E1B088" w:rsidR="007D0BDA" w:rsidRPr="0028226B" w:rsidRDefault="007D0BDA" w:rsidP="00696C0B">
      <w:pPr>
        <w:spacing w:line="360" w:lineRule="auto"/>
        <w:rPr>
          <w:rFonts w:ascii="Arial" w:hAnsi="Arial" w:cs="Arial"/>
          <w:sz w:val="24"/>
          <w:szCs w:val="24"/>
        </w:rPr>
      </w:pPr>
      <w:r w:rsidRPr="0028226B">
        <w:rPr>
          <w:rFonts w:ascii="Arial" w:hAnsi="Arial" w:cs="Arial"/>
          <w:sz w:val="24"/>
          <w:szCs w:val="24"/>
        </w:rPr>
        <w:t>Łącznie dane wskazują, że członkostwo Polski w Unii Europejskiej cieszy się bardzo szerokim poparciem społecznym we wszystkich analizowanych grupach demograficznych, przy czym największe zróżnicowanie dotyczy wieku oraz poziomu wykształcenia, natomiast różnice między płciami są minimalne.</w:t>
      </w:r>
    </w:p>
    <w:p w14:paraId="5A3E373F" w14:textId="2233D26D" w:rsidR="007D0BDA" w:rsidRPr="0028226B" w:rsidRDefault="007D0BDA" w:rsidP="0028226B">
      <w:pPr>
        <w:pStyle w:val="Legenda"/>
        <w:keepNext/>
        <w:spacing w:after="0"/>
        <w:rPr>
          <w:rFonts w:ascii="Arial" w:hAnsi="Arial" w:cs="Arial"/>
          <w:b/>
          <w:bCs/>
          <w:i w:val="0"/>
          <w:iCs w:val="0"/>
          <w:color w:val="000000" w:themeColor="text1"/>
          <w:sz w:val="24"/>
          <w:szCs w:val="24"/>
        </w:rPr>
      </w:pPr>
      <w:bookmarkStart w:id="9" w:name="_Toc219369229"/>
      <w:r w:rsidRPr="0028226B">
        <w:rPr>
          <w:rFonts w:ascii="Arial" w:hAnsi="Arial" w:cs="Arial"/>
          <w:b/>
          <w:bCs/>
          <w:i w:val="0"/>
          <w:iCs w:val="0"/>
          <w:color w:val="000000" w:themeColor="text1"/>
          <w:sz w:val="24"/>
          <w:szCs w:val="24"/>
        </w:rPr>
        <w:t xml:space="preserve">Wykres </w:t>
      </w:r>
      <w:r w:rsidRPr="0028226B">
        <w:rPr>
          <w:rFonts w:ascii="Arial" w:hAnsi="Arial" w:cs="Arial"/>
          <w:b/>
          <w:bCs/>
          <w:i w:val="0"/>
          <w:iCs w:val="0"/>
          <w:color w:val="000000" w:themeColor="text1"/>
          <w:sz w:val="24"/>
          <w:szCs w:val="24"/>
        </w:rPr>
        <w:fldChar w:fldCharType="begin"/>
      </w:r>
      <w:r w:rsidRPr="0028226B">
        <w:rPr>
          <w:rFonts w:ascii="Arial" w:hAnsi="Arial" w:cs="Arial"/>
          <w:b/>
          <w:bCs/>
          <w:i w:val="0"/>
          <w:iCs w:val="0"/>
          <w:color w:val="000000" w:themeColor="text1"/>
          <w:sz w:val="24"/>
          <w:szCs w:val="24"/>
        </w:rPr>
        <w:instrText xml:space="preserve"> SEQ Wykres \* ARABIC </w:instrText>
      </w:r>
      <w:r w:rsidRPr="0028226B">
        <w:rPr>
          <w:rFonts w:ascii="Arial" w:hAnsi="Arial" w:cs="Arial"/>
          <w:b/>
          <w:bCs/>
          <w:i w:val="0"/>
          <w:iCs w:val="0"/>
          <w:color w:val="000000" w:themeColor="text1"/>
          <w:sz w:val="24"/>
          <w:szCs w:val="24"/>
        </w:rPr>
        <w:fldChar w:fldCharType="separate"/>
      </w:r>
      <w:r w:rsidR="0055789E">
        <w:rPr>
          <w:rFonts w:ascii="Arial" w:hAnsi="Arial" w:cs="Arial"/>
          <w:b/>
          <w:bCs/>
          <w:i w:val="0"/>
          <w:iCs w:val="0"/>
          <w:noProof/>
          <w:color w:val="000000" w:themeColor="text1"/>
          <w:sz w:val="24"/>
          <w:szCs w:val="24"/>
        </w:rPr>
        <w:t>3</w:t>
      </w:r>
      <w:r w:rsidRPr="0028226B">
        <w:rPr>
          <w:rFonts w:ascii="Arial" w:hAnsi="Arial" w:cs="Arial"/>
          <w:b/>
          <w:bCs/>
          <w:i w:val="0"/>
          <w:iCs w:val="0"/>
          <w:color w:val="000000" w:themeColor="text1"/>
          <w:sz w:val="24"/>
          <w:szCs w:val="24"/>
        </w:rPr>
        <w:fldChar w:fldCharType="end"/>
      </w:r>
      <w:r w:rsidRPr="0028226B">
        <w:rPr>
          <w:rFonts w:ascii="Arial" w:hAnsi="Arial" w:cs="Arial"/>
          <w:b/>
          <w:bCs/>
          <w:i w:val="0"/>
          <w:iCs w:val="0"/>
          <w:color w:val="000000" w:themeColor="text1"/>
          <w:sz w:val="24"/>
          <w:szCs w:val="24"/>
        </w:rPr>
        <w:t>. P1. Czy popiera Pan(i) czy też nie popiera członkostwo Polski w Unii Europejskiej?</w:t>
      </w:r>
      <w:bookmarkEnd w:id="9"/>
    </w:p>
    <w:p w14:paraId="7D614066" w14:textId="304A01D0" w:rsidR="007D0BDA" w:rsidRDefault="0028226B" w:rsidP="002F3729">
      <w:pPr>
        <w:rPr>
          <w:rFonts w:ascii="Arial" w:hAnsi="Arial" w:cs="Arial"/>
          <w:sz w:val="24"/>
          <w:szCs w:val="24"/>
        </w:rPr>
      </w:pPr>
      <w:r w:rsidRPr="0028226B">
        <w:rPr>
          <w:rFonts w:ascii="Arial" w:hAnsi="Arial" w:cs="Arial"/>
          <w:noProof/>
        </w:rPr>
        <w:drawing>
          <wp:inline distT="0" distB="0" distL="0" distR="0" wp14:anchorId="48FE3928" wp14:editId="0BB1A87E">
            <wp:extent cx="6007100" cy="5613991"/>
            <wp:effectExtent l="0" t="0" r="0" b="0"/>
            <wp:docPr id="370695338" name="Wykres 2" descr="Wykres przedstawia rozkład odpowiedzi na pytanie „Czy popiera Pan(i) czy też nie popiera członkostwo Polski w Unii Europejskiej?” w podziale na ogół badanych oraz wybrane grupy demograficzne i społeczne. Odpowiedzi podano w sześciu kategoriach: „zdecydowanie popieram”, „raczej popieram”, „ani popieram, ani nie”, „raczej nie popieram”, „zdecydowanie nie popieram”, „nie wiem”.&#10;&#10;Dla ogółu badanych: 25,4% zdecydowanie popiera, 47,6% raczej popiera, 15,1% odpowiada „ani tak, ani nie”, 5,2% raczej nie popiera, 2,3% zdecydowanie nie, 4,4% nie ma zdania.&#10;&#10;W podziale na płeć: kobiety – 24,9% zdecydowanie popiera, 49,8% raczej; 14,1% neutralnie; 5,0% raczej nie; 1,9% zdecydowanie nie; 4,2% „nie wiem”. Mężczyźni – 25,9% zdecydowanie popiera, 45,6% raczej; 16,0% neutralnie; 5,4% raczej nie; 2,7% zdecydowanie nie; 4,3% „nie wiem”.&#10;&#10;W podziale na wiek: 15–19 lat – 21,0% zdecydowanie popiera, 43,5% raczej; 25,8% neutralnie; 4,8% raczej nie; 2,1% zdecydowanie nie; 2,6% „nie wiem”.&#10;20–24 lata – 24,6% zdecydowanie, 54,1% raczej; 13,1% neutralnie; 1,6% raczej nie; 0,0% zdecydowanie nie; 6,6% „nie wiem”.&#10;25–34 lata – 22,7% zdecydowanie, 51,9% raczej; 15,6% neutralnie; 3,9% raczej nie; 1,9% zdecydowanie nie; 4,0% „nie wiem”.&#10;35–44 lata – 24,9% zdecydowanie, 48,3% raczej; 13,7% neutralnie; 3,9% raczej nie; 1,3% zdecydowanie nie; 7,8% „nie wiem”.&#10;45–54 lata – 30,8% zdecydowanie, 49,3% raczej; 10,9% neutralnie; 5,5% raczej nie; 0,7% zdecydowanie nie; 2,8% „nie wiem”.&#10;55–64 lata – 29,0% zdecydowanie, 42,0% raczej; 13,0% neutralnie; 9,2% raczej nie; 3,8% zdecydowanie nie; 3,0% „nie wiem”.&#10;65+ – 23,7% zdecydowanie, 45,6% raczej; 18,3% neutralnie; 5,8% raczej nie; 4,2% zdecydowanie nie; 2,5% „nie wiem”.&#10;&#10;W podziale na wykształcenie: wyższe – 27,3% zdecydowanie, 47,6% raczej; 12,7% neutralnie; 5,8% raczej nie; 2,9% zdecydowanie nie; 3,6% „nie wiem”.&#10;Średnie – 22,6% zdecydowanie, 47,7% raczej; 17,5% neutralnie; 5,4% raczej nie; 1,4% zdecydowanie nie; 5,4% „nie wiem”.&#10;Zawodowe – 31,0% zdecydowanie, 43,5% raczej; 13,3% neutralnie; 5,2% raczej nie; 0,2% zdecydowanie nie; 6,8% „nie wiem”.&#10;Podstawowe – 17,9% zdecydowanie, 55,3% raczej; 17,1% neutralnie; 3,3% raczej nie; 0,8% zdecydowanie nie; 6,7% „nie wiem”.&#10;&#10;W podziale na wielkość miejscowości: wieś – 25,4% zdecydowanie, 45,5% raczej; 15,8% neutralnie; 4,5% raczej nie; 3,0% zdecydowanie nie; 5,8% „nie wiem”.&#10;Miasta do 20 tys. – 21,9% zdecydowanie, 43,5% raczej; 11,7% neutralnie; 8,6% raczej nie; 3,0% zdecydowanie nie; 11,3% „nie wiem”.&#10;Miasta 20–49 tys. – 21,4% zdecydowanie, 46,2% raczej; 19,7% neutralnie; 2,6% raczej nie; 1,7% zdecydowanie nie; 8,4% „nie wiem”.&#10;Miasta 50–199 tys. – 28,7% zdecydowanie, 48,7% raczej; 11,7% neutralnie; 6,0% raczej nie; 0,9% zdecydowanie nie; 3,9% „nie wiem”.&#10;Miasta 200–499 tys. – 25,6% zdecydowanie, 51,2% raczej; 12,8% neutralnie; 2,8% raczej nie; 1,6% zdecydowanie nie; 6,0% „nie wiem”.&#10;Miasta powyżej 500 tys. – 28,9% zdecydowanie, 46,3% raczej; 16,5% neutralnie; 3,3% raczej nie; 0,8% zdecydowanie nie; 4,3% „nie wiem”."/>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007D0BDA" w:rsidRPr="0028226B">
        <w:rPr>
          <w:rFonts w:ascii="Arial" w:hAnsi="Arial" w:cs="Arial"/>
          <w:sz w:val="24"/>
          <w:szCs w:val="24"/>
        </w:rPr>
        <w:t>Źródło: Opracowano na podstawie badania CAPI</w:t>
      </w:r>
      <w:r w:rsidR="003E4169">
        <w:rPr>
          <w:rFonts w:ascii="Arial" w:hAnsi="Arial" w:cs="Arial"/>
          <w:sz w:val="24"/>
          <w:szCs w:val="24"/>
        </w:rPr>
        <w:t>;</w:t>
      </w:r>
      <w:r w:rsidR="003E4169" w:rsidRPr="003E4169">
        <w:rPr>
          <w:rFonts w:ascii="Arial" w:hAnsi="Arial" w:cs="Arial"/>
          <w:sz w:val="24"/>
          <w:szCs w:val="24"/>
        </w:rPr>
        <w:t xml:space="preserve"> </w:t>
      </w:r>
      <w:r w:rsidR="003E4169">
        <w:rPr>
          <w:rFonts w:ascii="Arial" w:hAnsi="Arial" w:cs="Arial"/>
          <w:sz w:val="24"/>
          <w:szCs w:val="24"/>
        </w:rPr>
        <w:t>odpowiadający: wszyscy respondenci</w:t>
      </w:r>
    </w:p>
    <w:p w14:paraId="6F7506D6" w14:textId="77777777" w:rsidR="00AA4EBE" w:rsidRDefault="00AA4EBE" w:rsidP="002F3729">
      <w:pPr>
        <w:rPr>
          <w:rFonts w:ascii="Arial" w:hAnsi="Arial" w:cs="Arial"/>
          <w:sz w:val="24"/>
          <w:szCs w:val="24"/>
        </w:rPr>
      </w:pPr>
    </w:p>
    <w:p w14:paraId="0B0D33C5" w14:textId="77777777" w:rsidR="00AA4EBE" w:rsidRPr="0028226B" w:rsidRDefault="00AA4EBE" w:rsidP="002F3729">
      <w:pPr>
        <w:rPr>
          <w:rFonts w:ascii="Arial" w:hAnsi="Arial" w:cs="Arial"/>
          <w:sz w:val="24"/>
          <w:szCs w:val="24"/>
        </w:rPr>
      </w:pPr>
    </w:p>
    <w:p w14:paraId="0DDE97E9" w14:textId="2AFD8975" w:rsidR="0011750E" w:rsidRPr="0028226B" w:rsidRDefault="0011750E" w:rsidP="00B53654">
      <w:pPr>
        <w:rPr>
          <w:rFonts w:ascii="Arial" w:hAnsi="Arial" w:cs="Arial"/>
          <w:b/>
          <w:bCs/>
          <w:sz w:val="24"/>
          <w:szCs w:val="24"/>
        </w:rPr>
      </w:pPr>
      <w:r w:rsidRPr="0028226B">
        <w:rPr>
          <w:rFonts w:ascii="Arial" w:hAnsi="Arial" w:cs="Arial"/>
          <w:b/>
          <w:bCs/>
          <w:sz w:val="24"/>
          <w:szCs w:val="24"/>
        </w:rPr>
        <w:lastRenderedPageBreak/>
        <w:t>Korzyści ze wstąpienia Polski do Unii Europejskiej</w:t>
      </w:r>
    </w:p>
    <w:p w14:paraId="0AB5BB2E" w14:textId="2B572475" w:rsidR="00B53654" w:rsidRPr="0028226B" w:rsidRDefault="0CFA6D00" w:rsidP="00696C0B">
      <w:pPr>
        <w:spacing w:line="360" w:lineRule="auto"/>
        <w:rPr>
          <w:rFonts w:ascii="Arial" w:hAnsi="Arial" w:cs="Arial"/>
          <w:sz w:val="24"/>
          <w:szCs w:val="24"/>
        </w:rPr>
      </w:pPr>
      <w:r w:rsidRPr="0028226B">
        <w:rPr>
          <w:rFonts w:ascii="Arial" w:hAnsi="Arial" w:cs="Arial"/>
          <w:sz w:val="24"/>
          <w:szCs w:val="24"/>
        </w:rPr>
        <w:t xml:space="preserve">Struktura odpowiedzi dotyczących korzyści płynących z członkostwa Polski w Unii Europejskiej wskazuje, że respondenci najczęściej dostrzegają </w:t>
      </w:r>
      <w:r w:rsidR="00823991">
        <w:rPr>
          <w:rFonts w:ascii="Arial" w:hAnsi="Arial" w:cs="Arial"/>
          <w:sz w:val="24"/>
          <w:szCs w:val="24"/>
        </w:rPr>
        <w:t xml:space="preserve">korzyści </w:t>
      </w:r>
      <w:r w:rsidR="00D762DB">
        <w:rPr>
          <w:rFonts w:ascii="Arial" w:hAnsi="Arial" w:cs="Arial"/>
          <w:sz w:val="24"/>
          <w:szCs w:val="24"/>
        </w:rPr>
        <w:t>o</w:t>
      </w:r>
      <w:r w:rsidR="00D43955">
        <w:rPr>
          <w:rFonts w:ascii="Arial" w:hAnsi="Arial" w:cs="Arial"/>
          <w:sz w:val="24"/>
          <w:szCs w:val="24"/>
        </w:rPr>
        <w:t xml:space="preserve"> </w:t>
      </w:r>
      <w:r w:rsidRPr="0028226B">
        <w:rPr>
          <w:rFonts w:ascii="Arial" w:hAnsi="Arial" w:cs="Arial"/>
          <w:sz w:val="24"/>
          <w:szCs w:val="24"/>
        </w:rPr>
        <w:t xml:space="preserve">charakterze gospodarczym i infrastrukturalnym, a następnie te związane z </w:t>
      </w:r>
      <w:r w:rsidR="00215DEB">
        <w:rPr>
          <w:rFonts w:ascii="Arial" w:hAnsi="Arial" w:cs="Arial"/>
          <w:sz w:val="24"/>
          <w:szCs w:val="24"/>
        </w:rPr>
        <w:t>mobilnością</w:t>
      </w:r>
      <w:r w:rsidRPr="0028226B">
        <w:rPr>
          <w:rFonts w:ascii="Arial" w:hAnsi="Arial" w:cs="Arial"/>
          <w:sz w:val="24"/>
          <w:szCs w:val="24"/>
        </w:rPr>
        <w:t xml:space="preserve"> i bezpieczeństwem.</w:t>
      </w:r>
    </w:p>
    <w:p w14:paraId="78DA9126" w14:textId="20A6EB20" w:rsidR="00B53654" w:rsidRPr="0028226B" w:rsidRDefault="0CFA6D00" w:rsidP="00696C0B">
      <w:pPr>
        <w:spacing w:line="360" w:lineRule="auto"/>
        <w:rPr>
          <w:rFonts w:ascii="Arial" w:hAnsi="Arial" w:cs="Arial"/>
          <w:sz w:val="24"/>
          <w:szCs w:val="24"/>
        </w:rPr>
      </w:pPr>
      <w:bookmarkStart w:id="10" w:name="_Hlk214370695"/>
      <w:r w:rsidRPr="0028226B">
        <w:rPr>
          <w:rFonts w:ascii="Arial" w:hAnsi="Arial" w:cs="Arial"/>
          <w:sz w:val="24"/>
          <w:szCs w:val="24"/>
        </w:rPr>
        <w:t xml:space="preserve">Najwyższy odsetek wskazań </w:t>
      </w:r>
      <w:r w:rsidR="24D39889" w:rsidRPr="0028226B">
        <w:rPr>
          <w:rFonts w:ascii="Arial" w:hAnsi="Arial" w:cs="Arial"/>
          <w:sz w:val="24"/>
          <w:szCs w:val="24"/>
        </w:rPr>
        <w:t xml:space="preserve">korzyści z członkostwa Polski w UE </w:t>
      </w:r>
      <w:r w:rsidRPr="0028226B">
        <w:rPr>
          <w:rFonts w:ascii="Arial" w:hAnsi="Arial" w:cs="Arial"/>
          <w:sz w:val="24"/>
          <w:szCs w:val="24"/>
        </w:rPr>
        <w:t xml:space="preserve">dotyczy rozwoju gospodarczego, który </w:t>
      </w:r>
      <w:r w:rsidR="01C6784C" w:rsidRPr="0028226B">
        <w:rPr>
          <w:rFonts w:ascii="Arial" w:hAnsi="Arial" w:cs="Arial"/>
          <w:sz w:val="24"/>
          <w:szCs w:val="24"/>
        </w:rPr>
        <w:t xml:space="preserve">wybrało </w:t>
      </w:r>
      <w:r w:rsidRPr="0028226B">
        <w:rPr>
          <w:rFonts w:ascii="Arial" w:hAnsi="Arial" w:cs="Arial"/>
          <w:sz w:val="24"/>
          <w:szCs w:val="24"/>
        </w:rPr>
        <w:t xml:space="preserve">45% respondentów. Wynik ten </w:t>
      </w:r>
      <w:r w:rsidR="00215DEB">
        <w:rPr>
          <w:rFonts w:ascii="Arial" w:hAnsi="Arial" w:cs="Arial"/>
          <w:sz w:val="24"/>
          <w:szCs w:val="24"/>
        </w:rPr>
        <w:t>wskazuje, że członkostwo w UE postrzegane jest jako</w:t>
      </w:r>
      <w:r w:rsidRPr="0028226B">
        <w:rPr>
          <w:rFonts w:ascii="Arial" w:hAnsi="Arial" w:cs="Arial"/>
          <w:sz w:val="24"/>
          <w:szCs w:val="24"/>
        </w:rPr>
        <w:t xml:space="preserve"> kluczow</w:t>
      </w:r>
      <w:r w:rsidR="00215DEB">
        <w:rPr>
          <w:rFonts w:ascii="Arial" w:hAnsi="Arial" w:cs="Arial"/>
          <w:sz w:val="24"/>
          <w:szCs w:val="24"/>
        </w:rPr>
        <w:t>y</w:t>
      </w:r>
      <w:r w:rsidRPr="0028226B">
        <w:rPr>
          <w:rFonts w:ascii="Arial" w:hAnsi="Arial" w:cs="Arial"/>
          <w:sz w:val="24"/>
          <w:szCs w:val="24"/>
        </w:rPr>
        <w:t xml:space="preserve"> czynnik wspierając</w:t>
      </w:r>
      <w:r w:rsidR="00215DEB">
        <w:rPr>
          <w:rFonts w:ascii="Arial" w:hAnsi="Arial" w:cs="Arial"/>
          <w:sz w:val="24"/>
          <w:szCs w:val="24"/>
        </w:rPr>
        <w:t>y</w:t>
      </w:r>
      <w:r w:rsidRPr="0028226B">
        <w:rPr>
          <w:rFonts w:ascii="Arial" w:hAnsi="Arial" w:cs="Arial"/>
          <w:sz w:val="24"/>
          <w:szCs w:val="24"/>
        </w:rPr>
        <w:t xml:space="preserve"> modernizację i tempo wzrostu ekonomicznego Polski. Tuż za nim plasują się dofinansowania i fundusze unijne – 4</w:t>
      </w:r>
      <w:r w:rsidR="00F5418A">
        <w:rPr>
          <w:rFonts w:ascii="Arial" w:hAnsi="Arial" w:cs="Arial"/>
          <w:sz w:val="24"/>
          <w:szCs w:val="24"/>
        </w:rPr>
        <w:t>3</w:t>
      </w:r>
      <w:r w:rsidRPr="0028226B">
        <w:rPr>
          <w:rFonts w:ascii="Arial" w:hAnsi="Arial" w:cs="Arial"/>
          <w:sz w:val="24"/>
          <w:szCs w:val="24"/>
        </w:rPr>
        <w:t>% wskazań</w:t>
      </w:r>
      <w:r w:rsidR="00215DEB">
        <w:rPr>
          <w:rFonts w:ascii="Arial" w:hAnsi="Arial" w:cs="Arial"/>
          <w:sz w:val="24"/>
          <w:szCs w:val="24"/>
        </w:rPr>
        <w:t xml:space="preserve"> </w:t>
      </w:r>
      <w:r w:rsidR="00215DEB" w:rsidRPr="0028226B">
        <w:rPr>
          <w:rFonts w:ascii="Arial" w:hAnsi="Arial" w:cs="Arial"/>
          <w:sz w:val="24"/>
          <w:szCs w:val="24"/>
        </w:rPr>
        <w:t>–</w:t>
      </w:r>
      <w:r w:rsidRPr="0028226B">
        <w:rPr>
          <w:rFonts w:ascii="Arial" w:hAnsi="Arial" w:cs="Arial"/>
          <w:sz w:val="24"/>
          <w:szCs w:val="24"/>
        </w:rPr>
        <w:t xml:space="preserve"> co potwierdza szeroką świadomość roli środków europejskich w finansowaniu inwestycji publicznych i lokalnych.</w:t>
      </w:r>
    </w:p>
    <w:bookmarkEnd w:id="10"/>
    <w:p w14:paraId="73FF5CE8" w14:textId="435BC991" w:rsidR="00B53654" w:rsidRPr="0028226B" w:rsidRDefault="0CFA6D00" w:rsidP="00696C0B">
      <w:pPr>
        <w:spacing w:line="360" w:lineRule="auto"/>
        <w:rPr>
          <w:rFonts w:ascii="Arial" w:hAnsi="Arial" w:cs="Arial"/>
          <w:sz w:val="24"/>
          <w:szCs w:val="24"/>
        </w:rPr>
      </w:pPr>
      <w:r w:rsidRPr="0028226B">
        <w:rPr>
          <w:rFonts w:ascii="Arial" w:hAnsi="Arial" w:cs="Arial"/>
          <w:sz w:val="24"/>
          <w:szCs w:val="24"/>
        </w:rPr>
        <w:t>Kolejne często wskazywane korzyści dotyczą możliwości pracy za granicą i swobodnego przemieszczania się (</w:t>
      </w:r>
      <w:r w:rsidR="00F5418A">
        <w:rPr>
          <w:rFonts w:ascii="Arial" w:hAnsi="Arial" w:cs="Arial"/>
          <w:sz w:val="24"/>
          <w:szCs w:val="24"/>
        </w:rPr>
        <w:t>40</w:t>
      </w:r>
      <w:r w:rsidRPr="0028226B">
        <w:rPr>
          <w:rFonts w:ascii="Arial" w:hAnsi="Arial" w:cs="Arial"/>
          <w:sz w:val="24"/>
          <w:szCs w:val="24"/>
        </w:rPr>
        <w:t>%) oraz poprawy bezpieczeństwa Polski (38%). Obydwa te obszary mają charakter bezpośrednio odczuwalny – zarówno w wymiarze osobistym (mobilność i rynek pracy), jak i państwowym (bezpieczeństwo w ramach struktur unijnych).</w:t>
      </w:r>
    </w:p>
    <w:p w14:paraId="269C2519" w14:textId="3E96F434" w:rsidR="00B53654" w:rsidRPr="0028226B" w:rsidRDefault="0CFA6D00" w:rsidP="00696C0B">
      <w:pPr>
        <w:spacing w:line="360" w:lineRule="auto"/>
        <w:rPr>
          <w:rFonts w:ascii="Arial" w:hAnsi="Arial" w:cs="Arial"/>
          <w:sz w:val="24"/>
          <w:szCs w:val="24"/>
        </w:rPr>
      </w:pPr>
      <w:r w:rsidRPr="0028226B">
        <w:rPr>
          <w:rFonts w:ascii="Arial" w:hAnsi="Arial" w:cs="Arial"/>
          <w:sz w:val="24"/>
          <w:szCs w:val="24"/>
        </w:rPr>
        <w:t>Znaczącą grupę korzyści stanowią także te związane z szeroko rozumianą modernizacją kraju. Poprawę i rozbudowę infrastruktury wskazało 3</w:t>
      </w:r>
      <w:r w:rsidR="00F5418A">
        <w:rPr>
          <w:rFonts w:ascii="Arial" w:hAnsi="Arial" w:cs="Arial"/>
          <w:sz w:val="24"/>
          <w:szCs w:val="24"/>
        </w:rPr>
        <w:t>4</w:t>
      </w:r>
      <w:r w:rsidRPr="0028226B">
        <w:rPr>
          <w:rFonts w:ascii="Arial" w:hAnsi="Arial" w:cs="Arial"/>
          <w:sz w:val="24"/>
          <w:szCs w:val="24"/>
        </w:rPr>
        <w:t xml:space="preserve">% badanych, co odzwierciedla </w:t>
      </w:r>
      <w:r w:rsidR="10F4387E" w:rsidRPr="0028226B">
        <w:rPr>
          <w:rFonts w:ascii="Arial" w:hAnsi="Arial" w:cs="Arial"/>
          <w:sz w:val="24"/>
          <w:szCs w:val="24"/>
        </w:rPr>
        <w:t>zauważalny</w:t>
      </w:r>
      <w:r w:rsidRPr="0028226B">
        <w:rPr>
          <w:rFonts w:ascii="Arial" w:hAnsi="Arial" w:cs="Arial"/>
          <w:sz w:val="24"/>
          <w:szCs w:val="24"/>
        </w:rPr>
        <w:t xml:space="preserve"> efekt inwestycji unijnych w drogi, transport, infrastrukturę lokalną czy obiekty publiczne. Również wzrost jakości życia Polaków został odnotowany jako istotna korzyść – wskazało go 29,9% respondentów. Może </w:t>
      </w:r>
      <w:r w:rsidR="00215DEB">
        <w:rPr>
          <w:rFonts w:ascii="Arial" w:hAnsi="Arial" w:cs="Arial"/>
          <w:sz w:val="24"/>
          <w:szCs w:val="24"/>
        </w:rPr>
        <w:t>on</w:t>
      </w:r>
      <w:r w:rsidR="00215DEB" w:rsidRPr="0028226B">
        <w:rPr>
          <w:rFonts w:ascii="Arial" w:hAnsi="Arial" w:cs="Arial"/>
          <w:sz w:val="24"/>
          <w:szCs w:val="24"/>
        </w:rPr>
        <w:t xml:space="preserve"> </w:t>
      </w:r>
      <w:r w:rsidRPr="0028226B">
        <w:rPr>
          <w:rFonts w:ascii="Arial" w:hAnsi="Arial" w:cs="Arial"/>
          <w:sz w:val="24"/>
          <w:szCs w:val="24"/>
        </w:rPr>
        <w:t>obejmować zarówno zmiany w przestrzeni publicznej, jak i w usługach publicznych czy standardzie życia.</w:t>
      </w:r>
    </w:p>
    <w:p w14:paraId="4F47EA73" w14:textId="402356F7" w:rsidR="00B53654" w:rsidRPr="0028226B" w:rsidRDefault="0CFA6D00" w:rsidP="00696C0B">
      <w:pPr>
        <w:spacing w:line="360" w:lineRule="auto"/>
        <w:rPr>
          <w:rFonts w:ascii="Arial" w:hAnsi="Arial" w:cs="Arial"/>
          <w:sz w:val="24"/>
          <w:szCs w:val="24"/>
        </w:rPr>
      </w:pPr>
      <w:r w:rsidRPr="0028226B">
        <w:rPr>
          <w:rFonts w:ascii="Arial" w:hAnsi="Arial" w:cs="Arial"/>
          <w:sz w:val="24"/>
          <w:szCs w:val="24"/>
        </w:rPr>
        <w:t>Warto zwrócić uwagę, że nieco rzadziej respondenci wskazywali korzyści sektorowe, takie jak rozwój rolnictwa (2</w:t>
      </w:r>
      <w:r w:rsidR="00F5418A">
        <w:rPr>
          <w:rFonts w:ascii="Arial" w:hAnsi="Arial" w:cs="Arial"/>
          <w:sz w:val="24"/>
          <w:szCs w:val="24"/>
        </w:rPr>
        <w:t>3</w:t>
      </w:r>
      <w:r w:rsidRPr="0028226B">
        <w:rPr>
          <w:rFonts w:ascii="Arial" w:hAnsi="Arial" w:cs="Arial"/>
          <w:sz w:val="24"/>
          <w:szCs w:val="24"/>
        </w:rPr>
        <w:t>%) oraz rozwój edukacji i nauki (1</w:t>
      </w:r>
      <w:r w:rsidR="00F5418A">
        <w:rPr>
          <w:rFonts w:ascii="Arial" w:hAnsi="Arial" w:cs="Arial"/>
          <w:sz w:val="24"/>
          <w:szCs w:val="24"/>
        </w:rPr>
        <w:t>7</w:t>
      </w:r>
      <w:r w:rsidRPr="0028226B">
        <w:rPr>
          <w:rFonts w:ascii="Arial" w:hAnsi="Arial" w:cs="Arial"/>
          <w:sz w:val="24"/>
          <w:szCs w:val="24"/>
        </w:rPr>
        <w:t xml:space="preserve">%). Wyniki te mogą sugerować mniejszą bezpośrednią widoczność tych obszarów w codziennym doświadczeniu obywateli, mimo że również one w istotnym stopniu </w:t>
      </w:r>
      <w:r w:rsidR="00215DEB">
        <w:rPr>
          <w:rFonts w:ascii="Arial" w:hAnsi="Arial" w:cs="Arial"/>
          <w:sz w:val="24"/>
          <w:szCs w:val="24"/>
        </w:rPr>
        <w:t xml:space="preserve">są wspierane przez Fundusze Europejskie. </w:t>
      </w:r>
    </w:p>
    <w:p w14:paraId="14FA2ABA" w14:textId="39D4B5F2" w:rsidR="00B53654" w:rsidRPr="0028226B" w:rsidRDefault="0CFA6D00" w:rsidP="00696C0B">
      <w:pPr>
        <w:spacing w:line="360" w:lineRule="auto"/>
        <w:rPr>
          <w:rFonts w:ascii="Arial" w:hAnsi="Arial" w:cs="Arial"/>
          <w:sz w:val="24"/>
          <w:szCs w:val="24"/>
        </w:rPr>
      </w:pPr>
      <w:r w:rsidRPr="0028226B">
        <w:rPr>
          <w:rFonts w:ascii="Arial" w:hAnsi="Arial" w:cs="Arial"/>
          <w:sz w:val="24"/>
          <w:szCs w:val="24"/>
        </w:rPr>
        <w:t xml:space="preserve">Stosunkowo niewielki odsetek badanych deklaruje trudności z oceną korzyści – tylko 2% wskazało odpowiedź „nie wiem, trudno powiedzieć”. Jednocześnie brak jest istotnej grupy osób przekonanych, że Polska nie uzyskała żadnych korzyści – odpowiedzi „nie widzę korzyści” praktycznie nie występowały. Sugeruje to, że bilans </w:t>
      </w:r>
      <w:r w:rsidRPr="0028226B">
        <w:rPr>
          <w:rFonts w:ascii="Arial" w:hAnsi="Arial" w:cs="Arial"/>
          <w:sz w:val="24"/>
          <w:szCs w:val="24"/>
        </w:rPr>
        <w:lastRenderedPageBreak/>
        <w:t>członkostwa Polski w Unii Europejskiej jest oceniany przez większość respondentów pozytywnie, a obywatele są w stanie wskazać konkretne obszary, które uznają za szczególnie korzystne.</w:t>
      </w:r>
    </w:p>
    <w:p w14:paraId="5C45D917" w14:textId="77777777" w:rsidR="00B53654" w:rsidRPr="0028226B" w:rsidRDefault="0CFA6D00" w:rsidP="00696C0B">
      <w:pPr>
        <w:spacing w:line="360" w:lineRule="auto"/>
        <w:rPr>
          <w:rFonts w:ascii="Arial" w:hAnsi="Arial" w:cs="Arial"/>
          <w:sz w:val="24"/>
          <w:szCs w:val="24"/>
        </w:rPr>
      </w:pPr>
      <w:r w:rsidRPr="0028226B">
        <w:rPr>
          <w:rFonts w:ascii="Arial" w:hAnsi="Arial" w:cs="Arial"/>
          <w:sz w:val="24"/>
          <w:szCs w:val="24"/>
        </w:rPr>
        <w:t>Podsumowując, percepcja korzyści wynikających z członkostwa Polski w UE jest szeroka i wielowymiarowa. Dominują wskazania dotyczące rozwoju gospodarczego, finansowania inwestycji, mobilności, bezpieczeństwa oraz infrastruktury, co odzwierciedla zarówno praktyczne doświadczenia obywateli, jak i ogólne postrzeganie kierunku rozwoju kraju w ostatnich dwóch dekadach. Niewielki odsetek odpowiedzi sceptycznych lub niezdecydowanych potwierdza, że korzyści płynące z obecności Polski w Unii Europejskiej są powszechnie dostrzegane i szeroko akceptowane.</w:t>
      </w:r>
    </w:p>
    <w:p w14:paraId="1F5F5096" w14:textId="34A118E2" w:rsidR="009874D4" w:rsidRPr="0028226B" w:rsidRDefault="6330946B" w:rsidP="00696C0B">
      <w:pPr>
        <w:spacing w:line="360" w:lineRule="auto"/>
        <w:rPr>
          <w:rFonts w:ascii="Arial" w:hAnsi="Arial" w:cs="Arial"/>
          <w:sz w:val="24"/>
          <w:szCs w:val="24"/>
        </w:rPr>
      </w:pPr>
      <w:r w:rsidRPr="0028226B">
        <w:rPr>
          <w:rFonts w:ascii="Arial" w:hAnsi="Arial" w:cs="Arial"/>
          <w:sz w:val="24"/>
          <w:szCs w:val="24"/>
        </w:rPr>
        <w:t>Wyniki w podziale na płeć są generalnie bardzo zbliżone, ale widać kilka drobnych różnic akcentów. Mężczyźni częściej niż kobiety wskazują wzrost prestiżu i znaczenia Polski (</w:t>
      </w:r>
      <w:r w:rsidR="00F5418A">
        <w:rPr>
          <w:rFonts w:ascii="Arial" w:hAnsi="Arial" w:cs="Arial"/>
          <w:sz w:val="24"/>
          <w:szCs w:val="24"/>
        </w:rPr>
        <w:t>30</w:t>
      </w:r>
      <w:r w:rsidRPr="0028226B">
        <w:rPr>
          <w:rFonts w:ascii="Arial" w:hAnsi="Arial" w:cs="Arial"/>
          <w:sz w:val="24"/>
          <w:szCs w:val="24"/>
        </w:rPr>
        <w:t>% wobec 24%) oraz nieco częściej dostrzegają korzyści w postaci dofinansowań i funduszy unijnych (44% wobec 41%). Kobiety natomiast minimalnie częściej zwracają uwagę na możliwość pracy za granicą i swobodnego przemieszczania się (41% wobec 38%).</w:t>
      </w:r>
    </w:p>
    <w:p w14:paraId="26A35725" w14:textId="0AEE9B04" w:rsidR="009874D4" w:rsidRPr="0028226B" w:rsidRDefault="6330946B" w:rsidP="00696C0B">
      <w:pPr>
        <w:spacing w:line="360" w:lineRule="auto"/>
        <w:rPr>
          <w:rFonts w:ascii="Arial" w:hAnsi="Arial" w:cs="Arial"/>
          <w:sz w:val="24"/>
          <w:szCs w:val="24"/>
        </w:rPr>
      </w:pPr>
      <w:r w:rsidRPr="0028226B">
        <w:rPr>
          <w:rFonts w:ascii="Arial" w:hAnsi="Arial" w:cs="Arial"/>
          <w:sz w:val="24"/>
          <w:szCs w:val="24"/>
        </w:rPr>
        <w:t>Wyraźniejsze różnice pojawiają się w podziale na wiek. Młodzi w wieku 15–19 lat szczególnie często wskazują dofinansowania i fundusze unijne (5</w:t>
      </w:r>
      <w:r w:rsidR="00F5418A">
        <w:rPr>
          <w:rFonts w:ascii="Arial" w:hAnsi="Arial" w:cs="Arial"/>
          <w:sz w:val="24"/>
          <w:szCs w:val="24"/>
        </w:rPr>
        <w:t>2</w:t>
      </w:r>
      <w:r w:rsidRPr="0028226B">
        <w:rPr>
          <w:rFonts w:ascii="Arial" w:hAnsi="Arial" w:cs="Arial"/>
          <w:sz w:val="24"/>
          <w:szCs w:val="24"/>
        </w:rPr>
        <w:t>%) oraz możliwość pracy i mobilności (4</w:t>
      </w:r>
      <w:r w:rsidR="00F5418A">
        <w:rPr>
          <w:rFonts w:ascii="Arial" w:hAnsi="Arial" w:cs="Arial"/>
          <w:sz w:val="24"/>
          <w:szCs w:val="24"/>
        </w:rPr>
        <w:t>5</w:t>
      </w:r>
      <w:r w:rsidRPr="0028226B">
        <w:rPr>
          <w:rFonts w:ascii="Arial" w:hAnsi="Arial" w:cs="Arial"/>
          <w:sz w:val="24"/>
          <w:szCs w:val="24"/>
        </w:rPr>
        <w:t>%), rzadziej natomiast niż starsze grupy widzą poprawę bezpieczeństwa. Z kolei osoby w wieku 45–64 lata relatywnie częściej akcentują poprawę bezpieczeństwa Polski (ponad 40% wskazań w kilku grupach wiekowych). Wśród osób w wieku 55–64 lata częściej niż gdzie indziej pojawia się również wskazanie rozwoju rolnictwa (3</w:t>
      </w:r>
      <w:r w:rsidR="00F5418A">
        <w:rPr>
          <w:rFonts w:ascii="Arial" w:hAnsi="Arial" w:cs="Arial"/>
          <w:sz w:val="24"/>
          <w:szCs w:val="24"/>
        </w:rPr>
        <w:t>1</w:t>
      </w:r>
      <w:r w:rsidRPr="0028226B">
        <w:rPr>
          <w:rFonts w:ascii="Arial" w:hAnsi="Arial" w:cs="Arial"/>
          <w:sz w:val="24"/>
          <w:szCs w:val="24"/>
        </w:rPr>
        <w:t>% przy 23% ogółem).</w:t>
      </w:r>
    </w:p>
    <w:p w14:paraId="6352F94F" w14:textId="121B9F50" w:rsidR="009874D4" w:rsidRPr="0028226B" w:rsidRDefault="6330946B" w:rsidP="00696C0B">
      <w:pPr>
        <w:spacing w:line="360" w:lineRule="auto"/>
        <w:rPr>
          <w:rFonts w:ascii="Arial" w:hAnsi="Arial" w:cs="Arial"/>
          <w:sz w:val="24"/>
          <w:szCs w:val="24"/>
        </w:rPr>
      </w:pPr>
      <w:r w:rsidRPr="0028226B">
        <w:rPr>
          <w:rFonts w:ascii="Arial" w:hAnsi="Arial" w:cs="Arial"/>
          <w:sz w:val="24"/>
          <w:szCs w:val="24"/>
        </w:rPr>
        <w:t>Poziom wykształcenia najsilniej różnicuje postrzeganie prestiżu i jakości życia. Wzrost prestiżu i znaczenia Polski częściej dostrzegają osoby z wykształceniem zawodowym (3</w:t>
      </w:r>
      <w:r w:rsidR="00F5418A">
        <w:rPr>
          <w:rFonts w:ascii="Arial" w:hAnsi="Arial" w:cs="Arial"/>
          <w:sz w:val="24"/>
          <w:szCs w:val="24"/>
        </w:rPr>
        <w:t>2</w:t>
      </w:r>
      <w:r w:rsidRPr="0028226B">
        <w:rPr>
          <w:rFonts w:ascii="Arial" w:hAnsi="Arial" w:cs="Arial"/>
          <w:sz w:val="24"/>
          <w:szCs w:val="24"/>
        </w:rPr>
        <w:t>%) niż wyższym (2</w:t>
      </w:r>
      <w:r w:rsidR="00F5418A">
        <w:rPr>
          <w:rFonts w:ascii="Arial" w:hAnsi="Arial" w:cs="Arial"/>
          <w:sz w:val="24"/>
          <w:szCs w:val="24"/>
        </w:rPr>
        <w:t>1</w:t>
      </w:r>
      <w:r w:rsidRPr="0028226B">
        <w:rPr>
          <w:rFonts w:ascii="Arial" w:hAnsi="Arial" w:cs="Arial"/>
          <w:sz w:val="24"/>
          <w:szCs w:val="24"/>
        </w:rPr>
        <w:t>%). Z kolei wzrost jakości życia Polaków relatywnie częściej wskazują osoby z niższym wykształceniem (35% wśród osób z wykształceniem podstawowym wobec 24% wśród osób z wyższym). Dofinansowania i fundusze unijne są ważną korzyścią we wszystkich grupach, przy nieco wyższym odsetku wskazań wśród osób z wykształceniem wyższym (47%).</w:t>
      </w:r>
    </w:p>
    <w:p w14:paraId="013347DC" w14:textId="28914A0F" w:rsidR="009874D4" w:rsidRPr="0028226B" w:rsidRDefault="6330946B" w:rsidP="00696C0B">
      <w:pPr>
        <w:spacing w:line="360" w:lineRule="auto"/>
        <w:rPr>
          <w:rFonts w:ascii="Arial" w:hAnsi="Arial" w:cs="Arial"/>
          <w:sz w:val="24"/>
          <w:szCs w:val="24"/>
        </w:rPr>
      </w:pPr>
      <w:r w:rsidRPr="0028226B">
        <w:rPr>
          <w:rFonts w:ascii="Arial" w:hAnsi="Arial" w:cs="Arial"/>
          <w:sz w:val="24"/>
          <w:szCs w:val="24"/>
        </w:rPr>
        <w:lastRenderedPageBreak/>
        <w:t>Różnice widoczne są również ze względu na wielkość miejscowości. W miastach 200–499 tys. mieszkańców szczególnie mocno wybrzmiewają dofinansowania i fundusze unijne (53%) oraz rozwój gospodarczy (5</w:t>
      </w:r>
      <w:r w:rsidR="00F5418A">
        <w:rPr>
          <w:rFonts w:ascii="Arial" w:hAnsi="Arial" w:cs="Arial"/>
          <w:sz w:val="24"/>
          <w:szCs w:val="24"/>
        </w:rPr>
        <w:t>5</w:t>
      </w:r>
      <w:r w:rsidRPr="0028226B">
        <w:rPr>
          <w:rFonts w:ascii="Arial" w:hAnsi="Arial" w:cs="Arial"/>
          <w:sz w:val="24"/>
          <w:szCs w:val="24"/>
        </w:rPr>
        <w:t>%), co może wiązać się z dużą skalą inwestycji w tego typu ośrodkach. Z kolei wzrost prestiżu i znaczenia Polski rzadziej dostrzegają mieszkańcy miast 20–49 tys. (1</w:t>
      </w:r>
      <w:r w:rsidR="00F5418A">
        <w:rPr>
          <w:rFonts w:ascii="Arial" w:hAnsi="Arial" w:cs="Arial"/>
          <w:sz w:val="24"/>
          <w:szCs w:val="24"/>
        </w:rPr>
        <w:t>4</w:t>
      </w:r>
      <w:r w:rsidRPr="0028226B">
        <w:rPr>
          <w:rFonts w:ascii="Arial" w:hAnsi="Arial" w:cs="Arial"/>
          <w:sz w:val="24"/>
          <w:szCs w:val="24"/>
        </w:rPr>
        <w:t xml:space="preserve">% wobec </w:t>
      </w:r>
      <w:r w:rsidR="00F5418A">
        <w:rPr>
          <w:rFonts w:ascii="Arial" w:hAnsi="Arial" w:cs="Arial"/>
          <w:sz w:val="24"/>
          <w:szCs w:val="24"/>
        </w:rPr>
        <w:t>27</w:t>
      </w:r>
      <w:r w:rsidRPr="0028226B">
        <w:rPr>
          <w:rFonts w:ascii="Arial" w:hAnsi="Arial" w:cs="Arial"/>
          <w:sz w:val="24"/>
          <w:szCs w:val="24"/>
        </w:rPr>
        <w:t xml:space="preserve">% ogółem), </w:t>
      </w:r>
      <w:r w:rsidR="7887A1C3" w:rsidRPr="0028226B">
        <w:rPr>
          <w:rFonts w:ascii="Arial" w:hAnsi="Arial" w:cs="Arial"/>
          <w:sz w:val="24"/>
          <w:szCs w:val="24"/>
        </w:rPr>
        <w:t>rzadziej też</w:t>
      </w:r>
      <w:r w:rsidRPr="0028226B">
        <w:rPr>
          <w:rFonts w:ascii="Arial" w:hAnsi="Arial" w:cs="Arial"/>
          <w:sz w:val="24"/>
          <w:szCs w:val="24"/>
        </w:rPr>
        <w:t xml:space="preserve"> pojawia się tam wskazanie bezpieczeństwa jako kluczowej korzyści</w:t>
      </w:r>
      <w:r w:rsidR="7887A1C3" w:rsidRPr="0028226B">
        <w:rPr>
          <w:rFonts w:ascii="Arial" w:hAnsi="Arial" w:cs="Arial"/>
          <w:sz w:val="24"/>
          <w:szCs w:val="24"/>
        </w:rPr>
        <w:t xml:space="preserve"> 32% wobec </w:t>
      </w:r>
      <w:r w:rsidR="00F5418A">
        <w:rPr>
          <w:rFonts w:ascii="Arial" w:hAnsi="Arial" w:cs="Arial"/>
          <w:sz w:val="24"/>
          <w:szCs w:val="24"/>
        </w:rPr>
        <w:t>4</w:t>
      </w:r>
      <w:r w:rsidR="00696C0B">
        <w:rPr>
          <w:rFonts w:ascii="Arial" w:hAnsi="Arial" w:cs="Arial"/>
          <w:sz w:val="24"/>
          <w:szCs w:val="24"/>
        </w:rPr>
        <w:t>0</w:t>
      </w:r>
      <w:r w:rsidR="7887A1C3" w:rsidRPr="0028226B">
        <w:rPr>
          <w:rFonts w:ascii="Arial" w:hAnsi="Arial" w:cs="Arial"/>
          <w:sz w:val="24"/>
          <w:szCs w:val="24"/>
        </w:rPr>
        <w:t>%</w:t>
      </w:r>
      <w:r w:rsidR="0959CD56" w:rsidRPr="0028226B">
        <w:rPr>
          <w:rFonts w:ascii="Arial" w:hAnsi="Arial" w:cs="Arial"/>
          <w:sz w:val="24"/>
          <w:szCs w:val="24"/>
        </w:rPr>
        <w:t xml:space="preserve"> ogółem</w:t>
      </w:r>
      <w:r w:rsidR="7887A1C3" w:rsidRPr="0028226B">
        <w:rPr>
          <w:rFonts w:ascii="Arial" w:hAnsi="Arial" w:cs="Arial"/>
          <w:sz w:val="24"/>
          <w:szCs w:val="24"/>
        </w:rPr>
        <w:t>)</w:t>
      </w:r>
      <w:r w:rsidRPr="0028226B">
        <w:rPr>
          <w:rFonts w:ascii="Arial" w:hAnsi="Arial" w:cs="Arial"/>
          <w:sz w:val="24"/>
          <w:szCs w:val="24"/>
        </w:rPr>
        <w:t>. Ogólnie mieszkańcy miast częściej niż mieszkańcy wsi łączą członkostwo w UE z rozwojem gospodarczym i inwestycjami, podczas gdy na obszarach wiejskich relatywnie ważniejszy jest rozwój rolnictwa.</w:t>
      </w:r>
    </w:p>
    <w:p w14:paraId="34EB94D5" w14:textId="1914F767" w:rsidR="00B53654" w:rsidRDefault="00B53654" w:rsidP="00AA4EBE">
      <w:pPr>
        <w:pStyle w:val="Legenda"/>
        <w:keepNext/>
        <w:spacing w:after="0"/>
        <w:rPr>
          <w:rFonts w:ascii="Arial" w:hAnsi="Arial" w:cs="Arial"/>
          <w:b/>
          <w:bCs/>
          <w:i w:val="0"/>
          <w:iCs w:val="0"/>
          <w:color w:val="000000" w:themeColor="text1"/>
          <w:sz w:val="24"/>
          <w:szCs w:val="24"/>
        </w:rPr>
      </w:pPr>
      <w:bookmarkStart w:id="11" w:name="_Toc219369230"/>
      <w:r w:rsidRPr="0028226B">
        <w:rPr>
          <w:rFonts w:ascii="Arial" w:hAnsi="Arial" w:cs="Arial"/>
          <w:b/>
          <w:bCs/>
          <w:i w:val="0"/>
          <w:iCs w:val="0"/>
          <w:color w:val="000000" w:themeColor="text1"/>
          <w:sz w:val="24"/>
          <w:szCs w:val="24"/>
        </w:rPr>
        <w:t xml:space="preserve">Wykres </w:t>
      </w:r>
      <w:r w:rsidRPr="0028226B">
        <w:rPr>
          <w:rFonts w:ascii="Arial" w:hAnsi="Arial" w:cs="Arial"/>
          <w:b/>
          <w:bCs/>
          <w:i w:val="0"/>
          <w:iCs w:val="0"/>
          <w:color w:val="000000" w:themeColor="text1"/>
          <w:sz w:val="24"/>
          <w:szCs w:val="24"/>
        </w:rPr>
        <w:fldChar w:fldCharType="begin"/>
      </w:r>
      <w:r w:rsidRPr="0028226B">
        <w:rPr>
          <w:rFonts w:ascii="Arial" w:hAnsi="Arial" w:cs="Arial"/>
          <w:b/>
          <w:bCs/>
          <w:i w:val="0"/>
          <w:iCs w:val="0"/>
          <w:color w:val="000000" w:themeColor="text1"/>
          <w:sz w:val="24"/>
          <w:szCs w:val="24"/>
        </w:rPr>
        <w:instrText xml:space="preserve"> SEQ Wykres \* ARABIC </w:instrText>
      </w:r>
      <w:r w:rsidRPr="0028226B">
        <w:rPr>
          <w:rFonts w:ascii="Arial" w:hAnsi="Arial" w:cs="Arial"/>
          <w:b/>
          <w:bCs/>
          <w:i w:val="0"/>
          <w:iCs w:val="0"/>
          <w:color w:val="000000" w:themeColor="text1"/>
          <w:sz w:val="24"/>
          <w:szCs w:val="24"/>
        </w:rPr>
        <w:fldChar w:fldCharType="separate"/>
      </w:r>
      <w:r w:rsidR="0055789E">
        <w:rPr>
          <w:rFonts w:ascii="Arial" w:hAnsi="Arial" w:cs="Arial"/>
          <w:b/>
          <w:bCs/>
          <w:i w:val="0"/>
          <w:iCs w:val="0"/>
          <w:noProof/>
          <w:color w:val="000000" w:themeColor="text1"/>
          <w:sz w:val="24"/>
          <w:szCs w:val="24"/>
        </w:rPr>
        <w:t>4</w:t>
      </w:r>
      <w:r w:rsidRPr="0028226B">
        <w:rPr>
          <w:rFonts w:ascii="Arial" w:hAnsi="Arial" w:cs="Arial"/>
          <w:b/>
          <w:bCs/>
          <w:i w:val="0"/>
          <w:iCs w:val="0"/>
          <w:color w:val="000000" w:themeColor="text1"/>
          <w:sz w:val="24"/>
          <w:szCs w:val="24"/>
        </w:rPr>
        <w:fldChar w:fldCharType="end"/>
      </w:r>
      <w:r w:rsidRPr="0028226B">
        <w:rPr>
          <w:rFonts w:ascii="Arial" w:hAnsi="Arial" w:cs="Arial"/>
          <w:b/>
          <w:bCs/>
          <w:i w:val="0"/>
          <w:iCs w:val="0"/>
          <w:color w:val="000000" w:themeColor="text1"/>
          <w:sz w:val="24"/>
          <w:szCs w:val="24"/>
        </w:rPr>
        <w:t xml:space="preserve">. </w:t>
      </w:r>
      <w:r w:rsidR="000C705B" w:rsidRPr="0028226B">
        <w:rPr>
          <w:rFonts w:ascii="Arial" w:hAnsi="Arial" w:cs="Arial"/>
          <w:b/>
          <w:bCs/>
          <w:i w:val="0"/>
          <w:iCs w:val="0"/>
          <w:color w:val="000000" w:themeColor="text1"/>
          <w:sz w:val="24"/>
          <w:szCs w:val="24"/>
        </w:rPr>
        <w:t xml:space="preserve">P2. Jakie są najważniejsze korzyści, jakie uzyskała Polska ze wstąpienia do Unii Europejskiej? </w:t>
      </w:r>
      <w:r w:rsidRPr="0028226B">
        <w:rPr>
          <w:rFonts w:ascii="Arial" w:hAnsi="Arial" w:cs="Arial"/>
          <w:b/>
          <w:bCs/>
          <w:i w:val="0"/>
          <w:iCs w:val="0"/>
          <w:color w:val="000000" w:themeColor="text1"/>
          <w:sz w:val="24"/>
          <w:szCs w:val="24"/>
        </w:rPr>
        <w:t>(N=881)</w:t>
      </w:r>
      <w:bookmarkEnd w:id="11"/>
    </w:p>
    <w:p w14:paraId="769AAA06" w14:textId="416A5B44" w:rsidR="00E354F2" w:rsidRPr="00E05FAD" w:rsidRDefault="00E05FAD" w:rsidP="00AA4EBE">
      <w:pPr>
        <w:spacing w:after="0"/>
      </w:pPr>
      <w:r>
        <w:rPr>
          <w:noProof/>
        </w:rPr>
        <w:drawing>
          <wp:inline distT="0" distB="0" distL="0" distR="0" wp14:anchorId="5E61BA6A" wp14:editId="21F3F808">
            <wp:extent cx="5688330" cy="3718560"/>
            <wp:effectExtent l="0" t="0" r="0" b="0"/>
            <wp:docPr id="1829136198" name="Wykres 1" descr="Wykres przedstawia odpowiedzi na pytanie „Jakie są najważniejsze korzyści, jakie uzyskała Polska ze wstąpienia do Unii Europejskiej?” (N=881). Wskazania podano w procentach.&#10;&#10;Najczęściej wymieniane korzyści to: rozwój gospodarczy – 45,3%; dofinansowanie, dotacje i fundusze unijne – 42,8%; możliwość pracy za granicą i łatwego przemieszczania się – 39,7%; poprawa bezpieczeństwa Polski – 38,3%; poprawa i rozbudowa infrastruktury – 33,9%.&#10;&#10;Kolejne wskazania: wzrost jakości życia Polaków – 29,9%; wzrost prestiżu i znaczenia Polski – 26,9%; korzyści zawodowe – 24,8%; rozwój rolnictwa – 23,3%; rozwój edukacji i nauki – 16,5%. Odpowiedź „nie wiem / trudno powiedzieć” wskazało 2,3% badanych."/>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3AB146B6" w14:textId="1B582163" w:rsidR="00B53654" w:rsidRPr="0028226B" w:rsidRDefault="0CFA6D00" w:rsidP="00B53654">
      <w:pPr>
        <w:rPr>
          <w:rFonts w:ascii="Arial" w:hAnsi="Arial" w:cs="Arial"/>
          <w:sz w:val="24"/>
          <w:szCs w:val="24"/>
        </w:rPr>
      </w:pPr>
      <w:r w:rsidRPr="0028226B">
        <w:rPr>
          <w:rFonts w:ascii="Arial" w:hAnsi="Arial" w:cs="Arial"/>
          <w:sz w:val="24"/>
          <w:szCs w:val="24"/>
        </w:rPr>
        <w:t>Źródło: Opracowano na podstawie badania CAPI</w:t>
      </w:r>
      <w:r w:rsidR="00CE7EB4">
        <w:rPr>
          <w:rFonts w:ascii="Arial" w:hAnsi="Arial" w:cs="Arial"/>
          <w:sz w:val="24"/>
          <w:szCs w:val="24"/>
        </w:rPr>
        <w:t>; odpowiadający:</w:t>
      </w:r>
      <w:r w:rsidR="003E4169">
        <w:rPr>
          <w:rFonts w:ascii="Arial" w:hAnsi="Arial" w:cs="Arial"/>
          <w:sz w:val="24"/>
          <w:szCs w:val="24"/>
        </w:rPr>
        <w:t xml:space="preserve"> dostrzegający korzyści</w:t>
      </w:r>
      <w:r w:rsidR="00CE7EB4">
        <w:rPr>
          <w:rFonts w:ascii="Arial" w:hAnsi="Arial" w:cs="Arial"/>
          <w:sz w:val="24"/>
          <w:szCs w:val="24"/>
        </w:rPr>
        <w:t xml:space="preserve"> </w:t>
      </w:r>
    </w:p>
    <w:p w14:paraId="476E470F" w14:textId="7865C684" w:rsidR="001F7ED5" w:rsidRPr="0028226B" w:rsidRDefault="5588529D" w:rsidP="00696C0B">
      <w:pPr>
        <w:spacing w:line="360" w:lineRule="auto"/>
        <w:rPr>
          <w:rFonts w:ascii="Arial" w:hAnsi="Arial" w:cs="Arial"/>
          <w:sz w:val="24"/>
          <w:szCs w:val="24"/>
        </w:rPr>
      </w:pPr>
      <w:r w:rsidRPr="0028226B">
        <w:rPr>
          <w:rFonts w:ascii="Arial" w:hAnsi="Arial" w:cs="Arial"/>
          <w:sz w:val="24"/>
          <w:szCs w:val="24"/>
        </w:rPr>
        <w:t>Najczęściej wskazywaną stratą związaną z członkostwem Polski w Unii Europejskiej jest wzrost cen produktów i kosztów życia, który wskazało 4</w:t>
      </w:r>
      <w:r w:rsidR="00F5418A">
        <w:rPr>
          <w:rFonts w:ascii="Arial" w:hAnsi="Arial" w:cs="Arial"/>
          <w:sz w:val="24"/>
          <w:szCs w:val="24"/>
        </w:rPr>
        <w:t>1</w:t>
      </w:r>
      <w:r w:rsidR="7A7D23A2" w:rsidRPr="0028226B">
        <w:rPr>
          <w:rFonts w:ascii="Arial" w:hAnsi="Arial" w:cs="Arial"/>
          <w:sz w:val="24"/>
          <w:szCs w:val="24"/>
        </w:rPr>
        <w:t>%</w:t>
      </w:r>
      <w:r w:rsidRPr="0028226B">
        <w:rPr>
          <w:rFonts w:ascii="Arial" w:hAnsi="Arial" w:cs="Arial"/>
          <w:sz w:val="24"/>
          <w:szCs w:val="24"/>
        </w:rPr>
        <w:t xml:space="preserve"> osób dostrzegających jakiekolwiek negatywne skutki. Na drugim miejscu znalazła się konieczność przyjęcia uchodźców – </w:t>
      </w:r>
      <w:r w:rsidR="00F5418A">
        <w:rPr>
          <w:rFonts w:ascii="Arial" w:hAnsi="Arial" w:cs="Arial"/>
          <w:sz w:val="24"/>
          <w:szCs w:val="24"/>
        </w:rPr>
        <w:t>40</w:t>
      </w:r>
      <w:r w:rsidR="7A7D23A2" w:rsidRPr="0028226B">
        <w:rPr>
          <w:rFonts w:ascii="Arial" w:hAnsi="Arial" w:cs="Arial"/>
          <w:sz w:val="24"/>
          <w:szCs w:val="24"/>
        </w:rPr>
        <w:t>%</w:t>
      </w:r>
      <w:r w:rsidRPr="0028226B">
        <w:rPr>
          <w:rFonts w:ascii="Arial" w:hAnsi="Arial" w:cs="Arial"/>
          <w:sz w:val="24"/>
          <w:szCs w:val="24"/>
        </w:rPr>
        <w:t xml:space="preserve"> wskazań. Obie kategorie dotyczą kwestii, które były szeroko obecne w debacie publicznej, co może tłumaczyć ich wysoką rozpoznawalność.</w:t>
      </w:r>
    </w:p>
    <w:p w14:paraId="6CA8DE37" w14:textId="6DD1308B" w:rsidR="001F7ED5" w:rsidRPr="0028226B" w:rsidRDefault="5588529D" w:rsidP="00696C0B">
      <w:pPr>
        <w:spacing w:line="360" w:lineRule="auto"/>
        <w:rPr>
          <w:rFonts w:ascii="Arial" w:hAnsi="Arial" w:cs="Arial"/>
          <w:sz w:val="24"/>
          <w:szCs w:val="24"/>
        </w:rPr>
      </w:pPr>
      <w:r w:rsidRPr="0028226B">
        <w:rPr>
          <w:rFonts w:ascii="Arial" w:hAnsi="Arial" w:cs="Arial"/>
          <w:sz w:val="24"/>
          <w:szCs w:val="24"/>
        </w:rPr>
        <w:lastRenderedPageBreak/>
        <w:t>Kolejna grupa odpowiedzi dotyczy obaw związanych z regulacjami i funkcjonowaniem gospodarki. Konieczność dopasowania prawa polskiego do unijnego wskazało 27</w:t>
      </w:r>
      <w:r w:rsidR="7A7D23A2" w:rsidRPr="0028226B">
        <w:rPr>
          <w:rFonts w:ascii="Arial" w:hAnsi="Arial" w:cs="Arial"/>
          <w:sz w:val="24"/>
          <w:szCs w:val="24"/>
        </w:rPr>
        <w:t>%</w:t>
      </w:r>
      <w:r w:rsidRPr="0028226B">
        <w:rPr>
          <w:rFonts w:ascii="Arial" w:hAnsi="Arial" w:cs="Arial"/>
          <w:sz w:val="24"/>
          <w:szCs w:val="24"/>
        </w:rPr>
        <w:t xml:space="preserve"> respondentów, natomiast likwidację lub wyprzedaż przedsiębiorstw – 2</w:t>
      </w:r>
      <w:r w:rsidR="00F5418A">
        <w:rPr>
          <w:rFonts w:ascii="Arial" w:hAnsi="Arial" w:cs="Arial"/>
          <w:sz w:val="24"/>
          <w:szCs w:val="24"/>
        </w:rPr>
        <w:t>2</w:t>
      </w:r>
      <w:r w:rsidR="7A7D23A2" w:rsidRPr="0028226B">
        <w:rPr>
          <w:rFonts w:ascii="Arial" w:hAnsi="Arial" w:cs="Arial"/>
          <w:sz w:val="24"/>
          <w:szCs w:val="24"/>
        </w:rPr>
        <w:t>%</w:t>
      </w:r>
      <w:r w:rsidRPr="0028226B">
        <w:rPr>
          <w:rFonts w:ascii="Arial" w:hAnsi="Arial" w:cs="Arial"/>
          <w:sz w:val="24"/>
          <w:szCs w:val="24"/>
        </w:rPr>
        <w:t>. W podobnym odsetku pojawia się również ocena, że jedną ze strat jest emigracja zarobkowa Polaków – 20</w:t>
      </w:r>
      <w:r w:rsidR="7A7D23A2" w:rsidRPr="0028226B">
        <w:rPr>
          <w:rFonts w:ascii="Arial" w:hAnsi="Arial" w:cs="Arial"/>
          <w:sz w:val="24"/>
          <w:szCs w:val="24"/>
        </w:rPr>
        <w:t>%</w:t>
      </w:r>
      <w:r w:rsidRPr="0028226B">
        <w:rPr>
          <w:rFonts w:ascii="Arial" w:hAnsi="Arial" w:cs="Arial"/>
          <w:sz w:val="24"/>
          <w:szCs w:val="24"/>
        </w:rPr>
        <w:t>.</w:t>
      </w:r>
    </w:p>
    <w:p w14:paraId="2561E708" w14:textId="78CC85F2" w:rsidR="001F7ED5" w:rsidRPr="0028226B" w:rsidRDefault="5588529D" w:rsidP="00696C0B">
      <w:pPr>
        <w:spacing w:line="360" w:lineRule="auto"/>
        <w:rPr>
          <w:rFonts w:ascii="Arial" w:hAnsi="Arial" w:cs="Arial"/>
          <w:sz w:val="24"/>
          <w:szCs w:val="24"/>
        </w:rPr>
      </w:pPr>
      <w:r w:rsidRPr="0028226B">
        <w:rPr>
          <w:rFonts w:ascii="Arial" w:hAnsi="Arial" w:cs="Arial"/>
          <w:sz w:val="24"/>
          <w:szCs w:val="24"/>
        </w:rPr>
        <w:t>Relatywnie rzadziej respondenci wskazywali kwestie związane z polityczną i finansową stroną integracji. Utrata suwerenności pojawia się u 14</w:t>
      </w:r>
      <w:r w:rsidR="7A7D23A2" w:rsidRPr="0028226B">
        <w:rPr>
          <w:rFonts w:ascii="Arial" w:hAnsi="Arial" w:cs="Arial"/>
          <w:sz w:val="24"/>
          <w:szCs w:val="24"/>
        </w:rPr>
        <w:t>%</w:t>
      </w:r>
      <w:r w:rsidRPr="0028226B">
        <w:rPr>
          <w:rFonts w:ascii="Arial" w:hAnsi="Arial" w:cs="Arial"/>
          <w:sz w:val="24"/>
          <w:szCs w:val="24"/>
        </w:rPr>
        <w:t xml:space="preserve"> badanych, a obawy dotyczące konieczności przyjęcia waluty euro – u 16</w:t>
      </w:r>
      <w:r w:rsidR="7A7D23A2" w:rsidRPr="0028226B">
        <w:rPr>
          <w:rFonts w:ascii="Arial" w:hAnsi="Arial" w:cs="Arial"/>
          <w:sz w:val="24"/>
          <w:szCs w:val="24"/>
        </w:rPr>
        <w:t>%</w:t>
      </w:r>
      <w:r w:rsidRPr="0028226B">
        <w:rPr>
          <w:rFonts w:ascii="Arial" w:hAnsi="Arial" w:cs="Arial"/>
          <w:sz w:val="24"/>
          <w:szCs w:val="24"/>
        </w:rPr>
        <w:t>. Jeszcze niższy odsetek dotyczy przekonania o konieczności spłaty otrzymanych środków – 12</w:t>
      </w:r>
      <w:r w:rsidR="7A7D23A2" w:rsidRPr="0028226B">
        <w:rPr>
          <w:rFonts w:ascii="Arial" w:hAnsi="Arial" w:cs="Arial"/>
          <w:sz w:val="24"/>
          <w:szCs w:val="24"/>
        </w:rPr>
        <w:t>%</w:t>
      </w:r>
      <w:r w:rsidRPr="0028226B">
        <w:rPr>
          <w:rFonts w:ascii="Arial" w:hAnsi="Arial" w:cs="Arial"/>
          <w:sz w:val="24"/>
          <w:szCs w:val="24"/>
        </w:rPr>
        <w:t xml:space="preserve"> wskazań.</w:t>
      </w:r>
    </w:p>
    <w:p w14:paraId="37E8EBE8" w14:textId="5C368444" w:rsidR="001F7ED5" w:rsidRPr="0028226B" w:rsidRDefault="5588529D" w:rsidP="00696C0B">
      <w:pPr>
        <w:spacing w:line="360" w:lineRule="auto"/>
        <w:rPr>
          <w:rFonts w:ascii="Arial" w:hAnsi="Arial" w:cs="Arial"/>
          <w:sz w:val="24"/>
          <w:szCs w:val="24"/>
        </w:rPr>
      </w:pPr>
      <w:r w:rsidRPr="0028226B">
        <w:rPr>
          <w:rFonts w:ascii="Arial" w:hAnsi="Arial" w:cs="Arial"/>
          <w:sz w:val="24"/>
          <w:szCs w:val="24"/>
        </w:rPr>
        <w:t>Odpowiedzi wskazujące inne straty pojawiają się marginalnie (2</w:t>
      </w:r>
      <w:r w:rsidR="7A7D23A2" w:rsidRPr="0028226B">
        <w:rPr>
          <w:rFonts w:ascii="Arial" w:hAnsi="Arial" w:cs="Arial"/>
          <w:sz w:val="24"/>
          <w:szCs w:val="24"/>
        </w:rPr>
        <w:t>%</w:t>
      </w:r>
      <w:r w:rsidRPr="0028226B">
        <w:rPr>
          <w:rFonts w:ascii="Arial" w:hAnsi="Arial" w:cs="Arial"/>
          <w:sz w:val="24"/>
          <w:szCs w:val="24"/>
        </w:rPr>
        <w:t>), podobnie jak deklaracje braku wiedzy lub trudności w ocenie (</w:t>
      </w:r>
      <w:r w:rsidR="00F5418A">
        <w:rPr>
          <w:rFonts w:ascii="Arial" w:hAnsi="Arial" w:cs="Arial"/>
          <w:sz w:val="24"/>
          <w:szCs w:val="24"/>
        </w:rPr>
        <w:t>1</w:t>
      </w:r>
      <w:r w:rsidR="7A7D23A2" w:rsidRPr="0028226B">
        <w:rPr>
          <w:rFonts w:ascii="Arial" w:hAnsi="Arial" w:cs="Arial"/>
          <w:sz w:val="24"/>
          <w:szCs w:val="24"/>
        </w:rPr>
        <w:t>%</w:t>
      </w:r>
      <w:r w:rsidRPr="0028226B">
        <w:rPr>
          <w:rFonts w:ascii="Arial" w:hAnsi="Arial" w:cs="Arial"/>
          <w:sz w:val="24"/>
          <w:szCs w:val="24"/>
        </w:rPr>
        <w:t>). Wśród osób, które odpowiedziały na to pytanie, praktycznie nie pojawia się przekonanie, że Polska nie poniosła żadnych strat – odpowiedź ta nie wystąpiła w zauważalnej skali.</w:t>
      </w:r>
    </w:p>
    <w:p w14:paraId="4A1CEE2C" w14:textId="00863EA0" w:rsidR="001F7ED5" w:rsidRPr="0028226B" w:rsidRDefault="5588529D" w:rsidP="00696C0B">
      <w:pPr>
        <w:spacing w:line="360" w:lineRule="auto"/>
        <w:rPr>
          <w:rFonts w:ascii="Arial" w:hAnsi="Arial" w:cs="Arial"/>
          <w:sz w:val="24"/>
          <w:szCs w:val="24"/>
        </w:rPr>
      </w:pPr>
      <w:r w:rsidRPr="0028226B">
        <w:rPr>
          <w:rFonts w:ascii="Arial" w:hAnsi="Arial" w:cs="Arial"/>
          <w:sz w:val="24"/>
          <w:szCs w:val="24"/>
        </w:rPr>
        <w:t>W podziale na płeć różnice są niewielkie, jednak widoczna jest pewna zmienność w kilku kategoriach. Kobiety częściej niż mężczyźni wskazują wzrost cen jako stratę (4</w:t>
      </w:r>
      <w:r w:rsidR="00F5418A">
        <w:rPr>
          <w:rFonts w:ascii="Arial" w:hAnsi="Arial" w:cs="Arial"/>
          <w:sz w:val="24"/>
          <w:szCs w:val="24"/>
        </w:rPr>
        <w:t>3</w:t>
      </w:r>
      <w:r w:rsidR="7A7D23A2" w:rsidRPr="0028226B">
        <w:rPr>
          <w:rFonts w:ascii="Arial" w:hAnsi="Arial" w:cs="Arial"/>
          <w:sz w:val="24"/>
          <w:szCs w:val="24"/>
        </w:rPr>
        <w:t>%</w:t>
      </w:r>
      <w:r w:rsidRPr="0028226B">
        <w:rPr>
          <w:rFonts w:ascii="Arial" w:hAnsi="Arial" w:cs="Arial"/>
          <w:sz w:val="24"/>
          <w:szCs w:val="24"/>
        </w:rPr>
        <w:t xml:space="preserve"> wobec 3</w:t>
      </w:r>
      <w:r w:rsidR="00F5418A">
        <w:rPr>
          <w:rFonts w:ascii="Arial" w:hAnsi="Arial" w:cs="Arial"/>
          <w:sz w:val="24"/>
          <w:szCs w:val="24"/>
        </w:rPr>
        <w:t>9</w:t>
      </w:r>
      <w:r w:rsidR="7A7D23A2" w:rsidRPr="0028226B">
        <w:rPr>
          <w:rFonts w:ascii="Arial" w:hAnsi="Arial" w:cs="Arial"/>
          <w:sz w:val="24"/>
          <w:szCs w:val="24"/>
        </w:rPr>
        <w:t>%</w:t>
      </w:r>
      <w:r w:rsidRPr="0028226B">
        <w:rPr>
          <w:rFonts w:ascii="Arial" w:hAnsi="Arial" w:cs="Arial"/>
          <w:sz w:val="24"/>
          <w:szCs w:val="24"/>
        </w:rPr>
        <w:t>). Mężczyźni natomiast częściej wybierają konieczność dopasowania prawa polskiego do unijnego (29</w:t>
      </w:r>
      <w:r w:rsidR="7A7D23A2" w:rsidRPr="0028226B">
        <w:rPr>
          <w:rFonts w:ascii="Arial" w:hAnsi="Arial" w:cs="Arial"/>
          <w:sz w:val="24"/>
          <w:szCs w:val="24"/>
        </w:rPr>
        <w:t>%</w:t>
      </w:r>
      <w:r w:rsidRPr="0028226B">
        <w:rPr>
          <w:rFonts w:ascii="Arial" w:hAnsi="Arial" w:cs="Arial"/>
          <w:sz w:val="24"/>
          <w:szCs w:val="24"/>
        </w:rPr>
        <w:t xml:space="preserve"> wobec 2</w:t>
      </w:r>
      <w:r w:rsidR="00F5418A">
        <w:rPr>
          <w:rFonts w:ascii="Arial" w:hAnsi="Arial" w:cs="Arial"/>
          <w:sz w:val="24"/>
          <w:szCs w:val="24"/>
        </w:rPr>
        <w:t>5</w:t>
      </w:r>
      <w:r w:rsidR="7A7D23A2" w:rsidRPr="0028226B">
        <w:rPr>
          <w:rFonts w:ascii="Arial" w:hAnsi="Arial" w:cs="Arial"/>
          <w:sz w:val="24"/>
          <w:szCs w:val="24"/>
        </w:rPr>
        <w:t>%</w:t>
      </w:r>
      <w:r w:rsidRPr="0028226B">
        <w:rPr>
          <w:rFonts w:ascii="Arial" w:hAnsi="Arial" w:cs="Arial"/>
          <w:sz w:val="24"/>
          <w:szCs w:val="24"/>
        </w:rPr>
        <w:t xml:space="preserve"> u kobiet). W pozostałych obszarach odsetki wskazań dla obu płci są bardzo zbliżone i zazwyczaj różnią się o 1–3 punkty procentowe.</w:t>
      </w:r>
    </w:p>
    <w:p w14:paraId="52E9E6C6" w14:textId="73579536" w:rsidR="001F7ED5" w:rsidRPr="0028226B" w:rsidRDefault="77982A7E" w:rsidP="00696C0B">
      <w:pPr>
        <w:spacing w:line="360" w:lineRule="auto"/>
        <w:rPr>
          <w:rFonts w:ascii="Arial" w:hAnsi="Arial" w:cs="Arial"/>
          <w:sz w:val="24"/>
          <w:szCs w:val="24"/>
        </w:rPr>
      </w:pPr>
      <w:r w:rsidRPr="0028226B">
        <w:rPr>
          <w:rFonts w:ascii="Arial" w:hAnsi="Arial" w:cs="Arial"/>
          <w:sz w:val="24"/>
          <w:szCs w:val="24"/>
        </w:rPr>
        <w:t>Analizując wiek respondentów</w:t>
      </w:r>
      <w:r w:rsidR="5588529D" w:rsidRPr="0028226B">
        <w:rPr>
          <w:rFonts w:ascii="Arial" w:hAnsi="Arial" w:cs="Arial"/>
          <w:sz w:val="24"/>
          <w:szCs w:val="24"/>
        </w:rPr>
        <w:t xml:space="preserve"> różnice są bardziej widoczne. Najmłodsi respondenci (15–19 lat) rzadziej niż inne grupy wybierają wskazania dotyczące utraty suwerenności (</w:t>
      </w:r>
      <w:r w:rsidR="00F5418A">
        <w:rPr>
          <w:rFonts w:ascii="Arial" w:hAnsi="Arial" w:cs="Arial"/>
          <w:sz w:val="24"/>
          <w:szCs w:val="24"/>
        </w:rPr>
        <w:t>10</w:t>
      </w:r>
      <w:r w:rsidR="7A7D23A2" w:rsidRPr="0028226B">
        <w:rPr>
          <w:rFonts w:ascii="Arial" w:hAnsi="Arial" w:cs="Arial"/>
          <w:sz w:val="24"/>
          <w:szCs w:val="24"/>
        </w:rPr>
        <w:t>%</w:t>
      </w:r>
      <w:r w:rsidR="5588529D" w:rsidRPr="0028226B">
        <w:rPr>
          <w:rFonts w:ascii="Arial" w:hAnsi="Arial" w:cs="Arial"/>
          <w:sz w:val="24"/>
          <w:szCs w:val="24"/>
        </w:rPr>
        <w:t>), emigracji zarobkowej (14</w:t>
      </w:r>
      <w:r w:rsidR="7A7D23A2" w:rsidRPr="0028226B">
        <w:rPr>
          <w:rFonts w:ascii="Arial" w:hAnsi="Arial" w:cs="Arial"/>
          <w:sz w:val="24"/>
          <w:szCs w:val="24"/>
        </w:rPr>
        <w:t>%</w:t>
      </w:r>
      <w:r w:rsidR="5588529D" w:rsidRPr="0028226B">
        <w:rPr>
          <w:rFonts w:ascii="Arial" w:hAnsi="Arial" w:cs="Arial"/>
          <w:sz w:val="24"/>
          <w:szCs w:val="24"/>
        </w:rPr>
        <w:t>) czy likwidacji przedsiębiorstw (2</w:t>
      </w:r>
      <w:r w:rsidR="00F5418A">
        <w:rPr>
          <w:rFonts w:ascii="Arial" w:hAnsi="Arial" w:cs="Arial"/>
          <w:sz w:val="24"/>
          <w:szCs w:val="24"/>
        </w:rPr>
        <w:t>4</w:t>
      </w:r>
      <w:r w:rsidR="7A7D23A2" w:rsidRPr="0028226B">
        <w:rPr>
          <w:rFonts w:ascii="Arial" w:hAnsi="Arial" w:cs="Arial"/>
          <w:sz w:val="24"/>
          <w:szCs w:val="24"/>
        </w:rPr>
        <w:t>%</w:t>
      </w:r>
      <w:r w:rsidR="5588529D" w:rsidRPr="0028226B">
        <w:rPr>
          <w:rFonts w:ascii="Arial" w:hAnsi="Arial" w:cs="Arial"/>
          <w:sz w:val="24"/>
          <w:szCs w:val="24"/>
        </w:rPr>
        <w:t>). Z kolei w wieku 45–54 lata pojawiają się najwyższe odsetki wyboru przy takich kategoriach jak utrata suwerenności (3</w:t>
      </w:r>
      <w:r w:rsidR="00F5418A">
        <w:rPr>
          <w:rFonts w:ascii="Arial" w:hAnsi="Arial" w:cs="Arial"/>
          <w:sz w:val="24"/>
          <w:szCs w:val="24"/>
        </w:rPr>
        <w:t>6</w:t>
      </w:r>
      <w:r w:rsidR="7A7D23A2" w:rsidRPr="0028226B">
        <w:rPr>
          <w:rFonts w:ascii="Arial" w:hAnsi="Arial" w:cs="Arial"/>
          <w:sz w:val="24"/>
          <w:szCs w:val="24"/>
        </w:rPr>
        <w:t>%</w:t>
      </w:r>
      <w:r w:rsidR="5588529D" w:rsidRPr="0028226B">
        <w:rPr>
          <w:rFonts w:ascii="Arial" w:hAnsi="Arial" w:cs="Arial"/>
          <w:sz w:val="24"/>
          <w:szCs w:val="24"/>
        </w:rPr>
        <w:t>), emigracja zarobkowa (2</w:t>
      </w:r>
      <w:r w:rsidR="00F5418A">
        <w:rPr>
          <w:rFonts w:ascii="Arial" w:hAnsi="Arial" w:cs="Arial"/>
          <w:sz w:val="24"/>
          <w:szCs w:val="24"/>
        </w:rPr>
        <w:t>9</w:t>
      </w:r>
      <w:r w:rsidR="7A7D23A2" w:rsidRPr="0028226B">
        <w:rPr>
          <w:rFonts w:ascii="Arial" w:hAnsi="Arial" w:cs="Arial"/>
          <w:sz w:val="24"/>
          <w:szCs w:val="24"/>
        </w:rPr>
        <w:t>%</w:t>
      </w:r>
      <w:r w:rsidR="5588529D" w:rsidRPr="0028226B">
        <w:rPr>
          <w:rFonts w:ascii="Arial" w:hAnsi="Arial" w:cs="Arial"/>
          <w:sz w:val="24"/>
          <w:szCs w:val="24"/>
        </w:rPr>
        <w:t>) czy likwidacja przedsiębiorstw (2</w:t>
      </w:r>
      <w:r w:rsidR="00696C0B">
        <w:rPr>
          <w:rFonts w:ascii="Arial" w:hAnsi="Arial" w:cs="Arial"/>
          <w:sz w:val="24"/>
          <w:szCs w:val="24"/>
        </w:rPr>
        <w:t>9</w:t>
      </w:r>
      <w:r w:rsidR="7A7D23A2" w:rsidRPr="0028226B">
        <w:rPr>
          <w:rFonts w:ascii="Arial" w:hAnsi="Arial" w:cs="Arial"/>
          <w:sz w:val="24"/>
          <w:szCs w:val="24"/>
        </w:rPr>
        <w:t>%</w:t>
      </w:r>
      <w:r w:rsidR="5588529D" w:rsidRPr="0028226B">
        <w:rPr>
          <w:rFonts w:ascii="Arial" w:hAnsi="Arial" w:cs="Arial"/>
          <w:sz w:val="24"/>
          <w:szCs w:val="24"/>
        </w:rPr>
        <w:t xml:space="preserve">). </w:t>
      </w:r>
    </w:p>
    <w:p w14:paraId="72471D22" w14:textId="26CC2709" w:rsidR="001F7ED5" w:rsidRPr="0028226B" w:rsidRDefault="5588529D" w:rsidP="00696C0B">
      <w:pPr>
        <w:spacing w:line="360" w:lineRule="auto"/>
        <w:rPr>
          <w:rFonts w:ascii="Arial" w:hAnsi="Arial" w:cs="Arial"/>
          <w:sz w:val="24"/>
          <w:szCs w:val="24"/>
        </w:rPr>
      </w:pPr>
      <w:r w:rsidRPr="0028226B">
        <w:rPr>
          <w:rFonts w:ascii="Arial" w:hAnsi="Arial" w:cs="Arial"/>
          <w:sz w:val="24"/>
          <w:szCs w:val="24"/>
        </w:rPr>
        <w:t>Różnice</w:t>
      </w:r>
      <w:r w:rsidR="5261B68F" w:rsidRPr="0028226B">
        <w:rPr>
          <w:rFonts w:ascii="Arial" w:hAnsi="Arial" w:cs="Arial"/>
          <w:sz w:val="24"/>
          <w:szCs w:val="24"/>
        </w:rPr>
        <w:t xml:space="preserve"> w odpowiedziach </w:t>
      </w:r>
      <w:r w:rsidRPr="0028226B">
        <w:rPr>
          <w:rFonts w:ascii="Arial" w:hAnsi="Arial" w:cs="Arial"/>
          <w:sz w:val="24"/>
          <w:szCs w:val="24"/>
        </w:rPr>
        <w:t>widoczne są również w podziale na poziom wykształcenia. Osoby z wykształceniem podstawowym częściej niż inne grupy wskazują konieczność dopasowania prawa polskiego do unijnego (3</w:t>
      </w:r>
      <w:r w:rsidR="00F5418A">
        <w:rPr>
          <w:rFonts w:ascii="Arial" w:hAnsi="Arial" w:cs="Arial"/>
          <w:sz w:val="24"/>
          <w:szCs w:val="24"/>
        </w:rPr>
        <w:t>8</w:t>
      </w:r>
      <w:r w:rsidR="7A7D23A2" w:rsidRPr="0028226B">
        <w:rPr>
          <w:rFonts w:ascii="Arial" w:hAnsi="Arial" w:cs="Arial"/>
          <w:sz w:val="24"/>
          <w:szCs w:val="24"/>
        </w:rPr>
        <w:t>%</w:t>
      </w:r>
      <w:r w:rsidRPr="0028226B">
        <w:rPr>
          <w:rFonts w:ascii="Arial" w:hAnsi="Arial" w:cs="Arial"/>
          <w:sz w:val="24"/>
          <w:szCs w:val="24"/>
        </w:rPr>
        <w:t>) oraz konieczność przyjęcia uchodźców (50</w:t>
      </w:r>
      <w:r w:rsidR="7A7D23A2" w:rsidRPr="0028226B">
        <w:rPr>
          <w:rFonts w:ascii="Arial" w:hAnsi="Arial" w:cs="Arial"/>
          <w:sz w:val="24"/>
          <w:szCs w:val="24"/>
        </w:rPr>
        <w:t>%</w:t>
      </w:r>
      <w:r w:rsidRPr="0028226B">
        <w:rPr>
          <w:rFonts w:ascii="Arial" w:hAnsi="Arial" w:cs="Arial"/>
          <w:sz w:val="24"/>
          <w:szCs w:val="24"/>
        </w:rPr>
        <w:t>). W przypadku emigracji zarobkowej najwyższe odsetki pojawiają się w grupie z wykształceniem średnim (23</w:t>
      </w:r>
      <w:r w:rsidR="7A7D23A2" w:rsidRPr="0028226B">
        <w:rPr>
          <w:rFonts w:ascii="Arial" w:hAnsi="Arial" w:cs="Arial"/>
          <w:sz w:val="24"/>
          <w:szCs w:val="24"/>
        </w:rPr>
        <w:t>%</w:t>
      </w:r>
      <w:r w:rsidRPr="0028226B">
        <w:rPr>
          <w:rFonts w:ascii="Arial" w:hAnsi="Arial" w:cs="Arial"/>
          <w:sz w:val="24"/>
          <w:szCs w:val="24"/>
        </w:rPr>
        <w:t>) i podstawowym (25</w:t>
      </w:r>
      <w:r w:rsidR="7A7D23A2" w:rsidRPr="0028226B">
        <w:rPr>
          <w:rFonts w:ascii="Arial" w:hAnsi="Arial" w:cs="Arial"/>
          <w:sz w:val="24"/>
          <w:szCs w:val="24"/>
        </w:rPr>
        <w:t>%</w:t>
      </w:r>
      <w:r w:rsidRPr="0028226B">
        <w:rPr>
          <w:rFonts w:ascii="Arial" w:hAnsi="Arial" w:cs="Arial"/>
          <w:sz w:val="24"/>
          <w:szCs w:val="24"/>
        </w:rPr>
        <w:t>), natomiast najniższe wśród osób z wykształceniem wyższym (15</w:t>
      </w:r>
      <w:r w:rsidR="7A7D23A2" w:rsidRPr="0028226B">
        <w:rPr>
          <w:rFonts w:ascii="Arial" w:hAnsi="Arial" w:cs="Arial"/>
          <w:sz w:val="24"/>
          <w:szCs w:val="24"/>
        </w:rPr>
        <w:t>%</w:t>
      </w:r>
      <w:r w:rsidRPr="0028226B">
        <w:rPr>
          <w:rFonts w:ascii="Arial" w:hAnsi="Arial" w:cs="Arial"/>
          <w:sz w:val="24"/>
          <w:szCs w:val="24"/>
        </w:rPr>
        <w:t xml:space="preserve">). W zakresie </w:t>
      </w:r>
      <w:r w:rsidRPr="0028226B">
        <w:rPr>
          <w:rFonts w:ascii="Arial" w:hAnsi="Arial" w:cs="Arial"/>
          <w:sz w:val="24"/>
          <w:szCs w:val="24"/>
        </w:rPr>
        <w:lastRenderedPageBreak/>
        <w:t xml:space="preserve">wzrostu cen poziomy wskazań dla wszystkich grup mieszczą się </w:t>
      </w:r>
      <w:r w:rsidR="00004275">
        <w:rPr>
          <w:rFonts w:ascii="Arial" w:hAnsi="Arial" w:cs="Arial"/>
          <w:sz w:val="24"/>
          <w:szCs w:val="24"/>
        </w:rPr>
        <w:t>w przedziale pomiędzy</w:t>
      </w:r>
      <w:r w:rsidR="00004275" w:rsidRPr="0028226B">
        <w:rPr>
          <w:rFonts w:ascii="Arial" w:hAnsi="Arial" w:cs="Arial"/>
          <w:sz w:val="24"/>
          <w:szCs w:val="24"/>
        </w:rPr>
        <w:t xml:space="preserve"> </w:t>
      </w:r>
      <w:r w:rsidRPr="0028226B">
        <w:rPr>
          <w:rFonts w:ascii="Arial" w:hAnsi="Arial" w:cs="Arial"/>
          <w:sz w:val="24"/>
          <w:szCs w:val="24"/>
        </w:rPr>
        <w:t>34</w:t>
      </w:r>
      <w:r w:rsidR="00F5418A">
        <w:rPr>
          <w:rFonts w:ascii="Arial" w:hAnsi="Arial" w:cs="Arial"/>
          <w:sz w:val="24"/>
          <w:szCs w:val="24"/>
        </w:rPr>
        <w:t>%</w:t>
      </w:r>
      <w:r w:rsidRPr="0028226B">
        <w:rPr>
          <w:rFonts w:ascii="Arial" w:hAnsi="Arial" w:cs="Arial"/>
          <w:sz w:val="24"/>
          <w:szCs w:val="24"/>
        </w:rPr>
        <w:t xml:space="preserve"> a 4</w:t>
      </w:r>
      <w:r w:rsidR="00F5418A">
        <w:rPr>
          <w:rFonts w:ascii="Arial" w:hAnsi="Arial" w:cs="Arial"/>
          <w:sz w:val="24"/>
          <w:szCs w:val="24"/>
        </w:rPr>
        <w:t>3</w:t>
      </w:r>
      <w:r w:rsidR="7A7D23A2" w:rsidRPr="0028226B">
        <w:rPr>
          <w:rFonts w:ascii="Arial" w:hAnsi="Arial" w:cs="Arial"/>
          <w:sz w:val="24"/>
          <w:szCs w:val="24"/>
        </w:rPr>
        <w:t>%</w:t>
      </w:r>
      <w:r w:rsidRPr="0028226B">
        <w:rPr>
          <w:rFonts w:ascii="Arial" w:hAnsi="Arial" w:cs="Arial"/>
          <w:sz w:val="24"/>
          <w:szCs w:val="24"/>
        </w:rPr>
        <w:t>.</w:t>
      </w:r>
    </w:p>
    <w:p w14:paraId="2D358E13" w14:textId="3C8E1169" w:rsidR="001F7ED5" w:rsidRPr="0028226B" w:rsidRDefault="5588529D" w:rsidP="00696C0B">
      <w:pPr>
        <w:spacing w:line="360" w:lineRule="auto"/>
        <w:rPr>
          <w:rFonts w:ascii="Arial" w:hAnsi="Arial" w:cs="Arial"/>
          <w:sz w:val="24"/>
          <w:szCs w:val="24"/>
        </w:rPr>
      </w:pPr>
      <w:r w:rsidRPr="0028226B">
        <w:rPr>
          <w:rFonts w:ascii="Arial" w:hAnsi="Arial" w:cs="Arial"/>
          <w:sz w:val="24"/>
          <w:szCs w:val="24"/>
        </w:rPr>
        <w:t>Wielkość miejscowości zamieszkania również różnicuje odpowiedzi. Wzrost cen najczęściej wskazywany jest w miastach 50–199 tys. mieszkańców (5</w:t>
      </w:r>
      <w:r w:rsidR="002B5BA0">
        <w:rPr>
          <w:rFonts w:ascii="Arial" w:hAnsi="Arial" w:cs="Arial"/>
          <w:sz w:val="24"/>
          <w:szCs w:val="24"/>
        </w:rPr>
        <w:t>2</w:t>
      </w:r>
      <w:r w:rsidR="7A7D23A2" w:rsidRPr="0028226B">
        <w:rPr>
          <w:rFonts w:ascii="Arial" w:hAnsi="Arial" w:cs="Arial"/>
          <w:sz w:val="24"/>
          <w:szCs w:val="24"/>
        </w:rPr>
        <w:t>%</w:t>
      </w:r>
      <w:r w:rsidRPr="0028226B">
        <w:rPr>
          <w:rFonts w:ascii="Arial" w:hAnsi="Arial" w:cs="Arial"/>
          <w:sz w:val="24"/>
          <w:szCs w:val="24"/>
        </w:rPr>
        <w:t>), a najrzadziej w dużych metropoliach powyżej 500 tys. mieszkańców (3</w:t>
      </w:r>
      <w:r w:rsidR="002B5BA0">
        <w:rPr>
          <w:rFonts w:ascii="Arial" w:hAnsi="Arial" w:cs="Arial"/>
          <w:sz w:val="24"/>
          <w:szCs w:val="24"/>
        </w:rPr>
        <w:t>8</w:t>
      </w:r>
      <w:r w:rsidR="7A7D23A2" w:rsidRPr="0028226B">
        <w:rPr>
          <w:rFonts w:ascii="Arial" w:hAnsi="Arial" w:cs="Arial"/>
          <w:sz w:val="24"/>
          <w:szCs w:val="24"/>
        </w:rPr>
        <w:t>%</w:t>
      </w:r>
      <w:r w:rsidRPr="0028226B">
        <w:rPr>
          <w:rFonts w:ascii="Arial" w:hAnsi="Arial" w:cs="Arial"/>
          <w:sz w:val="24"/>
          <w:szCs w:val="24"/>
        </w:rPr>
        <w:t>). Emigracja zarobkowa jest najczęściej wybierana w małych miastach do 20 tys. mieszkańców (39</w:t>
      </w:r>
      <w:r w:rsidR="7A7D23A2" w:rsidRPr="0028226B">
        <w:rPr>
          <w:rFonts w:ascii="Arial" w:hAnsi="Arial" w:cs="Arial"/>
          <w:sz w:val="24"/>
          <w:szCs w:val="24"/>
        </w:rPr>
        <w:t>%</w:t>
      </w:r>
      <w:r w:rsidRPr="0028226B">
        <w:rPr>
          <w:rFonts w:ascii="Arial" w:hAnsi="Arial" w:cs="Arial"/>
          <w:sz w:val="24"/>
          <w:szCs w:val="24"/>
        </w:rPr>
        <w:t xml:space="preserve">), natomiast w największych miastach poziom ten wynosi jedynie </w:t>
      </w:r>
      <w:r w:rsidR="00F5418A">
        <w:rPr>
          <w:rFonts w:ascii="Arial" w:hAnsi="Arial" w:cs="Arial"/>
          <w:sz w:val="24"/>
          <w:szCs w:val="24"/>
        </w:rPr>
        <w:t>7</w:t>
      </w:r>
      <w:r w:rsidR="7A7D23A2" w:rsidRPr="0028226B">
        <w:rPr>
          <w:rFonts w:ascii="Arial" w:hAnsi="Arial" w:cs="Arial"/>
          <w:sz w:val="24"/>
          <w:szCs w:val="24"/>
        </w:rPr>
        <w:t>%</w:t>
      </w:r>
      <w:r w:rsidRPr="0028226B">
        <w:rPr>
          <w:rFonts w:ascii="Arial" w:hAnsi="Arial" w:cs="Arial"/>
          <w:sz w:val="24"/>
          <w:szCs w:val="24"/>
        </w:rPr>
        <w:t>. Likwidacja przedsiębiorstw częściej pojawia się w małych miastach (39</w:t>
      </w:r>
      <w:r w:rsidR="7A7D23A2" w:rsidRPr="0028226B">
        <w:rPr>
          <w:rFonts w:ascii="Arial" w:hAnsi="Arial" w:cs="Arial"/>
          <w:sz w:val="24"/>
          <w:szCs w:val="24"/>
        </w:rPr>
        <w:t>%</w:t>
      </w:r>
      <w:r w:rsidRPr="0028226B">
        <w:rPr>
          <w:rFonts w:ascii="Arial" w:hAnsi="Arial" w:cs="Arial"/>
          <w:sz w:val="24"/>
          <w:szCs w:val="24"/>
        </w:rPr>
        <w:t>) i w bardzo dużych ośrodkach (17</w:t>
      </w:r>
      <w:r w:rsidR="00F5418A">
        <w:rPr>
          <w:rFonts w:ascii="Arial" w:hAnsi="Arial" w:cs="Arial"/>
          <w:sz w:val="24"/>
          <w:szCs w:val="24"/>
        </w:rPr>
        <w:t>%</w:t>
      </w:r>
      <w:r w:rsidRPr="0028226B">
        <w:rPr>
          <w:rFonts w:ascii="Arial" w:hAnsi="Arial" w:cs="Arial"/>
          <w:sz w:val="24"/>
          <w:szCs w:val="24"/>
        </w:rPr>
        <w:t>–19</w:t>
      </w:r>
      <w:r w:rsidR="00F5418A">
        <w:rPr>
          <w:rFonts w:ascii="Arial" w:hAnsi="Arial" w:cs="Arial"/>
          <w:sz w:val="24"/>
          <w:szCs w:val="24"/>
        </w:rPr>
        <w:t>%</w:t>
      </w:r>
      <w:r w:rsidRPr="0028226B">
        <w:rPr>
          <w:rFonts w:ascii="Arial" w:hAnsi="Arial" w:cs="Arial"/>
          <w:sz w:val="24"/>
          <w:szCs w:val="24"/>
        </w:rPr>
        <w:t>) w porównaniu z wsią (21</w:t>
      </w:r>
      <w:r w:rsidR="7A7D23A2" w:rsidRPr="0028226B">
        <w:rPr>
          <w:rFonts w:ascii="Arial" w:hAnsi="Arial" w:cs="Arial"/>
          <w:sz w:val="24"/>
          <w:szCs w:val="24"/>
        </w:rPr>
        <w:t>%</w:t>
      </w:r>
      <w:r w:rsidRPr="0028226B">
        <w:rPr>
          <w:rFonts w:ascii="Arial" w:hAnsi="Arial" w:cs="Arial"/>
          <w:sz w:val="24"/>
          <w:szCs w:val="24"/>
        </w:rPr>
        <w:t>). W przypadku utraty suwerenności najwyższe wskazania występują w miastach 20–49 tys. mieszkańców (25</w:t>
      </w:r>
      <w:r w:rsidR="7A7D23A2" w:rsidRPr="0028226B">
        <w:rPr>
          <w:rFonts w:ascii="Arial" w:hAnsi="Arial" w:cs="Arial"/>
          <w:sz w:val="24"/>
          <w:szCs w:val="24"/>
        </w:rPr>
        <w:t>%</w:t>
      </w:r>
      <w:r w:rsidRPr="0028226B">
        <w:rPr>
          <w:rFonts w:ascii="Arial" w:hAnsi="Arial" w:cs="Arial"/>
          <w:sz w:val="24"/>
          <w:szCs w:val="24"/>
        </w:rPr>
        <w:t>), a najniższe w ośrodkach powyżej 500 tys. mieszkańców (</w:t>
      </w:r>
      <w:r w:rsidR="00F5418A">
        <w:rPr>
          <w:rFonts w:ascii="Arial" w:hAnsi="Arial" w:cs="Arial"/>
          <w:sz w:val="24"/>
          <w:szCs w:val="24"/>
        </w:rPr>
        <w:t>7</w:t>
      </w:r>
      <w:r w:rsidR="7A7D23A2" w:rsidRPr="0028226B">
        <w:rPr>
          <w:rFonts w:ascii="Arial" w:hAnsi="Arial" w:cs="Arial"/>
          <w:sz w:val="24"/>
          <w:szCs w:val="24"/>
        </w:rPr>
        <w:t>%</w:t>
      </w:r>
      <w:r w:rsidRPr="0028226B">
        <w:rPr>
          <w:rFonts w:ascii="Arial" w:hAnsi="Arial" w:cs="Arial"/>
          <w:sz w:val="24"/>
          <w:szCs w:val="24"/>
        </w:rPr>
        <w:t>).</w:t>
      </w:r>
    </w:p>
    <w:p w14:paraId="73CE57FD" w14:textId="22E971A1" w:rsidR="009874D4" w:rsidRPr="0028226B" w:rsidRDefault="009874D4" w:rsidP="00E05FAD">
      <w:pPr>
        <w:pStyle w:val="Legenda"/>
        <w:keepNext/>
        <w:spacing w:after="0"/>
        <w:rPr>
          <w:rFonts w:ascii="Arial" w:hAnsi="Arial" w:cs="Arial"/>
          <w:b/>
          <w:bCs/>
          <w:i w:val="0"/>
          <w:iCs w:val="0"/>
          <w:color w:val="000000" w:themeColor="text1"/>
          <w:sz w:val="24"/>
          <w:szCs w:val="24"/>
        </w:rPr>
      </w:pPr>
      <w:bookmarkStart w:id="12" w:name="_Toc219369231"/>
      <w:r w:rsidRPr="0028226B">
        <w:rPr>
          <w:rFonts w:ascii="Arial" w:hAnsi="Arial" w:cs="Arial"/>
          <w:b/>
          <w:bCs/>
          <w:i w:val="0"/>
          <w:iCs w:val="0"/>
          <w:color w:val="000000" w:themeColor="text1"/>
          <w:sz w:val="24"/>
          <w:szCs w:val="24"/>
        </w:rPr>
        <w:t xml:space="preserve">Wykres </w:t>
      </w:r>
      <w:r w:rsidRPr="0028226B">
        <w:rPr>
          <w:rFonts w:ascii="Arial" w:hAnsi="Arial" w:cs="Arial"/>
          <w:b/>
          <w:bCs/>
          <w:i w:val="0"/>
          <w:iCs w:val="0"/>
          <w:color w:val="000000" w:themeColor="text1"/>
          <w:sz w:val="24"/>
          <w:szCs w:val="24"/>
        </w:rPr>
        <w:fldChar w:fldCharType="begin"/>
      </w:r>
      <w:r w:rsidRPr="0028226B">
        <w:rPr>
          <w:rFonts w:ascii="Arial" w:hAnsi="Arial" w:cs="Arial"/>
          <w:b/>
          <w:bCs/>
          <w:i w:val="0"/>
          <w:iCs w:val="0"/>
          <w:color w:val="000000" w:themeColor="text1"/>
          <w:sz w:val="24"/>
          <w:szCs w:val="24"/>
        </w:rPr>
        <w:instrText xml:space="preserve"> SEQ Wykres \* ARABIC </w:instrText>
      </w:r>
      <w:r w:rsidRPr="0028226B">
        <w:rPr>
          <w:rFonts w:ascii="Arial" w:hAnsi="Arial" w:cs="Arial"/>
          <w:b/>
          <w:bCs/>
          <w:i w:val="0"/>
          <w:iCs w:val="0"/>
          <w:color w:val="000000" w:themeColor="text1"/>
          <w:sz w:val="24"/>
          <w:szCs w:val="24"/>
        </w:rPr>
        <w:fldChar w:fldCharType="separate"/>
      </w:r>
      <w:r w:rsidR="0055789E">
        <w:rPr>
          <w:rFonts w:ascii="Arial" w:hAnsi="Arial" w:cs="Arial"/>
          <w:b/>
          <w:bCs/>
          <w:i w:val="0"/>
          <w:iCs w:val="0"/>
          <w:noProof/>
          <w:color w:val="000000" w:themeColor="text1"/>
          <w:sz w:val="24"/>
          <w:szCs w:val="24"/>
        </w:rPr>
        <w:t>5</w:t>
      </w:r>
      <w:r w:rsidRPr="0028226B">
        <w:rPr>
          <w:rFonts w:ascii="Arial" w:hAnsi="Arial" w:cs="Arial"/>
          <w:b/>
          <w:bCs/>
          <w:i w:val="0"/>
          <w:iCs w:val="0"/>
          <w:color w:val="000000" w:themeColor="text1"/>
          <w:sz w:val="24"/>
          <w:szCs w:val="24"/>
        </w:rPr>
        <w:fldChar w:fldCharType="end"/>
      </w:r>
      <w:r w:rsidRPr="0028226B">
        <w:rPr>
          <w:rFonts w:ascii="Arial" w:hAnsi="Arial" w:cs="Arial"/>
          <w:b/>
          <w:bCs/>
          <w:i w:val="0"/>
          <w:iCs w:val="0"/>
          <w:color w:val="000000" w:themeColor="text1"/>
          <w:sz w:val="24"/>
          <w:szCs w:val="24"/>
        </w:rPr>
        <w:t xml:space="preserve">. </w:t>
      </w:r>
      <w:r w:rsidR="00FE39F8">
        <w:rPr>
          <w:rFonts w:ascii="Arial" w:hAnsi="Arial" w:cs="Arial"/>
          <w:b/>
          <w:bCs/>
          <w:i w:val="0"/>
          <w:iCs w:val="0"/>
          <w:color w:val="000000" w:themeColor="text1"/>
          <w:sz w:val="24"/>
          <w:szCs w:val="24"/>
        </w:rPr>
        <w:t xml:space="preserve">P3. </w:t>
      </w:r>
      <w:r w:rsidR="000C705B" w:rsidRPr="0028226B">
        <w:rPr>
          <w:rFonts w:ascii="Arial" w:hAnsi="Arial" w:cs="Arial"/>
          <w:b/>
          <w:bCs/>
          <w:i w:val="0"/>
          <w:iCs w:val="0"/>
          <w:color w:val="000000" w:themeColor="text1"/>
          <w:sz w:val="24"/>
          <w:szCs w:val="24"/>
        </w:rPr>
        <w:t>A jakie są Pana(i) zdaniem największe straty, jakie odniosła Polska wraz ze wstąpieniem do Unii Europejskiej?</w:t>
      </w:r>
      <w:r w:rsidR="000C705B" w:rsidRPr="0028226B" w:rsidDel="000C705B">
        <w:rPr>
          <w:rFonts w:ascii="Arial" w:hAnsi="Arial" w:cs="Arial"/>
          <w:b/>
          <w:bCs/>
          <w:i w:val="0"/>
          <w:iCs w:val="0"/>
          <w:color w:val="000000" w:themeColor="text1"/>
          <w:sz w:val="24"/>
          <w:szCs w:val="24"/>
        </w:rPr>
        <w:t xml:space="preserve"> </w:t>
      </w:r>
      <w:r w:rsidRPr="0028226B">
        <w:rPr>
          <w:rFonts w:ascii="Arial" w:hAnsi="Arial" w:cs="Arial"/>
          <w:b/>
          <w:bCs/>
          <w:i w:val="0"/>
          <w:iCs w:val="0"/>
          <w:color w:val="000000" w:themeColor="text1"/>
          <w:sz w:val="24"/>
          <w:szCs w:val="24"/>
        </w:rPr>
        <w:t>(N=247)</w:t>
      </w:r>
      <w:bookmarkEnd w:id="12"/>
    </w:p>
    <w:p w14:paraId="7167339A" w14:textId="1F339DD9" w:rsidR="009874D4" w:rsidRPr="0028226B" w:rsidRDefault="009874D4" w:rsidP="00FE39F8">
      <w:pPr>
        <w:spacing w:after="0"/>
        <w:rPr>
          <w:rFonts w:ascii="Arial" w:hAnsi="Arial" w:cs="Arial"/>
          <w:sz w:val="24"/>
          <w:szCs w:val="24"/>
        </w:rPr>
      </w:pPr>
      <w:r w:rsidRPr="0028226B">
        <w:rPr>
          <w:rFonts w:ascii="Arial" w:hAnsi="Arial" w:cs="Arial"/>
          <w:noProof/>
          <w:sz w:val="24"/>
          <w:szCs w:val="24"/>
        </w:rPr>
        <w:drawing>
          <wp:inline distT="0" distB="0" distL="0" distR="0" wp14:anchorId="1A3B4DE6" wp14:editId="0C62EF41">
            <wp:extent cx="5486400" cy="4091940"/>
            <wp:effectExtent l="0" t="0" r="0" b="3810"/>
            <wp:docPr id="1145659962" name="Wykres 1" descr="Wykres pokazuje odpowiedzi na pytanie „A jakie są Pana(i) zdaniem największe straty, jakie odniosła Polska wraz ze wstąpieniem do Unii Europejskiej?” (N=247). Wyniki przedstawiono w procentach.&#10;&#10;Najczęściej wskazywane straty to: wzrost cen produktów i kosztów życia – 40,5%; konieczność przyjęcia uchodźców – 39,7%; konieczność dostosowania prawa polskiego do wymogów unijnych – 27,1%; likwidacja lub wyprzedaż polskich przedsiębiorstw – 21,9%; emigracja zarobkowa Polaków do innych krajów UE – 20,2%.&#10;&#10;Dalsze wskazania: obowiązek przyjęcia wspólnej waluty euro w przyszłości – 16,2%; utrata suwerenności Polski – 14,2%; konieczność spłaty otrzymanych funduszy – 12,6%.&#10;&#10;Odpowiedzi „trudno ocenić” udzieliło 0,8% respondentów, a 2,4% wskazało kategorię „inne”."/>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61B468E9" w14:textId="7BE9F132" w:rsidR="009874D4" w:rsidRPr="00E05FAD" w:rsidRDefault="009874D4" w:rsidP="009874D4">
      <w:pPr>
        <w:rPr>
          <w:rFonts w:ascii="Arial" w:hAnsi="Arial" w:cs="Arial"/>
          <w:sz w:val="24"/>
          <w:szCs w:val="24"/>
        </w:rPr>
      </w:pPr>
      <w:r w:rsidRPr="00E05FAD">
        <w:rPr>
          <w:rFonts w:ascii="Arial" w:hAnsi="Arial" w:cs="Arial"/>
          <w:sz w:val="24"/>
          <w:szCs w:val="24"/>
        </w:rPr>
        <w:t>Źródło: Opracowano na podstawie badania CAPI</w:t>
      </w:r>
      <w:r w:rsidR="003E4169">
        <w:rPr>
          <w:rFonts w:ascii="Arial" w:hAnsi="Arial" w:cs="Arial"/>
          <w:sz w:val="24"/>
          <w:szCs w:val="24"/>
        </w:rPr>
        <w:t>; odpowiadający: dostrzegający straty</w:t>
      </w:r>
    </w:p>
    <w:p w14:paraId="2F1B231A" w14:textId="77777777" w:rsidR="00856794" w:rsidRDefault="00856794">
      <w:pPr>
        <w:rPr>
          <w:rFonts w:ascii="Arial" w:eastAsiaTheme="majorEastAsia" w:hAnsi="Arial" w:cs="Arial"/>
          <w:b/>
          <w:bCs/>
          <w:color w:val="FFFFFF" w:themeColor="background1"/>
          <w:sz w:val="24"/>
          <w:szCs w:val="24"/>
        </w:rPr>
      </w:pPr>
      <w:r>
        <w:rPr>
          <w:rFonts w:ascii="Arial" w:hAnsi="Arial" w:cs="Arial"/>
          <w:b/>
          <w:bCs/>
          <w:color w:val="FFFFFF" w:themeColor="background1"/>
          <w:sz w:val="24"/>
          <w:szCs w:val="24"/>
        </w:rPr>
        <w:br w:type="page"/>
      </w:r>
    </w:p>
    <w:p w14:paraId="5811575E" w14:textId="61A26C21" w:rsidR="00DD7F03" w:rsidRPr="0028226B" w:rsidRDefault="00DD7F03" w:rsidP="00BA6140">
      <w:pPr>
        <w:pStyle w:val="Nagwek1"/>
        <w:shd w:val="clear" w:color="auto" w:fill="061A3D"/>
        <w:rPr>
          <w:rFonts w:ascii="Arial" w:hAnsi="Arial" w:cs="Arial"/>
          <w:b/>
          <w:bCs/>
          <w:color w:val="FFFFFF" w:themeColor="background1"/>
          <w:sz w:val="24"/>
          <w:szCs w:val="24"/>
        </w:rPr>
      </w:pPr>
      <w:bookmarkStart w:id="13" w:name="_Toc219375238"/>
      <w:r w:rsidRPr="0028226B">
        <w:rPr>
          <w:rFonts w:ascii="Arial" w:hAnsi="Arial" w:cs="Arial"/>
          <w:b/>
          <w:bCs/>
          <w:color w:val="FFFFFF" w:themeColor="background1"/>
          <w:sz w:val="24"/>
          <w:szCs w:val="24"/>
        </w:rPr>
        <w:lastRenderedPageBreak/>
        <w:t>Wiedza na temat Funduszy Europejskich / Funduszy Unijnych w społeczeństwie polskim</w:t>
      </w:r>
      <w:bookmarkEnd w:id="13"/>
    </w:p>
    <w:p w14:paraId="68F94D33" w14:textId="77777777" w:rsidR="00DD7F03" w:rsidRPr="0028226B" w:rsidRDefault="00DD7F03" w:rsidP="00BA6140">
      <w:pPr>
        <w:spacing w:after="0"/>
        <w:rPr>
          <w:rFonts w:ascii="Arial" w:hAnsi="Arial" w:cs="Arial"/>
          <w:sz w:val="24"/>
          <w:szCs w:val="24"/>
        </w:rPr>
      </w:pPr>
    </w:p>
    <w:p w14:paraId="6D07DCF4" w14:textId="6D441C29" w:rsidR="009874D4" w:rsidRPr="0028226B" w:rsidRDefault="00DD7F03" w:rsidP="00BA6140">
      <w:pPr>
        <w:pStyle w:val="Nagwek1"/>
        <w:shd w:val="clear" w:color="auto" w:fill="061A3D"/>
        <w:spacing w:before="0"/>
        <w:rPr>
          <w:rFonts w:ascii="Arial" w:hAnsi="Arial" w:cs="Arial"/>
          <w:b/>
          <w:bCs/>
          <w:color w:val="FFFFFF" w:themeColor="background1"/>
          <w:sz w:val="24"/>
          <w:szCs w:val="24"/>
        </w:rPr>
      </w:pPr>
      <w:bookmarkStart w:id="14" w:name="_Toc219375239"/>
      <w:r w:rsidRPr="0028226B">
        <w:rPr>
          <w:rFonts w:ascii="Arial" w:hAnsi="Arial" w:cs="Arial"/>
          <w:b/>
          <w:bCs/>
          <w:color w:val="FFFFFF" w:themeColor="background1"/>
          <w:sz w:val="24"/>
          <w:szCs w:val="24"/>
        </w:rPr>
        <w:t>Znajomość i rozumienie pojęcia Fundusze Europejskie</w:t>
      </w:r>
      <w:bookmarkEnd w:id="14"/>
    </w:p>
    <w:p w14:paraId="56EB4910" w14:textId="76D302F6" w:rsidR="00626A12" w:rsidRPr="0028226B" w:rsidRDefault="57C431AA" w:rsidP="00696C0B">
      <w:pPr>
        <w:spacing w:line="360" w:lineRule="auto"/>
        <w:rPr>
          <w:rFonts w:ascii="Arial" w:hAnsi="Arial" w:cs="Arial"/>
          <w:sz w:val="24"/>
          <w:szCs w:val="24"/>
        </w:rPr>
      </w:pPr>
      <w:r w:rsidRPr="0028226B">
        <w:rPr>
          <w:rFonts w:ascii="Arial" w:hAnsi="Arial" w:cs="Arial"/>
          <w:sz w:val="24"/>
          <w:szCs w:val="24"/>
        </w:rPr>
        <w:t xml:space="preserve">W analizie odpowiedzi </w:t>
      </w:r>
      <w:r w:rsidR="001B43AD">
        <w:rPr>
          <w:rFonts w:ascii="Arial" w:hAnsi="Arial" w:cs="Arial"/>
          <w:sz w:val="24"/>
          <w:szCs w:val="24"/>
        </w:rPr>
        <w:t>o</w:t>
      </w:r>
      <w:r w:rsidR="001B43AD" w:rsidRPr="0028226B">
        <w:rPr>
          <w:rFonts w:ascii="Arial" w:hAnsi="Arial" w:cs="Arial"/>
          <w:sz w:val="24"/>
          <w:szCs w:val="24"/>
        </w:rPr>
        <w:t xml:space="preserve"> </w:t>
      </w:r>
      <w:r w:rsidRPr="0028226B">
        <w:rPr>
          <w:rFonts w:ascii="Arial" w:hAnsi="Arial" w:cs="Arial"/>
          <w:sz w:val="24"/>
          <w:szCs w:val="24"/>
        </w:rPr>
        <w:t>znajomoś</w:t>
      </w:r>
      <w:r w:rsidR="001B43AD">
        <w:rPr>
          <w:rFonts w:ascii="Arial" w:hAnsi="Arial" w:cs="Arial"/>
          <w:sz w:val="24"/>
          <w:szCs w:val="24"/>
        </w:rPr>
        <w:t>ć</w:t>
      </w:r>
      <w:r w:rsidRPr="0028226B">
        <w:rPr>
          <w:rFonts w:ascii="Arial" w:hAnsi="Arial" w:cs="Arial"/>
          <w:sz w:val="24"/>
          <w:szCs w:val="24"/>
        </w:rPr>
        <w:t xml:space="preserve"> określeń „Fundusze Europejskie” oraz „Fundusze Unijne” widoczna jest wyraźnie wysoka i stabilna rozpoznawalność tych pojęć wśród mieszkańców Polski na przestrzeni ostatnich kilkunastu lat. W większości edycji badania odsetek osób deklarujących, że spotkały się z tymi określeniami (zarówno wiedzących, co one oznaczają, jak i takich, które nie potrafią ich zdefiniować), utrzymywał się na poziomie około 85–90</w:t>
      </w:r>
      <w:r w:rsidR="7A7D23A2" w:rsidRPr="0028226B">
        <w:rPr>
          <w:rFonts w:ascii="Arial" w:hAnsi="Arial" w:cs="Arial"/>
          <w:sz w:val="24"/>
          <w:szCs w:val="24"/>
        </w:rPr>
        <w:t>%</w:t>
      </w:r>
      <w:r w:rsidRPr="0028226B">
        <w:rPr>
          <w:rFonts w:ascii="Arial" w:hAnsi="Arial" w:cs="Arial"/>
          <w:sz w:val="24"/>
          <w:szCs w:val="24"/>
        </w:rPr>
        <w:t>.</w:t>
      </w:r>
    </w:p>
    <w:p w14:paraId="1B5EC780" w14:textId="04A06546" w:rsidR="00626A12" w:rsidRPr="0028226B" w:rsidRDefault="57C431AA" w:rsidP="00696C0B">
      <w:pPr>
        <w:spacing w:line="360" w:lineRule="auto"/>
        <w:rPr>
          <w:rFonts w:ascii="Arial" w:hAnsi="Arial" w:cs="Arial"/>
          <w:sz w:val="24"/>
          <w:szCs w:val="24"/>
        </w:rPr>
      </w:pPr>
      <w:r w:rsidRPr="0028226B">
        <w:rPr>
          <w:rFonts w:ascii="Arial" w:hAnsi="Arial" w:cs="Arial"/>
          <w:sz w:val="24"/>
          <w:szCs w:val="24"/>
        </w:rPr>
        <w:t>Najniższe wartości odnotowano w 2022 roku (81</w:t>
      </w:r>
      <w:r w:rsidR="7A7D23A2" w:rsidRPr="0028226B">
        <w:rPr>
          <w:rFonts w:ascii="Arial" w:hAnsi="Arial" w:cs="Arial"/>
          <w:sz w:val="24"/>
          <w:szCs w:val="24"/>
        </w:rPr>
        <w:t>%</w:t>
      </w:r>
      <w:r w:rsidRPr="0028226B">
        <w:rPr>
          <w:rFonts w:ascii="Arial" w:hAnsi="Arial" w:cs="Arial"/>
          <w:sz w:val="24"/>
          <w:szCs w:val="24"/>
        </w:rPr>
        <w:t>), jednak już w kolejnych latach wskaźnik ten ponownie wzrósł – w 2023 roku osiągnął 87</w:t>
      </w:r>
      <w:r w:rsidR="7A7D23A2" w:rsidRPr="0028226B">
        <w:rPr>
          <w:rFonts w:ascii="Arial" w:hAnsi="Arial" w:cs="Arial"/>
          <w:sz w:val="24"/>
          <w:szCs w:val="24"/>
        </w:rPr>
        <w:t>%</w:t>
      </w:r>
      <w:r w:rsidRPr="0028226B">
        <w:rPr>
          <w:rFonts w:ascii="Arial" w:hAnsi="Arial" w:cs="Arial"/>
          <w:sz w:val="24"/>
          <w:szCs w:val="24"/>
        </w:rPr>
        <w:t>, a w badaniu z 2024 roku 9</w:t>
      </w:r>
      <w:r w:rsidR="002B5BA0">
        <w:rPr>
          <w:rFonts w:ascii="Arial" w:hAnsi="Arial" w:cs="Arial"/>
          <w:sz w:val="24"/>
          <w:szCs w:val="24"/>
        </w:rPr>
        <w:t>4</w:t>
      </w:r>
      <w:r w:rsidR="7A7D23A2" w:rsidRPr="0028226B">
        <w:rPr>
          <w:rFonts w:ascii="Arial" w:hAnsi="Arial" w:cs="Arial"/>
          <w:sz w:val="24"/>
          <w:szCs w:val="24"/>
        </w:rPr>
        <w:t>%</w:t>
      </w:r>
      <w:r w:rsidRPr="0028226B">
        <w:rPr>
          <w:rFonts w:ascii="Arial" w:hAnsi="Arial" w:cs="Arial"/>
          <w:sz w:val="24"/>
          <w:szCs w:val="24"/>
        </w:rPr>
        <w:t>. Wyniki najnowszej edycji przeprowadzonej w 2025 roku pokazują dalszy wzrost rozpoznawalności, która sięga 9</w:t>
      </w:r>
      <w:r w:rsidR="002B5BA0">
        <w:rPr>
          <w:rFonts w:ascii="Arial" w:hAnsi="Arial" w:cs="Arial"/>
          <w:sz w:val="24"/>
          <w:szCs w:val="24"/>
        </w:rPr>
        <w:t>6</w:t>
      </w:r>
      <w:r w:rsidR="7A7D23A2" w:rsidRPr="0028226B">
        <w:rPr>
          <w:rFonts w:ascii="Arial" w:hAnsi="Arial" w:cs="Arial"/>
          <w:sz w:val="24"/>
          <w:szCs w:val="24"/>
        </w:rPr>
        <w:t>%</w:t>
      </w:r>
      <w:r w:rsidRPr="0028226B">
        <w:rPr>
          <w:rFonts w:ascii="Arial" w:hAnsi="Arial" w:cs="Arial"/>
          <w:sz w:val="24"/>
          <w:szCs w:val="24"/>
        </w:rPr>
        <w:t xml:space="preserve"> i jest najwyższą wartością w całym analizowanym okresie.</w:t>
      </w:r>
    </w:p>
    <w:p w14:paraId="7F9AA280" w14:textId="410579EC" w:rsidR="00626A12" w:rsidRPr="0028226B" w:rsidRDefault="57C431AA" w:rsidP="00696C0B">
      <w:pPr>
        <w:spacing w:line="360" w:lineRule="auto"/>
        <w:rPr>
          <w:rFonts w:ascii="Arial" w:hAnsi="Arial" w:cs="Arial"/>
          <w:sz w:val="24"/>
          <w:szCs w:val="24"/>
        </w:rPr>
      </w:pPr>
      <w:r w:rsidRPr="0028226B">
        <w:rPr>
          <w:rFonts w:ascii="Arial" w:hAnsi="Arial" w:cs="Arial"/>
          <w:sz w:val="24"/>
          <w:szCs w:val="24"/>
        </w:rPr>
        <w:t>Oznacza to, że zdecydowana większość mieszkańców Polski zetknęła się z tematyką Funduszy Europejskich, a świadomość istnienia i funkcjonowania tych mechanizmów finansowania pozostaje na bardzo wysokim poziomie, wyższym niż w pierwszych latach objętych analizą. Wyniki te potwierdzają ugruntowaną obecność tej tematyki w debacie publicznej i praktyce społeczno-gospodarczej.</w:t>
      </w:r>
    </w:p>
    <w:p w14:paraId="66C5C43E" w14:textId="3E157AD1" w:rsidR="00626A12" w:rsidRPr="0028226B" w:rsidRDefault="00626A12" w:rsidP="00AA4EBE">
      <w:pPr>
        <w:pStyle w:val="Legenda"/>
        <w:keepNext/>
        <w:spacing w:after="0"/>
        <w:rPr>
          <w:rFonts w:ascii="Arial" w:hAnsi="Arial" w:cs="Arial"/>
          <w:b/>
          <w:bCs/>
          <w:i w:val="0"/>
          <w:iCs w:val="0"/>
          <w:color w:val="000000" w:themeColor="text1"/>
          <w:sz w:val="24"/>
          <w:szCs w:val="24"/>
        </w:rPr>
      </w:pPr>
      <w:bookmarkStart w:id="15" w:name="_Toc219369232"/>
      <w:r w:rsidRPr="0028226B">
        <w:rPr>
          <w:rFonts w:ascii="Arial" w:hAnsi="Arial" w:cs="Arial"/>
          <w:b/>
          <w:bCs/>
          <w:i w:val="0"/>
          <w:iCs w:val="0"/>
          <w:color w:val="000000" w:themeColor="text1"/>
          <w:sz w:val="24"/>
          <w:szCs w:val="24"/>
        </w:rPr>
        <w:t xml:space="preserve">Wykres </w:t>
      </w:r>
      <w:r w:rsidRPr="0028226B">
        <w:rPr>
          <w:rFonts w:ascii="Arial" w:hAnsi="Arial" w:cs="Arial"/>
          <w:b/>
          <w:bCs/>
          <w:i w:val="0"/>
          <w:iCs w:val="0"/>
          <w:color w:val="000000" w:themeColor="text1"/>
          <w:sz w:val="24"/>
          <w:szCs w:val="24"/>
        </w:rPr>
        <w:fldChar w:fldCharType="begin"/>
      </w:r>
      <w:r w:rsidRPr="0028226B">
        <w:rPr>
          <w:rFonts w:ascii="Arial" w:hAnsi="Arial" w:cs="Arial"/>
          <w:b/>
          <w:bCs/>
          <w:i w:val="0"/>
          <w:iCs w:val="0"/>
          <w:color w:val="000000" w:themeColor="text1"/>
          <w:sz w:val="24"/>
          <w:szCs w:val="24"/>
        </w:rPr>
        <w:instrText xml:space="preserve"> SEQ Wykres \* ARABIC </w:instrText>
      </w:r>
      <w:r w:rsidRPr="0028226B">
        <w:rPr>
          <w:rFonts w:ascii="Arial" w:hAnsi="Arial" w:cs="Arial"/>
          <w:b/>
          <w:bCs/>
          <w:i w:val="0"/>
          <w:iCs w:val="0"/>
          <w:color w:val="000000" w:themeColor="text1"/>
          <w:sz w:val="24"/>
          <w:szCs w:val="24"/>
        </w:rPr>
        <w:fldChar w:fldCharType="separate"/>
      </w:r>
      <w:r w:rsidR="0055789E">
        <w:rPr>
          <w:rFonts w:ascii="Arial" w:hAnsi="Arial" w:cs="Arial"/>
          <w:b/>
          <w:bCs/>
          <w:i w:val="0"/>
          <w:iCs w:val="0"/>
          <w:noProof/>
          <w:color w:val="000000" w:themeColor="text1"/>
          <w:sz w:val="24"/>
          <w:szCs w:val="24"/>
        </w:rPr>
        <w:t>6</w:t>
      </w:r>
      <w:r w:rsidRPr="0028226B">
        <w:rPr>
          <w:rFonts w:ascii="Arial" w:hAnsi="Arial" w:cs="Arial"/>
          <w:b/>
          <w:bCs/>
          <w:i w:val="0"/>
          <w:iCs w:val="0"/>
          <w:color w:val="000000" w:themeColor="text1"/>
          <w:sz w:val="24"/>
          <w:szCs w:val="24"/>
        </w:rPr>
        <w:fldChar w:fldCharType="end"/>
      </w:r>
      <w:r w:rsidRPr="0028226B">
        <w:rPr>
          <w:rFonts w:ascii="Arial" w:hAnsi="Arial" w:cs="Arial"/>
          <w:b/>
          <w:bCs/>
          <w:i w:val="0"/>
          <w:iCs w:val="0"/>
          <w:color w:val="000000" w:themeColor="text1"/>
          <w:sz w:val="24"/>
          <w:szCs w:val="24"/>
        </w:rPr>
        <w:t xml:space="preserve">. </w:t>
      </w:r>
      <w:r w:rsidR="000C705B" w:rsidRPr="0028226B">
        <w:rPr>
          <w:rFonts w:ascii="Arial" w:hAnsi="Arial" w:cs="Arial"/>
          <w:b/>
          <w:bCs/>
          <w:i w:val="0"/>
          <w:iCs w:val="0"/>
          <w:color w:val="000000" w:themeColor="text1"/>
          <w:sz w:val="24"/>
          <w:szCs w:val="24"/>
        </w:rPr>
        <w:t>P4. Czy spotkał(a) się Pan(i) z określeniami „Fundusze Europejskie” lub „Fundusze Unijne”?</w:t>
      </w:r>
      <w:r w:rsidR="009C1D69">
        <w:rPr>
          <w:rStyle w:val="Odwoanieprzypisudolnego"/>
          <w:rFonts w:ascii="Arial" w:hAnsi="Arial" w:cs="Arial"/>
          <w:b/>
          <w:bCs/>
          <w:i w:val="0"/>
          <w:iCs w:val="0"/>
          <w:color w:val="000000" w:themeColor="text1"/>
          <w:sz w:val="24"/>
          <w:szCs w:val="24"/>
        </w:rPr>
        <w:footnoteReference w:id="3"/>
      </w:r>
      <w:bookmarkEnd w:id="15"/>
    </w:p>
    <w:p w14:paraId="09A10450" w14:textId="2F04FA75" w:rsidR="00626A12" w:rsidRPr="0028226B" w:rsidRDefault="00626A12" w:rsidP="00AA4EBE">
      <w:pPr>
        <w:spacing w:after="0"/>
        <w:rPr>
          <w:rFonts w:ascii="Arial" w:hAnsi="Arial" w:cs="Arial"/>
          <w:sz w:val="24"/>
          <w:szCs w:val="24"/>
        </w:rPr>
      </w:pPr>
      <w:r w:rsidRPr="0028226B">
        <w:rPr>
          <w:rFonts w:ascii="Arial" w:hAnsi="Arial" w:cs="Arial"/>
          <w:noProof/>
          <w:sz w:val="24"/>
          <w:szCs w:val="24"/>
        </w:rPr>
        <w:drawing>
          <wp:inline distT="0" distB="0" distL="0" distR="0" wp14:anchorId="6D0918D8" wp14:editId="3D7F911D">
            <wp:extent cx="6193155" cy="1783080"/>
            <wp:effectExtent l="0" t="0" r="0" b="0"/>
            <wp:docPr id="1087791298" name="Wykres 3" descr="Wykres liniowy przedstawia odsetek osób, które deklarują, że spotkały się z określeniami „Fundusze Europejskie” lub „Fundusze Unijne”, w latach 2014–2025. Wyniki podano w procentach dla każdego roku.&#10;&#10;2014 – 90%;&#10;2015 – 89%;&#10;2016 – 83%;&#10;2017 – 88%;&#10;2018 – 91%;&#10;2019 – 92%;&#10;2020 – 89%;&#10;2021 – 91%;&#10;2022 – 81%;&#10;2023 – 87%;&#10;2024 – 94%;&#10;2025 – 96%.&#10;&#10;Na wykresie wyróżniono lata o najniższej wartości (2016 i 2022) kolorem niebieskim oraz lata o najwyższej wartości (2024 i 2025) kolorem czerwonym."/>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0F6A9E42" w14:textId="01024DEE" w:rsidR="00626A12" w:rsidRPr="0028226B" w:rsidRDefault="57C431AA" w:rsidP="00626A12">
      <w:pPr>
        <w:rPr>
          <w:rFonts w:ascii="Arial" w:hAnsi="Arial" w:cs="Arial"/>
          <w:sz w:val="24"/>
          <w:szCs w:val="24"/>
        </w:rPr>
      </w:pPr>
      <w:r w:rsidRPr="0028226B">
        <w:rPr>
          <w:rFonts w:ascii="Arial" w:hAnsi="Arial" w:cs="Arial"/>
          <w:sz w:val="24"/>
          <w:szCs w:val="24"/>
        </w:rPr>
        <w:t>Źródło: Opracowano na podstawie badania CAPI</w:t>
      </w:r>
      <w:r w:rsidR="003E4169">
        <w:rPr>
          <w:rFonts w:ascii="Arial" w:hAnsi="Arial" w:cs="Arial"/>
          <w:sz w:val="24"/>
          <w:szCs w:val="24"/>
        </w:rPr>
        <w:t>;</w:t>
      </w:r>
      <w:r w:rsidR="00F32CB4">
        <w:rPr>
          <w:rFonts w:ascii="Arial" w:hAnsi="Arial" w:cs="Arial"/>
          <w:sz w:val="24"/>
          <w:szCs w:val="24"/>
        </w:rPr>
        <w:t xml:space="preserve"> </w:t>
      </w:r>
      <w:r w:rsidR="003E4169">
        <w:rPr>
          <w:rFonts w:ascii="Arial" w:hAnsi="Arial" w:cs="Arial"/>
          <w:sz w:val="24"/>
          <w:szCs w:val="24"/>
        </w:rPr>
        <w:t>odpowiadający: wszyscy respondenci</w:t>
      </w:r>
    </w:p>
    <w:p w14:paraId="13712449" w14:textId="1825861D" w:rsidR="00533047" w:rsidRDefault="00533047" w:rsidP="00696C0B">
      <w:pPr>
        <w:spacing w:line="360" w:lineRule="auto"/>
        <w:rPr>
          <w:rFonts w:ascii="Arial" w:hAnsi="Arial" w:cs="Arial"/>
          <w:sz w:val="24"/>
          <w:szCs w:val="24"/>
        </w:rPr>
      </w:pPr>
      <w:r w:rsidRPr="00533047">
        <w:rPr>
          <w:rFonts w:ascii="Arial" w:hAnsi="Arial" w:cs="Arial"/>
          <w:sz w:val="24"/>
          <w:szCs w:val="24"/>
        </w:rPr>
        <w:lastRenderedPageBreak/>
        <w:t>Rozkład odpowiedzi według charakterystyk demograficznych pokazuje, że świadomość Funduszy Europejskich jest wysoka w większości analizowanych grup. Najwyższy odsetek osób deklarujących znajomość i rozumienie tych pojęć odnotowano wśród osób w wieku 20–34 lata (od 83% do 8</w:t>
      </w:r>
      <w:r w:rsidR="00F5418A">
        <w:rPr>
          <w:rFonts w:ascii="Arial" w:hAnsi="Arial" w:cs="Arial"/>
          <w:sz w:val="24"/>
          <w:szCs w:val="24"/>
        </w:rPr>
        <w:t>4</w:t>
      </w:r>
      <w:r w:rsidRPr="00533047">
        <w:rPr>
          <w:rFonts w:ascii="Arial" w:hAnsi="Arial" w:cs="Arial"/>
          <w:sz w:val="24"/>
          <w:szCs w:val="24"/>
        </w:rPr>
        <w:t>%). Wysoki poziom wiedzy widoczny jest także wśród mieszkańców dużych miast liczących od 200 do 499 tysięcy mieszkańców (8</w:t>
      </w:r>
      <w:r w:rsidR="00F5418A">
        <w:rPr>
          <w:rFonts w:ascii="Arial" w:hAnsi="Arial" w:cs="Arial"/>
          <w:sz w:val="24"/>
          <w:szCs w:val="24"/>
        </w:rPr>
        <w:t>3</w:t>
      </w:r>
      <w:r w:rsidRPr="00533047">
        <w:rPr>
          <w:rFonts w:ascii="Arial" w:hAnsi="Arial" w:cs="Arial"/>
          <w:sz w:val="24"/>
          <w:szCs w:val="24"/>
        </w:rPr>
        <w:t>%) oraz wśród osób z wykształceniem wyższym (80%).</w:t>
      </w:r>
    </w:p>
    <w:p w14:paraId="59316EB8" w14:textId="3D24F11B" w:rsidR="00D04C3F" w:rsidRDefault="00D04C3F" w:rsidP="00696C0B">
      <w:pPr>
        <w:spacing w:line="360" w:lineRule="auto"/>
        <w:rPr>
          <w:rFonts w:ascii="Arial" w:hAnsi="Arial" w:cs="Arial"/>
          <w:sz w:val="24"/>
          <w:szCs w:val="24"/>
        </w:rPr>
      </w:pPr>
      <w:r w:rsidRPr="00D04C3F">
        <w:rPr>
          <w:rFonts w:ascii="Arial" w:hAnsi="Arial" w:cs="Arial"/>
          <w:sz w:val="24"/>
          <w:szCs w:val="24"/>
        </w:rPr>
        <w:t>W grupach rzadziej deklarujących pełne zrozumienie pojęcia Funduszy Europejskich znajdują się osoby starsze (74% w grupie 65+), badani w wieku 45–54 lata (71%), osoby z wykształceniem średnim (75%) oraz mieszkańcy najmniejszych miejscowości do 20 tys. mieszkańców i największych miast powyżej 500 tys. mieszkańców (po 76%). W przypadku grupy wiekowej 45–54 lata różnice mają charakter istotny statystycznie, co potwierdza zróżnicowanie poziomu deklarowanej znajomości pojęcia w tym segmencie. Różnice pomiędzy kobietami i mężczyznami pozostają natomiast niewielkie i nie przekraczają kilku punktów procentowych.</w:t>
      </w:r>
    </w:p>
    <w:p w14:paraId="6F16BF41" w14:textId="6A348818" w:rsidR="00D5300E" w:rsidRPr="0028226B" w:rsidRDefault="58DD2C83" w:rsidP="00696C0B">
      <w:pPr>
        <w:spacing w:line="360" w:lineRule="auto"/>
        <w:rPr>
          <w:rFonts w:ascii="Arial" w:hAnsi="Arial" w:cs="Arial"/>
          <w:sz w:val="24"/>
          <w:szCs w:val="24"/>
        </w:rPr>
      </w:pPr>
      <w:r w:rsidRPr="0028226B">
        <w:rPr>
          <w:rFonts w:ascii="Arial" w:hAnsi="Arial" w:cs="Arial"/>
          <w:sz w:val="24"/>
          <w:szCs w:val="24"/>
        </w:rPr>
        <w:t xml:space="preserve">Deklaracje spotkania się z tymi określeniami, ale bez zrozumienia ich znaczenia, częściej pojawiają się w grupach o wykształceniu podstawowym i średnim (od 18% do 21%) oraz wśród mieszkańców wsi i mniejszych miejscowości. Jednocześnie odsetek osób, które nigdy nie zetknęły się z pojęciem Funduszy Europejskich, pozostaje niski w całej badanej populacji i waha się od około </w:t>
      </w:r>
      <w:r w:rsidR="00F5418A">
        <w:rPr>
          <w:rFonts w:ascii="Arial" w:hAnsi="Arial" w:cs="Arial"/>
          <w:sz w:val="24"/>
          <w:szCs w:val="24"/>
        </w:rPr>
        <w:t>2</w:t>
      </w:r>
      <w:r w:rsidRPr="0028226B">
        <w:rPr>
          <w:rFonts w:ascii="Arial" w:hAnsi="Arial" w:cs="Arial"/>
          <w:sz w:val="24"/>
          <w:szCs w:val="24"/>
        </w:rPr>
        <w:t xml:space="preserve">% do </w:t>
      </w:r>
      <w:r w:rsidR="00533047">
        <w:rPr>
          <w:rFonts w:ascii="Arial" w:hAnsi="Arial" w:cs="Arial"/>
          <w:sz w:val="24"/>
          <w:szCs w:val="24"/>
        </w:rPr>
        <w:t>blisko 5</w:t>
      </w:r>
      <w:r w:rsidRPr="0028226B">
        <w:rPr>
          <w:rFonts w:ascii="Arial" w:hAnsi="Arial" w:cs="Arial"/>
          <w:sz w:val="24"/>
          <w:szCs w:val="24"/>
        </w:rPr>
        <w:t>%, przy czym najwyższe wartości obserwowane są wśród młodzieży 15–19 lat oraz osób z wykształceniem średnim. Deklaracje braku wiedzy lub trudności z udzieleniem odpowiedzi pojawiają się marginalnie, zwykle nie przekraczając 2% w żadnej kategorii.</w:t>
      </w:r>
    </w:p>
    <w:p w14:paraId="56B406BD" w14:textId="77777777" w:rsidR="00D5300E" w:rsidRPr="0028226B" w:rsidRDefault="58DD2C83" w:rsidP="00696C0B">
      <w:pPr>
        <w:spacing w:line="360" w:lineRule="auto"/>
        <w:rPr>
          <w:rFonts w:ascii="Arial" w:hAnsi="Arial" w:cs="Arial"/>
          <w:sz w:val="24"/>
          <w:szCs w:val="24"/>
        </w:rPr>
      </w:pPr>
      <w:r w:rsidRPr="0028226B">
        <w:rPr>
          <w:rFonts w:ascii="Arial" w:hAnsi="Arial" w:cs="Arial"/>
          <w:sz w:val="24"/>
          <w:szCs w:val="24"/>
        </w:rPr>
        <w:t>Zestawienie wyników wskazuje, że świadomość pojęcia Funduszy Europejskich jest powszechna w całej populacji, a różnice pomiędzy grupami demograficznymi dotyczą głównie stopnia deklarowanego zrozumienia, które rośnie wraz z wykształceniem i wielkością miejsca zamieszkania. Wskazuje to na utrwalony charakter znajomości tego zagadnienia w społeczeństwie, przy jednoczesnej potrzebie wzmacniania wiedzy definicyjnej wśród osób starszych, słabiej wykształconych oraz mieszkańców mniejszych miejscowości.</w:t>
      </w:r>
    </w:p>
    <w:p w14:paraId="36FA54F7" w14:textId="25372684" w:rsidR="00D5300E" w:rsidRPr="0028226B" w:rsidRDefault="00D5300E" w:rsidP="00D5300E">
      <w:pPr>
        <w:pStyle w:val="Legenda"/>
        <w:keepNext/>
        <w:rPr>
          <w:rFonts w:ascii="Arial" w:hAnsi="Arial" w:cs="Arial"/>
          <w:b/>
          <w:bCs/>
          <w:i w:val="0"/>
          <w:iCs w:val="0"/>
          <w:color w:val="auto"/>
          <w:sz w:val="24"/>
          <w:szCs w:val="24"/>
        </w:rPr>
      </w:pPr>
      <w:bookmarkStart w:id="16" w:name="_Toc219369233"/>
      <w:r w:rsidRPr="0028226B">
        <w:rPr>
          <w:rFonts w:ascii="Arial" w:hAnsi="Arial" w:cs="Arial"/>
          <w:b/>
          <w:bCs/>
          <w:i w:val="0"/>
          <w:iCs w:val="0"/>
          <w:color w:val="auto"/>
          <w:sz w:val="24"/>
          <w:szCs w:val="24"/>
        </w:rPr>
        <w:lastRenderedPageBreak/>
        <w:t xml:space="preserve">Wykres </w:t>
      </w:r>
      <w:r w:rsidRPr="0028226B">
        <w:rPr>
          <w:rFonts w:ascii="Arial" w:hAnsi="Arial" w:cs="Arial"/>
          <w:b/>
          <w:bCs/>
          <w:i w:val="0"/>
          <w:iCs w:val="0"/>
          <w:color w:val="auto"/>
          <w:sz w:val="24"/>
          <w:szCs w:val="24"/>
        </w:rPr>
        <w:fldChar w:fldCharType="begin"/>
      </w:r>
      <w:r w:rsidRPr="0028226B">
        <w:rPr>
          <w:rFonts w:ascii="Arial" w:hAnsi="Arial" w:cs="Arial"/>
          <w:b/>
          <w:bCs/>
          <w:i w:val="0"/>
          <w:iCs w:val="0"/>
          <w:color w:val="auto"/>
          <w:sz w:val="24"/>
          <w:szCs w:val="24"/>
        </w:rPr>
        <w:instrText xml:space="preserve"> SEQ Wykres \* ARABIC </w:instrText>
      </w:r>
      <w:r w:rsidRPr="0028226B">
        <w:rPr>
          <w:rFonts w:ascii="Arial" w:hAnsi="Arial" w:cs="Arial"/>
          <w:b/>
          <w:bCs/>
          <w:i w:val="0"/>
          <w:iCs w:val="0"/>
          <w:color w:val="auto"/>
          <w:sz w:val="24"/>
          <w:szCs w:val="24"/>
        </w:rPr>
        <w:fldChar w:fldCharType="separate"/>
      </w:r>
      <w:r w:rsidR="0055789E">
        <w:rPr>
          <w:rFonts w:ascii="Arial" w:hAnsi="Arial" w:cs="Arial"/>
          <w:b/>
          <w:bCs/>
          <w:i w:val="0"/>
          <w:iCs w:val="0"/>
          <w:noProof/>
          <w:color w:val="auto"/>
          <w:sz w:val="24"/>
          <w:szCs w:val="24"/>
        </w:rPr>
        <w:t>7</w:t>
      </w:r>
      <w:r w:rsidRPr="0028226B">
        <w:rPr>
          <w:rFonts w:ascii="Arial" w:hAnsi="Arial" w:cs="Arial"/>
          <w:b/>
          <w:bCs/>
          <w:i w:val="0"/>
          <w:iCs w:val="0"/>
          <w:color w:val="auto"/>
          <w:sz w:val="24"/>
          <w:szCs w:val="24"/>
        </w:rPr>
        <w:fldChar w:fldCharType="end"/>
      </w:r>
      <w:r w:rsidRPr="0028226B">
        <w:rPr>
          <w:rFonts w:ascii="Arial" w:hAnsi="Arial" w:cs="Arial"/>
          <w:b/>
          <w:bCs/>
          <w:i w:val="0"/>
          <w:iCs w:val="0"/>
          <w:color w:val="auto"/>
          <w:sz w:val="24"/>
          <w:szCs w:val="24"/>
        </w:rPr>
        <w:t xml:space="preserve">. </w:t>
      </w:r>
      <w:r w:rsidR="000C705B" w:rsidRPr="0028226B">
        <w:rPr>
          <w:rFonts w:ascii="Arial" w:hAnsi="Arial" w:cs="Arial"/>
          <w:b/>
          <w:bCs/>
          <w:i w:val="0"/>
          <w:iCs w:val="0"/>
          <w:color w:val="auto"/>
          <w:sz w:val="24"/>
          <w:szCs w:val="24"/>
        </w:rPr>
        <w:t>P4. Czy spotkał(a) się Pan(i) z określeniami „Fundusze Europejskie” lub „Fundusze Unijne”?</w:t>
      </w:r>
      <w:r w:rsidR="00E05FAD">
        <w:rPr>
          <w:rFonts w:ascii="Arial" w:hAnsi="Arial" w:cs="Arial"/>
          <w:b/>
          <w:bCs/>
          <w:i w:val="0"/>
          <w:iCs w:val="0"/>
          <w:color w:val="auto"/>
          <w:sz w:val="24"/>
          <w:szCs w:val="24"/>
        </w:rPr>
        <w:t xml:space="preserve"> </w:t>
      </w:r>
      <w:r w:rsidRPr="0028226B">
        <w:rPr>
          <w:rFonts w:ascii="Arial" w:hAnsi="Arial" w:cs="Arial"/>
          <w:b/>
          <w:bCs/>
          <w:i w:val="0"/>
          <w:iCs w:val="0"/>
          <w:color w:val="auto"/>
          <w:sz w:val="24"/>
          <w:szCs w:val="24"/>
        </w:rPr>
        <w:t>według cech demograficznych</w:t>
      </w:r>
      <w:bookmarkEnd w:id="16"/>
    </w:p>
    <w:p w14:paraId="153AE315" w14:textId="4E9F0DAA" w:rsidR="00D5300E" w:rsidRPr="0028226B" w:rsidRDefault="00D5300E" w:rsidP="00942EFE">
      <w:pPr>
        <w:spacing w:after="0"/>
        <w:rPr>
          <w:rFonts w:ascii="Arial" w:hAnsi="Arial" w:cs="Arial"/>
          <w:sz w:val="24"/>
          <w:szCs w:val="24"/>
        </w:rPr>
      </w:pPr>
      <w:r w:rsidRPr="0028226B">
        <w:rPr>
          <w:rFonts w:ascii="Arial" w:hAnsi="Arial" w:cs="Arial"/>
          <w:noProof/>
          <w:sz w:val="24"/>
          <w:szCs w:val="24"/>
        </w:rPr>
        <w:drawing>
          <wp:inline distT="0" distB="0" distL="0" distR="0" wp14:anchorId="46DC222D" wp14:editId="0E35BB3A">
            <wp:extent cx="5486400" cy="6191250"/>
            <wp:effectExtent l="0" t="0" r="0" b="0"/>
            <wp:docPr id="2114481446" name="Wykres 4" descr="Wykres pokazuje odpowiedzi na pytanie „Czy spotkał(a) się Pan(i) z określeniami ‘Fundusze Europejskie’ lub ‘Fundusze Unijne’?” w podziale na płeć, wiek, wykształcenie i wielkość miejscowości zamieszkania. Wyniki przedstawiono w czterech kategoriach: „tak, spotkałem(am) się i wiem, co one oznaczają”, „tak, spotkałem(am) się, ale nie wiem, co oznaczają”, „nie, nigdy nie spotkałem(am) się z tymi określeniami”, „nie wiem/trudno powiedzieć”.&#10;&#10;Ogółem: 76,8% – zna i rozumie pojęcia; 18,8% – zna, ale nie rozumie; 2,9% – nigdy się nie spotkało; 1,5% – nie wie.&#10;&#10;Płeć: kobiety – 78,4% zna i rozumie, 16,8% zna, ale nie rozumie, 4,0% nie spotkało, 0,8% nie wie.&#10;Mężczyźni – 75,3% zna i rozumie, 20,7% zna, ale nie rozumie, 2,9% nie spotkało, 1,1% nie wie.&#10;&#10;Wiek:&#10;15–19 lat – 79,0% zna i rozumie; 16,1% zna, ale nie rozumie; 4,0% nie spotkało; 0,8% nie wie.&#10;20–24 lata – 83,6%; 16,4%; 0,0%; 0,0%.&#10;25–34 lata – 83,1%; 12,3%; 3,2%; 1,3%.&#10;35–44 lata – 76,0%; 18,1%; 3,9%; 2,0%.&#10;45–54 lata – 70,5%; 26,0%; 1,4%; 2,1%.&#10;55–64 lata – 78,6%; 18,3%; 1,5%; 1,5%.&#10;65+ – 73,9%; 20,7%; 3,7%; 1,7%.&#10;&#10;Wykształcenie:&#10;Wyższe – 80,4% zna i rozumie; 17,1% zna, ale nie rozumie; 1,5% nie spotkało; 1,1% nie wie.&#10;Średnie – 74,8%; 18,4%; 4,2%; 2,5%.&#10;Zawodowe – 76,2%; 20,2%; 2,4%; 1,2%.&#10;Podstawowe – 75,6%; 21,1%; 3,0%; 0,3%.&#10;&#10;Wielkość miejscowości:&#10;Wieś – 75,1% zna i rozumie; 20,6% zna, ale nie rozumie; 2,5% nie spotkało; 1,8% nie wie.&#10;Miasta do 20 tys. – 75,8%; 19,5%; 3,9%; 0,8%.&#10;20–49 tys. – 75,2%; 21,4%; 1,7%; 1,7%.&#10;50–199 tys. – 80,7%; 14,7%; 4,0%; 0,7%.&#10;200–499 tys. – 82,6%; 13,5%; 1,6%; 2,3%.&#10;Powyżej 500 tys. – 75,8%; 20,0%; 2,5%;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78F542D3" w14:textId="507445C7" w:rsidR="00D5300E" w:rsidRPr="00672A70" w:rsidRDefault="00D5300E" w:rsidP="00D5300E">
      <w:pPr>
        <w:rPr>
          <w:rFonts w:ascii="Arial" w:hAnsi="Arial" w:cs="Arial"/>
          <w:sz w:val="24"/>
          <w:szCs w:val="24"/>
        </w:rPr>
      </w:pPr>
      <w:r w:rsidRPr="00672A70">
        <w:rPr>
          <w:rFonts w:ascii="Arial" w:hAnsi="Arial" w:cs="Arial"/>
          <w:sz w:val="24"/>
          <w:szCs w:val="24"/>
        </w:rPr>
        <w:t>Źródło: Opracowano na podstawie badania CAPI</w:t>
      </w:r>
      <w:r w:rsidR="003E4169">
        <w:rPr>
          <w:rFonts w:ascii="Arial" w:hAnsi="Arial" w:cs="Arial"/>
          <w:sz w:val="24"/>
          <w:szCs w:val="24"/>
        </w:rPr>
        <w:t>;</w:t>
      </w:r>
      <w:r w:rsidR="00F32CB4">
        <w:rPr>
          <w:rFonts w:ascii="Arial" w:hAnsi="Arial" w:cs="Arial"/>
          <w:sz w:val="24"/>
          <w:szCs w:val="24"/>
        </w:rPr>
        <w:t xml:space="preserve"> </w:t>
      </w:r>
      <w:r w:rsidR="003E4169">
        <w:rPr>
          <w:rFonts w:ascii="Arial" w:hAnsi="Arial" w:cs="Arial"/>
          <w:sz w:val="24"/>
          <w:szCs w:val="24"/>
        </w:rPr>
        <w:t>odpowiadający: wszyscy respondenci</w:t>
      </w:r>
    </w:p>
    <w:p w14:paraId="23F1F79C" w14:textId="3B01B7BC" w:rsidR="00D17451" w:rsidRPr="0028226B" w:rsidRDefault="126F0041" w:rsidP="00696C0B">
      <w:pPr>
        <w:spacing w:line="360" w:lineRule="auto"/>
        <w:rPr>
          <w:rFonts w:ascii="Arial" w:hAnsi="Arial" w:cs="Arial"/>
          <w:sz w:val="24"/>
          <w:szCs w:val="24"/>
        </w:rPr>
      </w:pPr>
      <w:r w:rsidRPr="0028226B">
        <w:rPr>
          <w:rFonts w:ascii="Arial" w:hAnsi="Arial" w:cs="Arial"/>
          <w:sz w:val="24"/>
          <w:szCs w:val="24"/>
        </w:rPr>
        <w:t xml:space="preserve">W odpowiedziach na pytanie o to, czym są Fundusze Europejskie, dominują skojarzenia związane z szeroko rozumianą pomocą finansową dla kraju. Najczęściej wskazywana kategoria to ogólnie pojmowane wsparcie finansowe, środki Unii Europejskiej oraz fundusze na rozwój kraju, którą wymieniło 31% badanych. Kolejne grupy odpowiedzi odnoszą się do konkretnych obszarów, w których środki unijne są wykorzystywane. Na rozwój rolnictwa wskazało </w:t>
      </w:r>
      <w:r w:rsidR="00AE75FE">
        <w:rPr>
          <w:rFonts w:ascii="Arial" w:hAnsi="Arial" w:cs="Arial"/>
          <w:sz w:val="24"/>
          <w:szCs w:val="24"/>
        </w:rPr>
        <w:t>8</w:t>
      </w:r>
      <w:r w:rsidRPr="0028226B">
        <w:rPr>
          <w:rFonts w:ascii="Arial" w:hAnsi="Arial" w:cs="Arial"/>
          <w:sz w:val="24"/>
          <w:szCs w:val="24"/>
        </w:rPr>
        <w:t xml:space="preserve">% respondentów, a na wsparcie w </w:t>
      </w:r>
      <w:r w:rsidRPr="0028226B">
        <w:rPr>
          <w:rFonts w:ascii="Arial" w:hAnsi="Arial" w:cs="Arial"/>
          <w:sz w:val="24"/>
          <w:szCs w:val="24"/>
        </w:rPr>
        <w:lastRenderedPageBreak/>
        <w:t>sferze społecznej – 7%. Stosunkowo często pojawiały się również skojarzenia z regionami (5%), budownictwem (5%), czy po prostu z pieniędzmi (</w:t>
      </w:r>
      <w:r w:rsidR="00AE75FE">
        <w:rPr>
          <w:rFonts w:ascii="Arial" w:hAnsi="Arial" w:cs="Arial"/>
          <w:sz w:val="24"/>
          <w:szCs w:val="24"/>
        </w:rPr>
        <w:t>9</w:t>
      </w:r>
      <w:r w:rsidRPr="0028226B">
        <w:rPr>
          <w:rFonts w:ascii="Arial" w:hAnsi="Arial" w:cs="Arial"/>
          <w:sz w:val="24"/>
          <w:szCs w:val="24"/>
        </w:rPr>
        <w:t>%).</w:t>
      </w:r>
    </w:p>
    <w:p w14:paraId="14B4E8ED" w14:textId="77777777" w:rsidR="00D17451" w:rsidRPr="0028226B" w:rsidRDefault="126F0041" w:rsidP="00696C0B">
      <w:pPr>
        <w:spacing w:line="360" w:lineRule="auto"/>
        <w:rPr>
          <w:rFonts w:ascii="Arial" w:hAnsi="Arial" w:cs="Arial"/>
          <w:sz w:val="24"/>
          <w:szCs w:val="24"/>
        </w:rPr>
      </w:pPr>
      <w:r w:rsidRPr="0028226B">
        <w:rPr>
          <w:rFonts w:ascii="Arial" w:hAnsi="Arial" w:cs="Arial"/>
          <w:sz w:val="24"/>
          <w:szCs w:val="24"/>
        </w:rPr>
        <w:t>Około 4–5% badanych łączy Fundusze Europejskie z dotacjami na projekty i inwestycje, środkami na ochronę środowiska lub wsparciem przedsiębiorczości. Pojedyncze osoby wskazywały na wsparcie związane z pandemią COVID-19, pożyczki czy ogólne korzyści wynikające z finansowania unijnego. Skojarzenia o charakterze instytucjonalnym, takie jak wspólne pieniądze krajów członkowskich czy wyrównywanie różnic w poziomie życia mieszkańców UE, pojawiały się rzadziej i dotyczyły około 3% wskazań.</w:t>
      </w:r>
    </w:p>
    <w:p w14:paraId="7B5889FC" w14:textId="77777777" w:rsidR="00D17451" w:rsidRDefault="126F0041" w:rsidP="00696C0B">
      <w:pPr>
        <w:spacing w:line="360" w:lineRule="auto"/>
        <w:rPr>
          <w:rFonts w:ascii="Arial" w:hAnsi="Arial" w:cs="Arial"/>
          <w:sz w:val="24"/>
          <w:szCs w:val="24"/>
        </w:rPr>
      </w:pPr>
      <w:r w:rsidRPr="0028226B">
        <w:rPr>
          <w:rFonts w:ascii="Arial" w:hAnsi="Arial" w:cs="Arial"/>
          <w:sz w:val="24"/>
          <w:szCs w:val="24"/>
        </w:rPr>
        <w:t>Odpowiedzi te pokazują, że dla części społeczeństwa Fundusze Europejskie funkcjonują jako pojęcie szerokie, silnie powiązane głównie z finansowym wsparciem rozwoju – zarówno na poziomie ogólnokrajowym, jak i w kontekście konkretnych sektorów gospodarki i życia społecznego.</w:t>
      </w:r>
    </w:p>
    <w:p w14:paraId="09001865" w14:textId="24605DA0" w:rsidR="00004275" w:rsidRPr="0028226B" w:rsidRDefault="00004275" w:rsidP="00696C0B">
      <w:pPr>
        <w:spacing w:line="360" w:lineRule="auto"/>
        <w:rPr>
          <w:rFonts w:ascii="Arial" w:hAnsi="Arial" w:cs="Arial"/>
          <w:sz w:val="24"/>
          <w:szCs w:val="24"/>
        </w:rPr>
      </w:pPr>
      <w:r w:rsidRPr="00004275">
        <w:rPr>
          <w:rFonts w:ascii="Arial" w:hAnsi="Arial" w:cs="Arial"/>
          <w:sz w:val="24"/>
          <w:szCs w:val="24"/>
        </w:rPr>
        <w:t>Analiza skojarzeń związanych z Funduszami Europejskimi wskazuje na różnice odpowiedzi pomiędzy kobietami i mężczyznami. Wśród kobiet częściej niż wśród mężczyzn pojawia się skojarzenie Funduszy Europejskich ze środkami na rozwój rolnictwa (10% wobec 6%).</w:t>
      </w:r>
    </w:p>
    <w:p w14:paraId="7605AD0D" w14:textId="5DF4A852" w:rsidR="00D17451" w:rsidRPr="0028226B" w:rsidRDefault="126F0041" w:rsidP="00696C0B">
      <w:pPr>
        <w:spacing w:line="360" w:lineRule="auto"/>
        <w:rPr>
          <w:rFonts w:ascii="Arial" w:hAnsi="Arial" w:cs="Arial"/>
          <w:sz w:val="24"/>
          <w:szCs w:val="24"/>
        </w:rPr>
      </w:pPr>
      <w:r w:rsidRPr="0028226B">
        <w:rPr>
          <w:rFonts w:ascii="Arial" w:hAnsi="Arial" w:cs="Arial"/>
          <w:sz w:val="24"/>
          <w:szCs w:val="24"/>
        </w:rPr>
        <w:t xml:space="preserve">Różnice są bardziej widoczne w grupach wieku. Najmłodsi respondenci (15–19 lat) i osoby w wieku 45–54 lata najczęściej ze wszystkich wskazują ogólną pomoc finansową (odpowiednio 38% i 44%), podczas gdy </w:t>
      </w:r>
      <w:r w:rsidR="724022D8" w:rsidRPr="0028226B">
        <w:rPr>
          <w:rFonts w:ascii="Arial" w:hAnsi="Arial" w:cs="Arial"/>
          <w:sz w:val="24"/>
          <w:szCs w:val="24"/>
        </w:rPr>
        <w:t xml:space="preserve">najrzadziej </w:t>
      </w:r>
      <w:r w:rsidRPr="0028226B">
        <w:rPr>
          <w:rFonts w:ascii="Arial" w:hAnsi="Arial" w:cs="Arial"/>
          <w:sz w:val="24"/>
          <w:szCs w:val="24"/>
        </w:rPr>
        <w:t>robią to osoby w wieku 20–24 lata (25%). Wsparcie przedsiębiorczości częściej pojawia się w odpowiedziach osób w wieku 55–64 lata (</w:t>
      </w:r>
      <w:r w:rsidR="005B39F7">
        <w:rPr>
          <w:rFonts w:ascii="Arial" w:hAnsi="Arial" w:cs="Arial"/>
          <w:sz w:val="24"/>
          <w:szCs w:val="24"/>
        </w:rPr>
        <w:t>7</w:t>
      </w:r>
      <w:r w:rsidRPr="0028226B">
        <w:rPr>
          <w:rFonts w:ascii="Arial" w:hAnsi="Arial" w:cs="Arial"/>
          <w:sz w:val="24"/>
          <w:szCs w:val="24"/>
        </w:rPr>
        <w:t>%), a rzadziej wśród osób młodych (1% w wieku 25–34 lata). Wskazania dotyczące pieniędzy najczęściej pojawiają się w grupach 45–54 lata (1</w:t>
      </w:r>
      <w:r w:rsidR="005B39F7">
        <w:rPr>
          <w:rFonts w:ascii="Arial" w:hAnsi="Arial" w:cs="Arial"/>
          <w:sz w:val="24"/>
          <w:szCs w:val="24"/>
        </w:rPr>
        <w:t>1</w:t>
      </w:r>
      <w:r w:rsidRPr="0028226B">
        <w:rPr>
          <w:rFonts w:ascii="Arial" w:hAnsi="Arial" w:cs="Arial"/>
          <w:sz w:val="24"/>
          <w:szCs w:val="24"/>
        </w:rPr>
        <w:t>%) oraz 65 i więcej (1</w:t>
      </w:r>
      <w:r w:rsidR="005B39F7">
        <w:rPr>
          <w:rFonts w:ascii="Arial" w:hAnsi="Arial" w:cs="Arial"/>
          <w:sz w:val="24"/>
          <w:szCs w:val="24"/>
        </w:rPr>
        <w:t>2</w:t>
      </w:r>
      <w:r w:rsidRPr="0028226B">
        <w:rPr>
          <w:rFonts w:ascii="Arial" w:hAnsi="Arial" w:cs="Arial"/>
          <w:sz w:val="24"/>
          <w:szCs w:val="24"/>
        </w:rPr>
        <w:t>%). Z kolei skojarzenia związane z pandemią COVID-19 pojawiają się głównie wśród starszych badanych, szczególnie w grupie 65+ (6%).</w:t>
      </w:r>
    </w:p>
    <w:p w14:paraId="52CCBA9E" w14:textId="1427E6FF" w:rsidR="00D17451" w:rsidRPr="0028226B" w:rsidRDefault="126F0041" w:rsidP="00696C0B">
      <w:pPr>
        <w:spacing w:line="360" w:lineRule="auto"/>
        <w:rPr>
          <w:rFonts w:ascii="Arial" w:hAnsi="Arial" w:cs="Arial"/>
          <w:sz w:val="24"/>
          <w:szCs w:val="24"/>
        </w:rPr>
      </w:pPr>
      <w:r w:rsidRPr="0028226B">
        <w:rPr>
          <w:rFonts w:ascii="Arial" w:hAnsi="Arial" w:cs="Arial"/>
          <w:sz w:val="24"/>
          <w:szCs w:val="24"/>
        </w:rPr>
        <w:t>W zależności od poziomu wykształcenia zróżnicowanie dotyczy przede wszystkim skojarzeń o charakterze sektorowym. Osoby z wykształceniem podstawowym częściej niż inni łączą Fundusze Europejskie ze wsparciem rolnictwa (11%) oraz ze środkami społecznymi (1</w:t>
      </w:r>
      <w:r w:rsidR="005B39F7">
        <w:rPr>
          <w:rFonts w:ascii="Arial" w:hAnsi="Arial" w:cs="Arial"/>
          <w:sz w:val="24"/>
          <w:szCs w:val="24"/>
        </w:rPr>
        <w:t>3</w:t>
      </w:r>
      <w:r w:rsidRPr="0028226B">
        <w:rPr>
          <w:rFonts w:ascii="Arial" w:hAnsi="Arial" w:cs="Arial"/>
          <w:sz w:val="24"/>
          <w:szCs w:val="24"/>
        </w:rPr>
        <w:t>%). Wśród osób z wykształceniem wyższym</w:t>
      </w:r>
      <w:r w:rsidR="49191428" w:rsidRPr="0028226B">
        <w:rPr>
          <w:rFonts w:ascii="Arial" w:hAnsi="Arial" w:cs="Arial"/>
          <w:sz w:val="24"/>
          <w:szCs w:val="24"/>
        </w:rPr>
        <w:t>,</w:t>
      </w:r>
      <w:r w:rsidRPr="0028226B">
        <w:rPr>
          <w:rFonts w:ascii="Arial" w:hAnsi="Arial" w:cs="Arial"/>
          <w:sz w:val="24"/>
          <w:szCs w:val="24"/>
        </w:rPr>
        <w:t xml:space="preserve"> wyższy jest odsetek wskazań dotyczących wspólnych pieniędzy krajów UE (5%) oraz funduszy </w:t>
      </w:r>
      <w:r w:rsidRPr="0028226B">
        <w:rPr>
          <w:rFonts w:ascii="Arial" w:hAnsi="Arial" w:cs="Arial"/>
          <w:sz w:val="24"/>
          <w:szCs w:val="24"/>
        </w:rPr>
        <w:lastRenderedPageBreak/>
        <w:t>związanych z budownictwem (</w:t>
      </w:r>
      <w:r w:rsidR="005B39F7">
        <w:rPr>
          <w:rFonts w:ascii="Arial" w:hAnsi="Arial" w:cs="Arial"/>
          <w:sz w:val="24"/>
          <w:szCs w:val="24"/>
        </w:rPr>
        <w:t>7</w:t>
      </w:r>
      <w:r w:rsidRPr="0028226B">
        <w:rPr>
          <w:rFonts w:ascii="Arial" w:hAnsi="Arial" w:cs="Arial"/>
          <w:sz w:val="24"/>
          <w:szCs w:val="24"/>
        </w:rPr>
        <w:t xml:space="preserve">%). Z kolei kategoria pieniędzy najczęściej pojawia się wśród osób o wykształceniu średnim i zawodowym (od 9% do </w:t>
      </w:r>
      <w:r w:rsidR="005B39F7">
        <w:rPr>
          <w:rFonts w:ascii="Arial" w:hAnsi="Arial" w:cs="Arial"/>
          <w:sz w:val="24"/>
          <w:szCs w:val="24"/>
        </w:rPr>
        <w:t>10</w:t>
      </w:r>
      <w:r w:rsidRPr="0028226B">
        <w:rPr>
          <w:rFonts w:ascii="Arial" w:hAnsi="Arial" w:cs="Arial"/>
          <w:sz w:val="24"/>
          <w:szCs w:val="24"/>
        </w:rPr>
        <w:t>%).</w:t>
      </w:r>
    </w:p>
    <w:p w14:paraId="132012A6" w14:textId="141AC9EA" w:rsidR="00D17451" w:rsidRPr="0028226B" w:rsidRDefault="126F0041" w:rsidP="00696C0B">
      <w:pPr>
        <w:spacing w:line="360" w:lineRule="auto"/>
        <w:rPr>
          <w:rFonts w:ascii="Arial" w:hAnsi="Arial" w:cs="Arial"/>
          <w:sz w:val="24"/>
          <w:szCs w:val="24"/>
        </w:rPr>
      </w:pPr>
      <w:r w:rsidRPr="0028226B">
        <w:rPr>
          <w:rFonts w:ascii="Arial" w:hAnsi="Arial" w:cs="Arial"/>
          <w:sz w:val="24"/>
          <w:szCs w:val="24"/>
        </w:rPr>
        <w:t xml:space="preserve">Największe różnice występują w zależności od wielkości miejsca zamieszkania. Mieszkańcy wsi najczęściej kojarzą Fundusze Europejskie z ogólną pomocą finansową (35%), podczas gdy w największych miastach odsetek ten jest niższy (24% w miastach 200–499 tys. mieszkańców). Wskazania dotyczące rolnictwa są najwyższe w miastach średnich (50–199 tys. – 12,4%; 200–499 tys. – 12%). Mieszkańcy wsi najczęściej spośród wszystkich grup wskazują także środki społeczne (9%) oraz kategorię pieniędzy (11%). Rozwój regionów i dotacje najczęściej pojawiają się w odpowiedziach osób z miast średnich i dużych, szczególnie powyżej 50 tys. mieszkańców (do 9% w przypadku rozwoju regionów i do </w:t>
      </w:r>
      <w:r w:rsidR="005B39F7">
        <w:rPr>
          <w:rFonts w:ascii="Arial" w:hAnsi="Arial" w:cs="Arial"/>
          <w:sz w:val="24"/>
          <w:szCs w:val="24"/>
        </w:rPr>
        <w:t>8</w:t>
      </w:r>
      <w:r w:rsidRPr="0028226B">
        <w:rPr>
          <w:rFonts w:ascii="Arial" w:hAnsi="Arial" w:cs="Arial"/>
          <w:sz w:val="24"/>
          <w:szCs w:val="24"/>
        </w:rPr>
        <w:t>% w przypadku dotacji).</w:t>
      </w:r>
    </w:p>
    <w:p w14:paraId="50781636" w14:textId="77777777" w:rsidR="00D17451" w:rsidRPr="0028226B" w:rsidRDefault="126F0041" w:rsidP="00696C0B">
      <w:pPr>
        <w:spacing w:line="360" w:lineRule="auto"/>
        <w:rPr>
          <w:rFonts w:ascii="Arial" w:hAnsi="Arial" w:cs="Arial"/>
          <w:sz w:val="24"/>
          <w:szCs w:val="24"/>
        </w:rPr>
      </w:pPr>
      <w:r w:rsidRPr="0028226B">
        <w:rPr>
          <w:rFonts w:ascii="Arial" w:hAnsi="Arial" w:cs="Arial"/>
          <w:sz w:val="24"/>
          <w:szCs w:val="24"/>
        </w:rPr>
        <w:t>Zebrane wyniki wskazują, że choć najczęściej wymieniane skojarzenia są stosunkowo podobne w całej populacji, to sposób rozumienia Funduszy Europejskich różni się między grupami w zależności od wieku, wykształcenia i wielkości miejsca zamieszkania, a w mniejszym stopniu – płci.</w:t>
      </w:r>
    </w:p>
    <w:p w14:paraId="3A8E5141" w14:textId="034CF231" w:rsidR="00D17451" w:rsidRPr="0028226B" w:rsidRDefault="126F0041" w:rsidP="00672A70">
      <w:pPr>
        <w:pStyle w:val="Legenda"/>
        <w:keepNext/>
        <w:spacing w:after="0"/>
        <w:rPr>
          <w:rFonts w:ascii="Arial" w:hAnsi="Arial" w:cs="Arial"/>
          <w:b/>
          <w:bCs/>
          <w:i w:val="0"/>
          <w:iCs w:val="0"/>
          <w:color w:val="auto"/>
          <w:sz w:val="24"/>
          <w:szCs w:val="24"/>
        </w:rPr>
      </w:pPr>
      <w:bookmarkStart w:id="17" w:name="_Toc219369234"/>
      <w:r w:rsidRPr="0028226B">
        <w:rPr>
          <w:rFonts w:ascii="Arial" w:hAnsi="Arial" w:cs="Arial"/>
          <w:b/>
          <w:bCs/>
          <w:i w:val="0"/>
          <w:iCs w:val="0"/>
          <w:color w:val="auto"/>
          <w:sz w:val="24"/>
          <w:szCs w:val="24"/>
        </w:rPr>
        <w:lastRenderedPageBreak/>
        <w:t xml:space="preserve">Wykres </w:t>
      </w:r>
      <w:r w:rsidR="00D17451" w:rsidRPr="0028226B">
        <w:rPr>
          <w:rFonts w:ascii="Arial" w:hAnsi="Arial" w:cs="Arial"/>
          <w:b/>
          <w:bCs/>
          <w:i w:val="0"/>
          <w:iCs w:val="0"/>
          <w:color w:val="auto"/>
          <w:sz w:val="24"/>
          <w:szCs w:val="24"/>
        </w:rPr>
        <w:fldChar w:fldCharType="begin"/>
      </w:r>
      <w:r w:rsidR="00D17451" w:rsidRPr="0028226B">
        <w:rPr>
          <w:rFonts w:ascii="Arial" w:hAnsi="Arial" w:cs="Arial"/>
          <w:b/>
          <w:bCs/>
          <w:i w:val="0"/>
          <w:iCs w:val="0"/>
          <w:color w:val="auto"/>
          <w:sz w:val="24"/>
          <w:szCs w:val="24"/>
        </w:rPr>
        <w:instrText xml:space="preserve"> SEQ Wykres \* ARABIC </w:instrText>
      </w:r>
      <w:r w:rsidR="00D17451" w:rsidRPr="0028226B">
        <w:rPr>
          <w:rFonts w:ascii="Arial" w:hAnsi="Arial" w:cs="Arial"/>
          <w:b/>
          <w:bCs/>
          <w:i w:val="0"/>
          <w:iCs w:val="0"/>
          <w:color w:val="auto"/>
          <w:sz w:val="24"/>
          <w:szCs w:val="24"/>
        </w:rPr>
        <w:fldChar w:fldCharType="separate"/>
      </w:r>
      <w:r w:rsidR="0055789E">
        <w:rPr>
          <w:rFonts w:ascii="Arial" w:hAnsi="Arial" w:cs="Arial"/>
          <w:b/>
          <w:bCs/>
          <w:i w:val="0"/>
          <w:iCs w:val="0"/>
          <w:noProof/>
          <w:color w:val="auto"/>
          <w:sz w:val="24"/>
          <w:szCs w:val="24"/>
        </w:rPr>
        <w:t>8</w:t>
      </w:r>
      <w:r w:rsidR="00D17451" w:rsidRPr="0028226B">
        <w:rPr>
          <w:rFonts w:ascii="Arial" w:hAnsi="Arial" w:cs="Arial"/>
          <w:b/>
          <w:bCs/>
          <w:i w:val="0"/>
          <w:iCs w:val="0"/>
          <w:color w:val="auto"/>
          <w:sz w:val="24"/>
          <w:szCs w:val="24"/>
        </w:rPr>
        <w:fldChar w:fldCharType="end"/>
      </w:r>
      <w:r w:rsidRPr="0028226B">
        <w:rPr>
          <w:rFonts w:ascii="Arial" w:hAnsi="Arial" w:cs="Arial"/>
          <w:b/>
          <w:bCs/>
          <w:i w:val="0"/>
          <w:iCs w:val="0"/>
          <w:color w:val="auto"/>
          <w:sz w:val="24"/>
          <w:szCs w:val="24"/>
        </w:rPr>
        <w:t xml:space="preserve">. </w:t>
      </w:r>
      <w:r w:rsidR="7707CF59" w:rsidRPr="0028226B">
        <w:rPr>
          <w:rFonts w:ascii="Arial" w:hAnsi="Arial" w:cs="Arial"/>
          <w:b/>
          <w:bCs/>
          <w:i w:val="0"/>
          <w:iCs w:val="0"/>
          <w:color w:val="auto"/>
          <w:sz w:val="24"/>
          <w:szCs w:val="24"/>
        </w:rPr>
        <w:t xml:space="preserve">P5. Czym Pana(i) zdaniem są Fundusze Europejskie? - </w:t>
      </w:r>
      <w:r w:rsidRPr="0028226B">
        <w:rPr>
          <w:rFonts w:ascii="Arial" w:hAnsi="Arial" w:cs="Arial"/>
          <w:b/>
          <w:bCs/>
          <w:i w:val="0"/>
          <w:iCs w:val="0"/>
          <w:color w:val="auto"/>
          <w:sz w:val="24"/>
          <w:szCs w:val="24"/>
        </w:rPr>
        <w:t>według najczęściej wymienianych kategorii (N=578)</w:t>
      </w:r>
      <w:bookmarkEnd w:id="17"/>
    </w:p>
    <w:p w14:paraId="2CF9994F" w14:textId="7E7B4024" w:rsidR="00D17451" w:rsidRPr="0028226B" w:rsidRDefault="00D17451" w:rsidP="00626A12">
      <w:pPr>
        <w:rPr>
          <w:rFonts w:ascii="Arial" w:hAnsi="Arial" w:cs="Arial"/>
          <w:sz w:val="24"/>
          <w:szCs w:val="24"/>
        </w:rPr>
      </w:pPr>
      <w:r w:rsidRPr="0028226B">
        <w:rPr>
          <w:rFonts w:ascii="Arial" w:hAnsi="Arial" w:cs="Arial"/>
          <w:noProof/>
          <w:sz w:val="24"/>
          <w:szCs w:val="24"/>
        </w:rPr>
        <w:drawing>
          <wp:inline distT="0" distB="0" distL="0" distR="0" wp14:anchorId="59589A1D" wp14:editId="42D2ACF2">
            <wp:extent cx="5836920" cy="7153275"/>
            <wp:effectExtent l="0" t="0" r="0" b="0"/>
            <wp:docPr id="675647910" name="Wykres 1" descr="Wykres przedstawia najczęściej wymieniane przez respondentów kategorie odpowiedzi na pytanie „Czym Pana(i) zdaniem są Fundusze Europejskie?” (N=578). Kategorie zaprezentowano w formie listy z odsetkami wskazań.&#10;&#10;Najczęściej wymieniana kategoria to: ogólnie pomoc finansowa, pomoc Unii Europejskiej, środki na rozwój kraju – 31,3%.&#10;&#10;Pozostałe wskazania to:&#10;– pieniądze – 8,8%;&#10;– środki na rozwój rolnictwa / dopłaty do rolnictwa – 7,8%;&#10;– środki na rozwój w sferze społecznej – 7,3%;&#10;– środki na rozwój regionów – 5,4%;&#10;– fundusze związane z budownictwem – 5,4%;&#10;– środki na ochronę środowiska – 4,7%;&#10;– dotacje na określony projekt, inwestycje – 4,7%;&#10;– wsparcie przedsiębiorczości – 4,2%;&#10;– pożyczka – 3,8%;&#10;– wspólne pieniądze krajów członkowskich – 3,5%;&#10;– fundusze na wyrównanie różnic w poziomie życia obywateli UE – 3,3%;&#10;– środki przeznaczone na wsparcie związane z pandemią COVID-19 – 2,8%;&#10;– wsparcie dla Polski – 2,4%;&#10;– fundusze celowe na różne dziedziny rozwoju kraju – 2,4%;&#10;– wsparcie gospodarki ogólnie – 2,2%;&#10;– przynoszą dobre korzyści (dobro, przyszłość, wsparcie) – 0,2%.&#10;&#10;Źródło: opracowano na podstawie badania CAPI."/>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3AFCFCD3" w14:textId="3208F71D" w:rsidR="00D17451" w:rsidRPr="00672A70" w:rsidRDefault="00D17451" w:rsidP="00D17451">
      <w:pPr>
        <w:rPr>
          <w:rFonts w:ascii="Arial" w:hAnsi="Arial" w:cs="Arial"/>
          <w:sz w:val="24"/>
          <w:szCs w:val="24"/>
        </w:rPr>
      </w:pPr>
      <w:r w:rsidRPr="00672A70">
        <w:rPr>
          <w:rFonts w:ascii="Arial" w:hAnsi="Arial" w:cs="Arial"/>
          <w:sz w:val="24"/>
          <w:szCs w:val="24"/>
        </w:rPr>
        <w:t xml:space="preserve">Źródło: Opracowano na podstawie badania </w:t>
      </w:r>
      <w:proofErr w:type="gramStart"/>
      <w:r w:rsidRPr="00672A70">
        <w:rPr>
          <w:rFonts w:ascii="Arial" w:hAnsi="Arial" w:cs="Arial"/>
          <w:sz w:val="24"/>
          <w:szCs w:val="24"/>
        </w:rPr>
        <w:t>CAPI</w:t>
      </w:r>
      <w:r w:rsidR="003E4169">
        <w:rPr>
          <w:rFonts w:ascii="Arial" w:hAnsi="Arial" w:cs="Arial"/>
          <w:sz w:val="24"/>
          <w:szCs w:val="24"/>
        </w:rPr>
        <w:t xml:space="preserve"> ;odpowiadający</w:t>
      </w:r>
      <w:proofErr w:type="gramEnd"/>
      <w:r w:rsidR="003E4169">
        <w:rPr>
          <w:rFonts w:ascii="Arial" w:hAnsi="Arial" w:cs="Arial"/>
          <w:sz w:val="24"/>
          <w:szCs w:val="24"/>
        </w:rPr>
        <w:t xml:space="preserve">: znający pojęcie Fundusze Europejskie </w:t>
      </w:r>
    </w:p>
    <w:p w14:paraId="7153E820" w14:textId="11EED75B" w:rsidR="00D17451" w:rsidRPr="0028226B" w:rsidRDefault="00CC5DEA" w:rsidP="00080581">
      <w:pPr>
        <w:pStyle w:val="Nagwek1"/>
        <w:shd w:val="clear" w:color="auto" w:fill="061A3D"/>
        <w:rPr>
          <w:rFonts w:ascii="Arial" w:hAnsi="Arial" w:cs="Arial"/>
          <w:b/>
          <w:bCs/>
          <w:color w:val="FFFFFF" w:themeColor="background1"/>
          <w:sz w:val="24"/>
          <w:szCs w:val="24"/>
        </w:rPr>
      </w:pPr>
      <w:bookmarkStart w:id="18" w:name="_Toc219375240"/>
      <w:r w:rsidRPr="0028226B">
        <w:rPr>
          <w:rFonts w:ascii="Arial" w:hAnsi="Arial" w:cs="Arial"/>
          <w:b/>
          <w:bCs/>
          <w:color w:val="FFFFFF" w:themeColor="background1"/>
          <w:sz w:val="24"/>
          <w:szCs w:val="24"/>
        </w:rPr>
        <w:lastRenderedPageBreak/>
        <w:t>Zainteresowanie i poziom wiedzy o Funduszach Europejskich</w:t>
      </w:r>
      <w:bookmarkEnd w:id="18"/>
    </w:p>
    <w:p w14:paraId="7DFC5398" w14:textId="2E4B9929" w:rsidR="00CC5DEA" w:rsidRPr="0028226B" w:rsidRDefault="1A5C880C" w:rsidP="00696C0B">
      <w:pPr>
        <w:spacing w:before="240" w:line="360" w:lineRule="auto"/>
        <w:rPr>
          <w:rFonts w:ascii="Arial" w:hAnsi="Arial" w:cs="Arial"/>
          <w:sz w:val="24"/>
          <w:szCs w:val="24"/>
        </w:rPr>
      </w:pPr>
      <w:r w:rsidRPr="0028226B">
        <w:rPr>
          <w:rFonts w:ascii="Arial" w:hAnsi="Arial" w:cs="Arial"/>
          <w:sz w:val="24"/>
          <w:szCs w:val="24"/>
        </w:rPr>
        <w:t xml:space="preserve">Poziom zainteresowania tematyką Funduszy Europejskich w 2025 roku osiągnął najwyższą wartość w całym analizowanym </w:t>
      </w:r>
      <w:r w:rsidR="70EEE157" w:rsidRPr="0028226B">
        <w:rPr>
          <w:rFonts w:ascii="Arial" w:hAnsi="Arial" w:cs="Arial"/>
          <w:sz w:val="24"/>
          <w:szCs w:val="24"/>
        </w:rPr>
        <w:t>okresie</w:t>
      </w:r>
      <w:r w:rsidR="77982A7E" w:rsidRPr="0028226B">
        <w:rPr>
          <w:rFonts w:ascii="Arial" w:hAnsi="Arial" w:cs="Arial"/>
          <w:sz w:val="24"/>
          <w:szCs w:val="24"/>
        </w:rPr>
        <w:t xml:space="preserve"> (2016-2025)</w:t>
      </w:r>
      <w:r w:rsidRPr="0028226B">
        <w:rPr>
          <w:rFonts w:ascii="Arial" w:hAnsi="Arial" w:cs="Arial"/>
          <w:sz w:val="24"/>
          <w:szCs w:val="24"/>
        </w:rPr>
        <w:t xml:space="preserve"> i wyniósł 80%. Jest to bardzo wyraźny wzrost względem roku 2023, w którym zainteresowanie deklarowało 64%. Oznacza to wzrost o 16 punktów procentowych i wskazuje na wyraźne umocnienie pozytywnego nastawienia do tematyki funduszy.</w:t>
      </w:r>
    </w:p>
    <w:p w14:paraId="541FFA8F" w14:textId="77777777" w:rsidR="00CC5DEA" w:rsidRPr="0028226B" w:rsidRDefault="1A5C880C" w:rsidP="00696C0B">
      <w:pPr>
        <w:spacing w:line="360" w:lineRule="auto"/>
        <w:rPr>
          <w:rFonts w:ascii="Arial" w:hAnsi="Arial" w:cs="Arial"/>
          <w:sz w:val="24"/>
          <w:szCs w:val="24"/>
        </w:rPr>
      </w:pPr>
      <w:r w:rsidRPr="0028226B">
        <w:rPr>
          <w:rFonts w:ascii="Arial" w:hAnsi="Arial" w:cs="Arial"/>
          <w:sz w:val="24"/>
          <w:szCs w:val="24"/>
        </w:rPr>
        <w:t>Analiza wcześniejszych lat pokazuje, że zainteresowanie Funduszami Europejskimi było zmienne i utrzymywało się na poziomie umiarkowanym. W latach 2016–2023 wartości wahały się najczęściej między 35% a 51%. Najniższy poziom odnotowano w roku 2019 (35%), natomiast umiarkowane wzrosty występowały w latach 2020 i 2021 (odpowiednio 42% i 51%).</w:t>
      </w:r>
    </w:p>
    <w:p w14:paraId="69DC2207" w14:textId="11F945DF" w:rsidR="00CC5DEA" w:rsidRPr="0028226B" w:rsidRDefault="1A5C880C" w:rsidP="00696C0B">
      <w:pPr>
        <w:spacing w:line="360" w:lineRule="auto"/>
        <w:rPr>
          <w:rFonts w:ascii="Arial" w:hAnsi="Arial" w:cs="Arial"/>
          <w:sz w:val="24"/>
          <w:szCs w:val="24"/>
        </w:rPr>
      </w:pPr>
      <w:r w:rsidRPr="0028226B">
        <w:rPr>
          <w:rFonts w:ascii="Arial" w:hAnsi="Arial" w:cs="Arial"/>
          <w:sz w:val="24"/>
          <w:szCs w:val="24"/>
        </w:rPr>
        <w:t xml:space="preserve">W 2025 roku odsetek odpowiedzi negatywnych spadł do 20%, co jest najniższą wartością w całym </w:t>
      </w:r>
      <w:r w:rsidR="70EEE157" w:rsidRPr="0028226B">
        <w:rPr>
          <w:rFonts w:ascii="Arial" w:hAnsi="Arial" w:cs="Arial"/>
          <w:sz w:val="24"/>
          <w:szCs w:val="24"/>
        </w:rPr>
        <w:t>analizowanym okresie 2016-2025</w:t>
      </w:r>
      <w:r w:rsidRPr="0028226B">
        <w:rPr>
          <w:rFonts w:ascii="Arial" w:hAnsi="Arial" w:cs="Arial"/>
          <w:sz w:val="24"/>
          <w:szCs w:val="24"/>
        </w:rPr>
        <w:t>. W latach 2019–2022 wartości te były wyraźnie wyższe – od 58% do 65%. Rok 2023 przyniósł już poprawę (36%), jednak dopiero wyniki z 2025 roku całkowicie odwróciły wcześniejszą tendencję.</w:t>
      </w:r>
    </w:p>
    <w:p w14:paraId="3D125DD4" w14:textId="544D4AF0" w:rsidR="00CC5DEA" w:rsidRPr="0028226B" w:rsidRDefault="1A5C880C" w:rsidP="00696C0B">
      <w:pPr>
        <w:spacing w:line="360" w:lineRule="auto"/>
        <w:rPr>
          <w:rFonts w:ascii="Arial" w:hAnsi="Arial" w:cs="Arial"/>
          <w:sz w:val="24"/>
          <w:szCs w:val="24"/>
        </w:rPr>
      </w:pPr>
      <w:r w:rsidRPr="0028226B">
        <w:rPr>
          <w:rFonts w:ascii="Arial" w:hAnsi="Arial" w:cs="Arial"/>
          <w:sz w:val="24"/>
          <w:szCs w:val="24"/>
        </w:rPr>
        <w:t>Zestawienie danych z dziewięciu lat pokazuje, że 2025 rok jest momentem przełomowym: po raz pierwszy zainteresowanie Funduszami Europejskimi osiągnęło bardzo wysoki poziom</w:t>
      </w:r>
      <w:r w:rsidR="513FF7B1" w:rsidRPr="0028226B">
        <w:rPr>
          <w:rFonts w:ascii="Arial" w:hAnsi="Arial" w:cs="Arial"/>
          <w:sz w:val="24"/>
          <w:szCs w:val="24"/>
        </w:rPr>
        <w:t xml:space="preserve"> 80%</w:t>
      </w:r>
      <w:r w:rsidRPr="0028226B">
        <w:rPr>
          <w:rFonts w:ascii="Arial" w:hAnsi="Arial" w:cs="Arial"/>
          <w:sz w:val="24"/>
          <w:szCs w:val="24"/>
        </w:rPr>
        <w:t>, wyraźnie przewyższając wyniki z poprzednich edycji. Układ danych świadczy o zmianie nastawienia respondentów oraz wzroście deklarowanego zainteresowania tematyką unijną.</w:t>
      </w:r>
    </w:p>
    <w:p w14:paraId="20F954E8" w14:textId="62C0C67C" w:rsidR="00095403" w:rsidRPr="0028226B" w:rsidRDefault="22104150" w:rsidP="00696C0B">
      <w:pPr>
        <w:spacing w:line="360" w:lineRule="auto"/>
        <w:rPr>
          <w:rFonts w:ascii="Arial" w:hAnsi="Arial" w:cs="Arial"/>
          <w:sz w:val="24"/>
          <w:szCs w:val="24"/>
        </w:rPr>
      </w:pPr>
      <w:r w:rsidRPr="0028226B">
        <w:rPr>
          <w:rFonts w:ascii="Arial" w:hAnsi="Arial" w:cs="Arial"/>
          <w:sz w:val="24"/>
          <w:szCs w:val="24"/>
        </w:rPr>
        <w:t>Dane przedstawione na Wykresie</w:t>
      </w:r>
      <w:r w:rsidR="00F30D52">
        <w:rPr>
          <w:rFonts w:ascii="Arial" w:hAnsi="Arial" w:cs="Arial"/>
          <w:sz w:val="24"/>
          <w:szCs w:val="24"/>
        </w:rPr>
        <w:t xml:space="preserve"> 9</w:t>
      </w:r>
      <w:r w:rsidRPr="0028226B">
        <w:rPr>
          <w:rFonts w:ascii="Arial" w:hAnsi="Arial" w:cs="Arial"/>
          <w:sz w:val="24"/>
          <w:szCs w:val="24"/>
        </w:rPr>
        <w:t xml:space="preserve"> pokazują, że w latach 2022–2023 wskaźnik zainteresowania Funduszami Europejskimi wzrósł o ok. 14</w:t>
      </w:r>
      <w:r w:rsidR="00E05FAD">
        <w:rPr>
          <w:rFonts w:ascii="Arial" w:hAnsi="Arial" w:cs="Arial"/>
          <w:sz w:val="24"/>
          <w:szCs w:val="24"/>
        </w:rPr>
        <w:t xml:space="preserve"> punktów procentowych</w:t>
      </w:r>
      <w:r w:rsidRPr="0028226B">
        <w:rPr>
          <w:rFonts w:ascii="Arial" w:hAnsi="Arial" w:cs="Arial"/>
          <w:sz w:val="24"/>
          <w:szCs w:val="24"/>
        </w:rPr>
        <w:t>, czyli w obu latach dynamika była zbliżona. Warto zaznaczyć, że ten trend wzrostowy dotyczył dwóch kolejnych edycji, jednak nie można go traktować jako stabilizacji — był to raczej równomierny przyrost, który poprzedzał znacznie większy skok w roku 2025.</w:t>
      </w:r>
    </w:p>
    <w:p w14:paraId="183B0966" w14:textId="77777777" w:rsidR="00095403" w:rsidRPr="0028226B" w:rsidRDefault="22104150" w:rsidP="00696C0B">
      <w:pPr>
        <w:spacing w:line="360" w:lineRule="auto"/>
        <w:rPr>
          <w:rFonts w:ascii="Arial" w:hAnsi="Arial" w:cs="Arial"/>
          <w:sz w:val="24"/>
          <w:szCs w:val="24"/>
        </w:rPr>
      </w:pPr>
      <w:r w:rsidRPr="0028226B">
        <w:rPr>
          <w:rFonts w:ascii="Arial" w:hAnsi="Arial" w:cs="Arial"/>
          <w:sz w:val="24"/>
          <w:szCs w:val="24"/>
        </w:rPr>
        <w:t xml:space="preserve">Jednocześnie trzeba podkreślić, że w zestawieniu brakuje danych za rok 2024. W konsekwencji pełne porównanie rok do roku i </w:t>
      </w:r>
      <w:proofErr w:type="gramStart"/>
      <w:r w:rsidRPr="0028226B">
        <w:rPr>
          <w:rFonts w:ascii="Arial" w:hAnsi="Arial" w:cs="Arial"/>
          <w:sz w:val="24"/>
          <w:szCs w:val="24"/>
        </w:rPr>
        <w:t>określenie,</w:t>
      </w:r>
      <w:proofErr w:type="gramEnd"/>
      <w:r w:rsidRPr="0028226B">
        <w:rPr>
          <w:rFonts w:ascii="Arial" w:hAnsi="Arial" w:cs="Arial"/>
          <w:sz w:val="24"/>
          <w:szCs w:val="24"/>
        </w:rPr>
        <w:t xml:space="preserve"> czy wzrost miał charakter liniowy, przyspieszał, czy też uległ przerwaniu — nie jest możliwe. Możemy jedynie stwierdzić, że między ostatnio dostępnymi latami (2023 i 2025) nastąpił bardzo wyraźny wzrost deklarowanego zainteresowania: do poziomu aż 80%.</w:t>
      </w:r>
    </w:p>
    <w:p w14:paraId="2BE43B9D" w14:textId="77777777" w:rsidR="00095403" w:rsidRPr="0028226B" w:rsidRDefault="22104150" w:rsidP="00696C0B">
      <w:pPr>
        <w:spacing w:line="360" w:lineRule="auto"/>
        <w:rPr>
          <w:rFonts w:ascii="Arial" w:hAnsi="Arial" w:cs="Arial"/>
          <w:sz w:val="24"/>
          <w:szCs w:val="24"/>
        </w:rPr>
      </w:pPr>
      <w:r w:rsidRPr="0028226B">
        <w:rPr>
          <w:rFonts w:ascii="Arial" w:hAnsi="Arial" w:cs="Arial"/>
          <w:sz w:val="24"/>
          <w:szCs w:val="24"/>
        </w:rPr>
        <w:lastRenderedPageBreak/>
        <w:t>Ponieważ całe badanie ma charakter wyłącznie ankietowy, możliwe interpretacje opierają się na dynamice danych oraz ogólnych mechanizmach znanych z badań społecznych. W tym kontekście można wskazać kilka czynników, które mogą wyjaśniać zmianę:</w:t>
      </w:r>
    </w:p>
    <w:p w14:paraId="6DCFBA4B" w14:textId="77777777" w:rsidR="00095403" w:rsidRPr="0028226B" w:rsidRDefault="22104150" w:rsidP="00696C0B">
      <w:pPr>
        <w:spacing w:line="360" w:lineRule="auto"/>
        <w:rPr>
          <w:rFonts w:ascii="Arial" w:hAnsi="Arial" w:cs="Arial"/>
          <w:sz w:val="24"/>
          <w:szCs w:val="24"/>
        </w:rPr>
      </w:pPr>
      <w:r w:rsidRPr="0028226B">
        <w:rPr>
          <w:rFonts w:ascii="Arial" w:hAnsi="Arial" w:cs="Arial"/>
          <w:sz w:val="24"/>
          <w:szCs w:val="24"/>
        </w:rPr>
        <w:t>Po pierwsze, odpowiedzi respondentów mogą odzwierciedlać większą zauważalność projektów finansowanych ze środków unijnych — zwłaszcza w otoczeniu lokalnym. W naturalny sposób wzrost liczby widocznych inwestycji może podnosić świadomość ich źródeł finansowania, co przekłada się na zainteresowanie deklarowane w badaniu.</w:t>
      </w:r>
    </w:p>
    <w:p w14:paraId="552ABB4B" w14:textId="77777777" w:rsidR="00095403" w:rsidRPr="0028226B" w:rsidRDefault="22104150" w:rsidP="00696C0B">
      <w:pPr>
        <w:spacing w:line="360" w:lineRule="auto"/>
        <w:rPr>
          <w:rFonts w:ascii="Arial" w:hAnsi="Arial" w:cs="Arial"/>
          <w:sz w:val="24"/>
          <w:szCs w:val="24"/>
        </w:rPr>
      </w:pPr>
      <w:r w:rsidRPr="0028226B">
        <w:rPr>
          <w:rFonts w:ascii="Arial" w:hAnsi="Arial" w:cs="Arial"/>
          <w:sz w:val="24"/>
          <w:szCs w:val="24"/>
        </w:rPr>
        <w:t>Po drugie, deklaracje ankietowe mogą być związane z ogólnym kontekstem społeczno-ekonomicznym. W sytuacjach większej niepewności kwestie rozwoju, inwestycji i finansowania publicznego mają tendencję do zyskiwania na znaczeniu, co może wpływać na odpowiedzi respondentów. Nie jest to informacja pochodząca z dodatkowych danych badania, lecz ogólna zależność znana z badań opinii publicznej.</w:t>
      </w:r>
    </w:p>
    <w:p w14:paraId="63600363" w14:textId="77777777" w:rsidR="00095403" w:rsidRPr="0028226B" w:rsidRDefault="22104150" w:rsidP="00696C0B">
      <w:pPr>
        <w:spacing w:line="360" w:lineRule="auto"/>
        <w:rPr>
          <w:rFonts w:ascii="Arial" w:hAnsi="Arial" w:cs="Arial"/>
          <w:sz w:val="24"/>
          <w:szCs w:val="24"/>
        </w:rPr>
      </w:pPr>
      <w:r w:rsidRPr="0028226B">
        <w:rPr>
          <w:rFonts w:ascii="Arial" w:hAnsi="Arial" w:cs="Arial"/>
          <w:sz w:val="24"/>
          <w:szCs w:val="24"/>
        </w:rPr>
        <w:t>Po trzecie, na wyniki mógł oddziaływać wzrost obecności tematyki funduszy w przestrzeni publicznej — niezależnie od tego, czy wynika to z komunikacji instytucjonalnej, informacji medialnych czy częstszego kontaktu osób badanych z przykładami projektów. Każde zwiększenie widoczności tematu może podnosić poziom deklarowanego zainteresowania.</w:t>
      </w:r>
    </w:p>
    <w:p w14:paraId="756ED051" w14:textId="77777777" w:rsidR="00095403" w:rsidRPr="0028226B" w:rsidRDefault="22104150" w:rsidP="00696C0B">
      <w:pPr>
        <w:spacing w:line="360" w:lineRule="auto"/>
        <w:rPr>
          <w:rFonts w:ascii="Arial" w:hAnsi="Arial" w:cs="Arial"/>
          <w:sz w:val="24"/>
          <w:szCs w:val="24"/>
        </w:rPr>
      </w:pPr>
      <w:r w:rsidRPr="0028226B">
        <w:rPr>
          <w:rFonts w:ascii="Arial" w:hAnsi="Arial" w:cs="Arial"/>
          <w:sz w:val="24"/>
          <w:szCs w:val="24"/>
        </w:rPr>
        <w:t>Po czwarte, obserwowany skok w 2025 roku może świadczyć o zmianie postaw respondentów — większej gotowości do uznania tematyki funduszy za ważną, powiązaną z rozwojem i przyszłością regionu. Porównanie lat 2022–2023 oraz roku 2025 wskazuje, że wzrost zainteresowania może być elementem szerszego procesu, który rozpoczął się już wcześniej.</w:t>
      </w:r>
    </w:p>
    <w:p w14:paraId="32B54FA5" w14:textId="39E97E8C" w:rsidR="00FE71CE" w:rsidRPr="0028226B" w:rsidRDefault="0ED63F7E" w:rsidP="00672A70">
      <w:pPr>
        <w:pStyle w:val="Legenda"/>
        <w:keepNext/>
        <w:spacing w:after="0"/>
        <w:rPr>
          <w:rFonts w:ascii="Arial" w:hAnsi="Arial" w:cs="Arial"/>
          <w:b/>
          <w:bCs/>
          <w:i w:val="0"/>
          <w:iCs w:val="0"/>
          <w:color w:val="auto"/>
          <w:sz w:val="24"/>
          <w:szCs w:val="24"/>
        </w:rPr>
      </w:pPr>
      <w:bookmarkStart w:id="19" w:name="_Toc219369235"/>
      <w:r w:rsidRPr="0028226B">
        <w:rPr>
          <w:rFonts w:ascii="Arial" w:hAnsi="Arial" w:cs="Arial"/>
          <w:b/>
          <w:bCs/>
          <w:i w:val="0"/>
          <w:iCs w:val="0"/>
          <w:color w:val="auto"/>
          <w:sz w:val="24"/>
          <w:szCs w:val="24"/>
        </w:rPr>
        <w:lastRenderedPageBreak/>
        <w:t xml:space="preserve">Wykres </w:t>
      </w:r>
      <w:r w:rsidR="00FE71CE" w:rsidRPr="0028226B">
        <w:rPr>
          <w:rFonts w:ascii="Arial" w:hAnsi="Arial" w:cs="Arial"/>
          <w:b/>
          <w:bCs/>
          <w:i w:val="0"/>
          <w:iCs w:val="0"/>
          <w:color w:val="auto"/>
          <w:sz w:val="24"/>
          <w:szCs w:val="24"/>
        </w:rPr>
        <w:fldChar w:fldCharType="begin"/>
      </w:r>
      <w:r w:rsidR="00FE71CE" w:rsidRPr="0028226B">
        <w:rPr>
          <w:rFonts w:ascii="Arial" w:hAnsi="Arial" w:cs="Arial"/>
          <w:b/>
          <w:bCs/>
          <w:i w:val="0"/>
          <w:iCs w:val="0"/>
          <w:color w:val="auto"/>
          <w:sz w:val="24"/>
          <w:szCs w:val="24"/>
        </w:rPr>
        <w:instrText xml:space="preserve"> SEQ Wykres \* ARABIC </w:instrText>
      </w:r>
      <w:r w:rsidR="00FE71CE" w:rsidRPr="0028226B">
        <w:rPr>
          <w:rFonts w:ascii="Arial" w:hAnsi="Arial" w:cs="Arial"/>
          <w:b/>
          <w:bCs/>
          <w:i w:val="0"/>
          <w:iCs w:val="0"/>
          <w:color w:val="auto"/>
          <w:sz w:val="24"/>
          <w:szCs w:val="24"/>
        </w:rPr>
        <w:fldChar w:fldCharType="separate"/>
      </w:r>
      <w:r w:rsidR="0055789E">
        <w:rPr>
          <w:rFonts w:ascii="Arial" w:hAnsi="Arial" w:cs="Arial"/>
          <w:b/>
          <w:bCs/>
          <w:i w:val="0"/>
          <w:iCs w:val="0"/>
          <w:noProof/>
          <w:color w:val="auto"/>
          <w:sz w:val="24"/>
          <w:szCs w:val="24"/>
        </w:rPr>
        <w:t>9</w:t>
      </w:r>
      <w:r w:rsidR="00FE71CE" w:rsidRPr="0028226B">
        <w:rPr>
          <w:rFonts w:ascii="Arial" w:hAnsi="Arial" w:cs="Arial"/>
          <w:b/>
          <w:bCs/>
          <w:i w:val="0"/>
          <w:iCs w:val="0"/>
          <w:color w:val="auto"/>
          <w:sz w:val="24"/>
          <w:szCs w:val="24"/>
        </w:rPr>
        <w:fldChar w:fldCharType="end"/>
      </w:r>
      <w:r w:rsidRPr="0028226B">
        <w:rPr>
          <w:rFonts w:ascii="Arial" w:hAnsi="Arial" w:cs="Arial"/>
          <w:b/>
          <w:bCs/>
          <w:i w:val="0"/>
          <w:iCs w:val="0"/>
          <w:color w:val="auto"/>
          <w:sz w:val="24"/>
          <w:szCs w:val="24"/>
        </w:rPr>
        <w:t xml:space="preserve">. </w:t>
      </w:r>
      <w:r w:rsidR="7707CF59" w:rsidRPr="0028226B">
        <w:rPr>
          <w:rFonts w:ascii="Arial" w:hAnsi="Arial" w:cs="Arial"/>
          <w:b/>
          <w:bCs/>
          <w:i w:val="0"/>
          <w:iCs w:val="0"/>
          <w:color w:val="auto"/>
          <w:sz w:val="24"/>
          <w:szCs w:val="24"/>
        </w:rPr>
        <w:t xml:space="preserve">P6. Proszę powiedzieć, czy tematyka Funduszy Europejskich jest dla Pana(i) </w:t>
      </w:r>
      <w:r w:rsidR="00E05FAD" w:rsidRPr="0028226B">
        <w:rPr>
          <w:rFonts w:ascii="Arial" w:hAnsi="Arial" w:cs="Arial"/>
          <w:b/>
          <w:bCs/>
          <w:i w:val="0"/>
          <w:iCs w:val="0"/>
          <w:color w:val="auto"/>
          <w:sz w:val="24"/>
          <w:szCs w:val="24"/>
        </w:rPr>
        <w:t xml:space="preserve">interesująca? </w:t>
      </w:r>
      <w:r w:rsidR="00B829A1">
        <w:rPr>
          <w:rFonts w:ascii="Arial" w:hAnsi="Arial" w:cs="Arial"/>
          <w:b/>
          <w:bCs/>
          <w:i w:val="0"/>
          <w:iCs w:val="0"/>
          <w:color w:val="auto"/>
          <w:sz w:val="24"/>
          <w:szCs w:val="24"/>
        </w:rPr>
        <w:t>w</w:t>
      </w:r>
      <w:r w:rsidRPr="0028226B">
        <w:rPr>
          <w:rFonts w:ascii="Arial" w:hAnsi="Arial" w:cs="Arial"/>
          <w:b/>
          <w:bCs/>
          <w:i w:val="0"/>
          <w:iCs w:val="0"/>
          <w:color w:val="auto"/>
          <w:sz w:val="24"/>
          <w:szCs w:val="24"/>
        </w:rPr>
        <w:t xml:space="preserve"> latach 2016–2025</w:t>
      </w:r>
      <w:bookmarkEnd w:id="19"/>
    </w:p>
    <w:p w14:paraId="0E01B6EC" w14:textId="06544C0F" w:rsidR="00CC5DEA" w:rsidRPr="0028226B" w:rsidRDefault="00CC5DEA" w:rsidP="00F9757B">
      <w:pPr>
        <w:spacing w:after="0"/>
        <w:rPr>
          <w:rFonts w:ascii="Arial" w:hAnsi="Arial" w:cs="Arial"/>
          <w:sz w:val="24"/>
          <w:szCs w:val="24"/>
        </w:rPr>
      </w:pPr>
      <w:r w:rsidRPr="0028226B">
        <w:rPr>
          <w:rFonts w:ascii="Arial" w:hAnsi="Arial" w:cs="Arial"/>
          <w:noProof/>
          <w:sz w:val="24"/>
          <w:szCs w:val="24"/>
        </w:rPr>
        <w:drawing>
          <wp:inline distT="0" distB="0" distL="0" distR="0" wp14:anchorId="6AF69CB6" wp14:editId="10236EC6">
            <wp:extent cx="5486400" cy="5996940"/>
            <wp:effectExtent l="0" t="0" r="0" b="0"/>
            <wp:docPr id="1733554423" name="Wykres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75F8C04F" w14:textId="45CFD766" w:rsidR="00CC5DEA" w:rsidRPr="00672A70" w:rsidRDefault="00CC5DEA" w:rsidP="00CC5DEA">
      <w:pPr>
        <w:rPr>
          <w:rFonts w:ascii="Arial" w:hAnsi="Arial" w:cs="Arial"/>
          <w:sz w:val="24"/>
          <w:szCs w:val="24"/>
        </w:rPr>
      </w:pPr>
      <w:r w:rsidRPr="00672A70">
        <w:rPr>
          <w:rFonts w:ascii="Arial" w:hAnsi="Arial" w:cs="Arial"/>
          <w:sz w:val="24"/>
          <w:szCs w:val="24"/>
        </w:rPr>
        <w:t>Źródło: Opracowano na podstawie badania CAPI</w:t>
      </w:r>
      <w:r w:rsidR="00995031">
        <w:rPr>
          <w:rFonts w:ascii="Arial" w:hAnsi="Arial" w:cs="Arial"/>
          <w:sz w:val="24"/>
          <w:szCs w:val="24"/>
        </w:rPr>
        <w:t>; odpowiadający: znający pojęcie FE</w:t>
      </w:r>
      <w:r w:rsidR="00995031">
        <w:rPr>
          <w:rStyle w:val="Odwoanieprzypisudolnego"/>
          <w:rFonts w:ascii="Arial" w:hAnsi="Arial" w:cs="Arial"/>
          <w:sz w:val="24"/>
          <w:szCs w:val="24"/>
        </w:rPr>
        <w:footnoteReference w:id="4"/>
      </w:r>
      <w:r w:rsidR="00995031">
        <w:rPr>
          <w:rFonts w:ascii="Arial" w:hAnsi="Arial" w:cs="Arial"/>
          <w:sz w:val="24"/>
          <w:szCs w:val="24"/>
        </w:rPr>
        <w:t>lub FU</w:t>
      </w:r>
    </w:p>
    <w:p w14:paraId="75F03F4A" w14:textId="14A417E9" w:rsidR="00FE71CE" w:rsidRPr="0028226B" w:rsidRDefault="0ED63F7E" w:rsidP="00696C0B">
      <w:pPr>
        <w:spacing w:line="360" w:lineRule="auto"/>
        <w:rPr>
          <w:rFonts w:ascii="Arial" w:hAnsi="Arial" w:cs="Arial"/>
          <w:sz w:val="24"/>
          <w:szCs w:val="24"/>
        </w:rPr>
      </w:pPr>
      <w:r w:rsidRPr="0028226B">
        <w:rPr>
          <w:rFonts w:ascii="Arial" w:hAnsi="Arial" w:cs="Arial"/>
          <w:sz w:val="24"/>
          <w:szCs w:val="24"/>
        </w:rPr>
        <w:t>Wykres</w:t>
      </w:r>
      <w:r w:rsidR="22104150" w:rsidRPr="0028226B">
        <w:rPr>
          <w:rFonts w:ascii="Arial" w:hAnsi="Arial" w:cs="Arial"/>
          <w:sz w:val="24"/>
          <w:szCs w:val="24"/>
        </w:rPr>
        <w:t xml:space="preserve"> </w:t>
      </w:r>
      <w:r w:rsidR="7707CF59" w:rsidRPr="0028226B">
        <w:rPr>
          <w:rFonts w:ascii="Arial" w:hAnsi="Arial" w:cs="Arial"/>
          <w:sz w:val="24"/>
          <w:szCs w:val="24"/>
        </w:rPr>
        <w:t>10</w:t>
      </w:r>
      <w:r w:rsidRPr="0028226B">
        <w:rPr>
          <w:rFonts w:ascii="Arial" w:hAnsi="Arial" w:cs="Arial"/>
          <w:sz w:val="24"/>
          <w:szCs w:val="24"/>
        </w:rPr>
        <w:t xml:space="preserve"> przedstawia deklarowane zainteresowanie tematyką Funduszy Europejskich w różnych grupach społeczno-demograficznych. Wartości ogółem wskazują, że </w:t>
      </w:r>
      <w:r w:rsidR="005B39F7">
        <w:rPr>
          <w:rFonts w:ascii="Arial" w:hAnsi="Arial" w:cs="Arial"/>
          <w:sz w:val="24"/>
          <w:szCs w:val="24"/>
        </w:rPr>
        <w:t>80</w:t>
      </w:r>
      <w:r w:rsidRPr="0028226B">
        <w:rPr>
          <w:rFonts w:ascii="Arial" w:hAnsi="Arial" w:cs="Arial"/>
          <w:sz w:val="24"/>
          <w:szCs w:val="24"/>
        </w:rPr>
        <w:t>% respondentów zadeklarowało zainteresowanie tą tematyką, a 20% nie odczuwa takiego zainteresowania.</w:t>
      </w:r>
    </w:p>
    <w:p w14:paraId="1CB8E39C" w14:textId="108321D9" w:rsidR="00FE71CE" w:rsidRPr="0028226B" w:rsidRDefault="0ED63F7E" w:rsidP="00696C0B">
      <w:pPr>
        <w:spacing w:line="360" w:lineRule="auto"/>
        <w:rPr>
          <w:rFonts w:ascii="Arial" w:hAnsi="Arial" w:cs="Arial"/>
          <w:sz w:val="24"/>
          <w:szCs w:val="24"/>
        </w:rPr>
      </w:pPr>
      <w:r w:rsidRPr="0028226B">
        <w:rPr>
          <w:rFonts w:ascii="Arial" w:hAnsi="Arial" w:cs="Arial"/>
          <w:sz w:val="24"/>
          <w:szCs w:val="24"/>
        </w:rPr>
        <w:lastRenderedPageBreak/>
        <w:t>W podziale według płci wyniki są bardzo zbliżone: wśród kobiet zainteresowanie zadeklarowało 7</w:t>
      </w:r>
      <w:r w:rsidR="005B39F7">
        <w:rPr>
          <w:rFonts w:ascii="Arial" w:hAnsi="Arial" w:cs="Arial"/>
          <w:sz w:val="24"/>
          <w:szCs w:val="24"/>
        </w:rPr>
        <w:t>9</w:t>
      </w:r>
      <w:r w:rsidRPr="0028226B">
        <w:rPr>
          <w:rFonts w:ascii="Arial" w:hAnsi="Arial" w:cs="Arial"/>
          <w:sz w:val="24"/>
          <w:szCs w:val="24"/>
        </w:rPr>
        <w:t>%, a wśród mężczyzn 81%. Oznacza to niewielką, kilkuprocentową różnicę na korzyść mężczyzn, natomiast struktura odpowiedzi w obu grupach pozostaje podobna.</w:t>
      </w:r>
    </w:p>
    <w:p w14:paraId="7C009689" w14:textId="0114381A" w:rsidR="00FE71CE" w:rsidRPr="0028226B" w:rsidRDefault="0ED63F7E" w:rsidP="00696C0B">
      <w:pPr>
        <w:spacing w:line="360" w:lineRule="auto"/>
        <w:rPr>
          <w:rFonts w:ascii="Arial" w:hAnsi="Arial" w:cs="Arial"/>
          <w:sz w:val="24"/>
          <w:szCs w:val="24"/>
        </w:rPr>
      </w:pPr>
      <w:r w:rsidRPr="0028226B">
        <w:rPr>
          <w:rFonts w:ascii="Arial" w:hAnsi="Arial" w:cs="Arial"/>
          <w:sz w:val="24"/>
          <w:szCs w:val="24"/>
        </w:rPr>
        <w:t>Zróżnicowanie widoczne jest w grupach wiekowych, jednak w żadnej z nich zainteresowanie nie spada poniżej 70%. Najwyższe wskazania zainteresowania pojawiają się wśród osób w wieku 20–24 lata (8</w:t>
      </w:r>
      <w:r w:rsidR="005B39F7">
        <w:rPr>
          <w:rFonts w:ascii="Arial" w:hAnsi="Arial" w:cs="Arial"/>
          <w:sz w:val="24"/>
          <w:szCs w:val="24"/>
        </w:rPr>
        <w:t>4</w:t>
      </w:r>
      <w:r w:rsidRPr="0028226B">
        <w:rPr>
          <w:rFonts w:ascii="Arial" w:hAnsi="Arial" w:cs="Arial"/>
          <w:sz w:val="24"/>
          <w:szCs w:val="24"/>
        </w:rPr>
        <w:t>%) oraz</w:t>
      </w:r>
      <w:r w:rsidR="003C0DBE">
        <w:rPr>
          <w:rFonts w:ascii="Arial" w:hAnsi="Arial" w:cs="Arial"/>
          <w:sz w:val="24"/>
          <w:szCs w:val="24"/>
        </w:rPr>
        <w:t xml:space="preserve"> 25-34 lata</w:t>
      </w:r>
      <w:r w:rsidR="008032EE">
        <w:rPr>
          <w:rFonts w:ascii="Arial" w:hAnsi="Arial" w:cs="Arial"/>
          <w:sz w:val="24"/>
          <w:szCs w:val="24"/>
        </w:rPr>
        <w:t>, 35-44 lata</w:t>
      </w:r>
      <w:r w:rsidR="003C0DBE">
        <w:rPr>
          <w:rFonts w:ascii="Arial" w:hAnsi="Arial" w:cs="Arial"/>
          <w:sz w:val="24"/>
          <w:szCs w:val="24"/>
        </w:rPr>
        <w:t xml:space="preserve"> i</w:t>
      </w:r>
      <w:r w:rsidRPr="0028226B">
        <w:rPr>
          <w:rFonts w:ascii="Arial" w:hAnsi="Arial" w:cs="Arial"/>
          <w:sz w:val="24"/>
          <w:szCs w:val="24"/>
        </w:rPr>
        <w:t xml:space="preserve"> 55–64 lata (</w:t>
      </w:r>
      <w:r w:rsidR="008032EE">
        <w:rPr>
          <w:rFonts w:ascii="Arial" w:hAnsi="Arial" w:cs="Arial"/>
          <w:sz w:val="24"/>
          <w:szCs w:val="24"/>
        </w:rPr>
        <w:t xml:space="preserve">po </w:t>
      </w:r>
      <w:r w:rsidRPr="0028226B">
        <w:rPr>
          <w:rFonts w:ascii="Arial" w:hAnsi="Arial" w:cs="Arial"/>
          <w:sz w:val="24"/>
          <w:szCs w:val="24"/>
        </w:rPr>
        <w:t>8</w:t>
      </w:r>
      <w:r w:rsidR="005B39F7">
        <w:rPr>
          <w:rFonts w:ascii="Arial" w:hAnsi="Arial" w:cs="Arial"/>
          <w:sz w:val="24"/>
          <w:szCs w:val="24"/>
        </w:rPr>
        <w:t>2</w:t>
      </w:r>
      <w:r w:rsidRPr="0028226B">
        <w:rPr>
          <w:rFonts w:ascii="Arial" w:hAnsi="Arial" w:cs="Arial"/>
          <w:sz w:val="24"/>
          <w:szCs w:val="24"/>
        </w:rPr>
        <w:t>%). Najniższe – w najmłodszej grupie 15–19 lat (7</w:t>
      </w:r>
      <w:r w:rsidR="005B39F7">
        <w:rPr>
          <w:rFonts w:ascii="Arial" w:hAnsi="Arial" w:cs="Arial"/>
          <w:sz w:val="24"/>
          <w:szCs w:val="24"/>
        </w:rPr>
        <w:t>5</w:t>
      </w:r>
      <w:r w:rsidRPr="0028226B">
        <w:rPr>
          <w:rFonts w:ascii="Arial" w:hAnsi="Arial" w:cs="Arial"/>
          <w:sz w:val="24"/>
          <w:szCs w:val="24"/>
        </w:rPr>
        <w:t>%) oraz w wieku 45–54 lata (7</w:t>
      </w:r>
      <w:r w:rsidR="005B39F7">
        <w:rPr>
          <w:rFonts w:ascii="Arial" w:hAnsi="Arial" w:cs="Arial"/>
          <w:sz w:val="24"/>
          <w:szCs w:val="24"/>
        </w:rPr>
        <w:t>7</w:t>
      </w:r>
      <w:r w:rsidRPr="0028226B">
        <w:rPr>
          <w:rFonts w:ascii="Arial" w:hAnsi="Arial" w:cs="Arial"/>
          <w:sz w:val="24"/>
          <w:szCs w:val="24"/>
        </w:rPr>
        <w:t xml:space="preserve">%). Różnice te nie są jednak </w:t>
      </w:r>
      <w:r w:rsidR="008032EE">
        <w:rPr>
          <w:rFonts w:ascii="Arial" w:hAnsi="Arial" w:cs="Arial"/>
          <w:sz w:val="24"/>
          <w:szCs w:val="24"/>
        </w:rPr>
        <w:t>znaczące</w:t>
      </w:r>
      <w:r w:rsidRPr="0028226B">
        <w:rPr>
          <w:rFonts w:ascii="Arial" w:hAnsi="Arial" w:cs="Arial"/>
          <w:sz w:val="24"/>
          <w:szCs w:val="24"/>
        </w:rPr>
        <w:t>, mieszcząc się w granicach kilkunastu punktów procentowych.</w:t>
      </w:r>
    </w:p>
    <w:p w14:paraId="3D9BEED2" w14:textId="7FB8FC15" w:rsidR="00FE71CE" w:rsidRPr="0028226B" w:rsidRDefault="0ED63F7E" w:rsidP="00696C0B">
      <w:pPr>
        <w:spacing w:line="360" w:lineRule="auto"/>
        <w:rPr>
          <w:rFonts w:ascii="Arial" w:hAnsi="Arial" w:cs="Arial"/>
          <w:sz w:val="24"/>
          <w:szCs w:val="24"/>
        </w:rPr>
      </w:pPr>
      <w:r w:rsidRPr="0028226B">
        <w:rPr>
          <w:rFonts w:ascii="Arial" w:hAnsi="Arial" w:cs="Arial"/>
          <w:sz w:val="24"/>
          <w:szCs w:val="24"/>
        </w:rPr>
        <w:t>Wykształcenie nie różnicuje odpowiedzi w istotny sposób. W każdej z grup poziom zainteresowania oscyluje w bardzo zbliżonym przedziale: od 78% wśród osób z wykształceniem podstawowym do 8</w:t>
      </w:r>
      <w:r w:rsidR="005B39F7">
        <w:rPr>
          <w:rFonts w:ascii="Arial" w:hAnsi="Arial" w:cs="Arial"/>
          <w:sz w:val="24"/>
          <w:szCs w:val="24"/>
        </w:rPr>
        <w:t>1</w:t>
      </w:r>
      <w:r w:rsidRPr="0028226B">
        <w:rPr>
          <w:rFonts w:ascii="Arial" w:hAnsi="Arial" w:cs="Arial"/>
          <w:sz w:val="24"/>
          <w:szCs w:val="24"/>
        </w:rPr>
        <w:t>% wśród osób z wykształceniem zawodowym i 8</w:t>
      </w:r>
      <w:r w:rsidR="005B39F7">
        <w:rPr>
          <w:rFonts w:ascii="Arial" w:hAnsi="Arial" w:cs="Arial"/>
          <w:sz w:val="24"/>
          <w:szCs w:val="24"/>
        </w:rPr>
        <w:t>1</w:t>
      </w:r>
      <w:r w:rsidRPr="0028226B">
        <w:rPr>
          <w:rFonts w:ascii="Arial" w:hAnsi="Arial" w:cs="Arial"/>
          <w:sz w:val="24"/>
          <w:szCs w:val="24"/>
        </w:rPr>
        <w:t>% wśród osób z wykształceniem wyższym.</w:t>
      </w:r>
    </w:p>
    <w:p w14:paraId="2225BB3E" w14:textId="32F79F7F" w:rsidR="00FE71CE" w:rsidRPr="0028226B" w:rsidRDefault="0ED63F7E" w:rsidP="00696C0B">
      <w:pPr>
        <w:spacing w:line="360" w:lineRule="auto"/>
        <w:rPr>
          <w:rFonts w:ascii="Arial" w:hAnsi="Arial" w:cs="Arial"/>
          <w:sz w:val="24"/>
          <w:szCs w:val="24"/>
        </w:rPr>
      </w:pPr>
      <w:r w:rsidRPr="0028226B">
        <w:rPr>
          <w:rFonts w:ascii="Arial" w:hAnsi="Arial" w:cs="Arial"/>
          <w:sz w:val="24"/>
          <w:szCs w:val="24"/>
        </w:rPr>
        <w:t>W przypadku wielkości miejscowości zamieszkania widać nieco większe zróżnicowanie, choć nadal większość respondentów interesuje się tematyką Funduszy Europejskich. Najwyższe wskazania występują w miastach 50–199 tys. mieszkańców (</w:t>
      </w:r>
      <w:r w:rsidR="005B39F7">
        <w:rPr>
          <w:rFonts w:ascii="Arial" w:hAnsi="Arial" w:cs="Arial"/>
          <w:sz w:val="24"/>
          <w:szCs w:val="24"/>
        </w:rPr>
        <w:t>84</w:t>
      </w:r>
      <w:r w:rsidRPr="0028226B">
        <w:rPr>
          <w:rFonts w:ascii="Arial" w:hAnsi="Arial" w:cs="Arial"/>
          <w:sz w:val="24"/>
          <w:szCs w:val="24"/>
        </w:rPr>
        <w:t>%)</w:t>
      </w:r>
      <w:r w:rsidR="003C0DBE">
        <w:rPr>
          <w:rFonts w:ascii="Arial" w:hAnsi="Arial" w:cs="Arial"/>
          <w:sz w:val="24"/>
          <w:szCs w:val="24"/>
        </w:rPr>
        <w:t xml:space="preserve">, </w:t>
      </w:r>
      <w:r w:rsidR="005B39F7">
        <w:rPr>
          <w:rFonts w:ascii="Arial" w:hAnsi="Arial" w:cs="Arial"/>
          <w:sz w:val="24"/>
          <w:szCs w:val="24"/>
        </w:rPr>
        <w:t>81</w:t>
      </w:r>
      <w:r w:rsidR="003C0DBE">
        <w:rPr>
          <w:rFonts w:ascii="Arial" w:hAnsi="Arial" w:cs="Arial"/>
          <w:sz w:val="24"/>
          <w:szCs w:val="24"/>
        </w:rPr>
        <w:t xml:space="preserve">% w </w:t>
      </w:r>
      <w:r w:rsidR="008032EE">
        <w:rPr>
          <w:rFonts w:ascii="Arial" w:hAnsi="Arial" w:cs="Arial"/>
          <w:sz w:val="24"/>
          <w:szCs w:val="24"/>
        </w:rPr>
        <w:t>miastach</w:t>
      </w:r>
      <w:r w:rsidR="003C0DBE">
        <w:rPr>
          <w:rFonts w:ascii="Arial" w:hAnsi="Arial" w:cs="Arial"/>
          <w:sz w:val="24"/>
          <w:szCs w:val="24"/>
        </w:rPr>
        <w:t xml:space="preserve"> powyżej 500 tyś. mieszkańców i</w:t>
      </w:r>
      <w:r w:rsidR="008032EE">
        <w:rPr>
          <w:rFonts w:ascii="Arial" w:hAnsi="Arial" w:cs="Arial"/>
          <w:sz w:val="24"/>
          <w:szCs w:val="24"/>
        </w:rPr>
        <w:t xml:space="preserve"> </w:t>
      </w:r>
      <w:r w:rsidRPr="0028226B">
        <w:rPr>
          <w:rFonts w:ascii="Arial" w:hAnsi="Arial" w:cs="Arial"/>
          <w:sz w:val="24"/>
          <w:szCs w:val="24"/>
        </w:rPr>
        <w:t>na wsi (</w:t>
      </w:r>
      <w:r w:rsidR="005B39F7">
        <w:rPr>
          <w:rFonts w:ascii="Arial" w:hAnsi="Arial" w:cs="Arial"/>
          <w:sz w:val="24"/>
          <w:szCs w:val="24"/>
        </w:rPr>
        <w:t>81</w:t>
      </w:r>
      <w:r w:rsidRPr="0028226B">
        <w:rPr>
          <w:rFonts w:ascii="Arial" w:hAnsi="Arial" w:cs="Arial"/>
          <w:sz w:val="24"/>
          <w:szCs w:val="24"/>
        </w:rPr>
        <w:t>%). Najniższe – w miastach 200–499 tys. mieszkańców (7</w:t>
      </w:r>
      <w:r w:rsidR="005B39F7">
        <w:rPr>
          <w:rFonts w:ascii="Arial" w:hAnsi="Arial" w:cs="Arial"/>
          <w:sz w:val="24"/>
          <w:szCs w:val="24"/>
        </w:rPr>
        <w:t>3</w:t>
      </w:r>
      <w:r w:rsidRPr="0028226B">
        <w:rPr>
          <w:rFonts w:ascii="Arial" w:hAnsi="Arial" w:cs="Arial"/>
          <w:sz w:val="24"/>
          <w:szCs w:val="24"/>
        </w:rPr>
        <w:t>%), gdzie zainteresowanie spada do poziomu około trzech czwartych mieszkańców, lecz nadal pozostaje relatywnie wysokie.</w:t>
      </w:r>
    </w:p>
    <w:p w14:paraId="1C8D01E8" w14:textId="516D01EF" w:rsidR="00FE71CE" w:rsidRPr="0028226B" w:rsidRDefault="0ED63F7E" w:rsidP="00696C0B">
      <w:pPr>
        <w:spacing w:line="360" w:lineRule="auto"/>
        <w:rPr>
          <w:rFonts w:ascii="Arial" w:hAnsi="Arial" w:cs="Arial"/>
          <w:sz w:val="24"/>
          <w:szCs w:val="24"/>
        </w:rPr>
      </w:pPr>
      <w:r w:rsidRPr="0028226B">
        <w:rPr>
          <w:rFonts w:ascii="Arial" w:hAnsi="Arial" w:cs="Arial"/>
          <w:sz w:val="24"/>
          <w:szCs w:val="24"/>
        </w:rPr>
        <w:t>Podsumowując, tematyka Funduszy Europejskich jest atrakcyjna dla większości mieszkańców kraju niezależnie od ich cech społeczno-demograficznych. Różnice między grupami są stosunkowo niewielkie, a wysoki poziom zainteresowania (około 80%) utrzymuje się w całej populacji.</w:t>
      </w:r>
    </w:p>
    <w:p w14:paraId="2B348F71" w14:textId="77777777" w:rsidR="00FE71CE" w:rsidRPr="00672A70" w:rsidRDefault="00FE71CE" w:rsidP="00696C0B">
      <w:pPr>
        <w:spacing w:line="360" w:lineRule="auto"/>
        <w:rPr>
          <w:rFonts w:ascii="Arial" w:hAnsi="Arial" w:cs="Arial"/>
          <w:sz w:val="24"/>
          <w:szCs w:val="24"/>
        </w:rPr>
      </w:pPr>
    </w:p>
    <w:p w14:paraId="016DAFAE" w14:textId="7D3D1141" w:rsidR="00FE71CE" w:rsidRPr="0028226B" w:rsidRDefault="0ED63F7E" w:rsidP="7A361059">
      <w:pPr>
        <w:pStyle w:val="Legenda"/>
        <w:keepNext/>
        <w:rPr>
          <w:rFonts w:ascii="Arial" w:hAnsi="Arial" w:cs="Arial"/>
          <w:b/>
          <w:bCs/>
          <w:i w:val="0"/>
          <w:iCs w:val="0"/>
          <w:color w:val="auto"/>
          <w:sz w:val="24"/>
          <w:szCs w:val="24"/>
        </w:rPr>
      </w:pPr>
      <w:bookmarkStart w:id="20" w:name="_Toc219369236"/>
      <w:r w:rsidRPr="0028226B">
        <w:rPr>
          <w:rFonts w:ascii="Arial" w:hAnsi="Arial" w:cs="Arial"/>
          <w:b/>
          <w:bCs/>
          <w:i w:val="0"/>
          <w:iCs w:val="0"/>
          <w:color w:val="auto"/>
          <w:sz w:val="24"/>
          <w:szCs w:val="24"/>
        </w:rPr>
        <w:lastRenderedPageBreak/>
        <w:t xml:space="preserve">Wykres </w:t>
      </w:r>
      <w:r w:rsidR="00FE71CE" w:rsidRPr="0028226B">
        <w:rPr>
          <w:rFonts w:ascii="Arial" w:hAnsi="Arial" w:cs="Arial"/>
          <w:b/>
          <w:bCs/>
          <w:i w:val="0"/>
          <w:iCs w:val="0"/>
          <w:color w:val="auto"/>
          <w:sz w:val="24"/>
          <w:szCs w:val="24"/>
        </w:rPr>
        <w:fldChar w:fldCharType="begin"/>
      </w:r>
      <w:r w:rsidR="00FE71CE" w:rsidRPr="0028226B">
        <w:rPr>
          <w:rFonts w:ascii="Arial" w:hAnsi="Arial" w:cs="Arial"/>
          <w:b/>
          <w:bCs/>
          <w:i w:val="0"/>
          <w:iCs w:val="0"/>
          <w:color w:val="auto"/>
          <w:sz w:val="24"/>
          <w:szCs w:val="24"/>
        </w:rPr>
        <w:instrText xml:space="preserve"> SEQ Wykres \* ARABIC </w:instrText>
      </w:r>
      <w:r w:rsidR="00FE71CE" w:rsidRPr="0028226B">
        <w:rPr>
          <w:rFonts w:ascii="Arial" w:hAnsi="Arial" w:cs="Arial"/>
          <w:b/>
          <w:bCs/>
          <w:i w:val="0"/>
          <w:iCs w:val="0"/>
          <w:color w:val="auto"/>
          <w:sz w:val="24"/>
          <w:szCs w:val="24"/>
        </w:rPr>
        <w:fldChar w:fldCharType="separate"/>
      </w:r>
      <w:r w:rsidR="0055789E">
        <w:rPr>
          <w:rFonts w:ascii="Arial" w:hAnsi="Arial" w:cs="Arial"/>
          <w:b/>
          <w:bCs/>
          <w:i w:val="0"/>
          <w:iCs w:val="0"/>
          <w:noProof/>
          <w:color w:val="auto"/>
          <w:sz w:val="24"/>
          <w:szCs w:val="24"/>
        </w:rPr>
        <w:t>10</w:t>
      </w:r>
      <w:r w:rsidR="00FE71CE" w:rsidRPr="0028226B">
        <w:rPr>
          <w:rFonts w:ascii="Arial" w:hAnsi="Arial" w:cs="Arial"/>
          <w:b/>
          <w:bCs/>
          <w:i w:val="0"/>
          <w:iCs w:val="0"/>
          <w:color w:val="auto"/>
          <w:sz w:val="24"/>
          <w:szCs w:val="24"/>
        </w:rPr>
        <w:fldChar w:fldCharType="end"/>
      </w:r>
      <w:r w:rsidRPr="0028226B">
        <w:rPr>
          <w:rFonts w:ascii="Arial" w:hAnsi="Arial" w:cs="Arial"/>
          <w:b/>
          <w:bCs/>
          <w:i w:val="0"/>
          <w:iCs w:val="0"/>
          <w:color w:val="auto"/>
          <w:sz w:val="24"/>
          <w:szCs w:val="24"/>
        </w:rPr>
        <w:t xml:space="preserve">. </w:t>
      </w:r>
      <w:r w:rsidR="7707CF59" w:rsidRPr="0028226B">
        <w:rPr>
          <w:rFonts w:ascii="Arial" w:hAnsi="Arial" w:cs="Arial"/>
          <w:b/>
          <w:bCs/>
          <w:i w:val="0"/>
          <w:iCs w:val="0"/>
          <w:color w:val="auto"/>
          <w:sz w:val="24"/>
          <w:szCs w:val="24"/>
        </w:rPr>
        <w:t xml:space="preserve">P6. Proszę powiedzieć, czy tematyka Funduszy Europejskich jest dla Pana(i) interesująca? - </w:t>
      </w:r>
      <w:r w:rsidRPr="0028226B">
        <w:rPr>
          <w:rFonts w:ascii="Arial" w:hAnsi="Arial" w:cs="Arial"/>
          <w:b/>
          <w:bCs/>
          <w:i w:val="0"/>
          <w:iCs w:val="0"/>
          <w:color w:val="auto"/>
          <w:sz w:val="24"/>
          <w:szCs w:val="24"/>
        </w:rPr>
        <w:t xml:space="preserve"> według cech społeczno-demograficznych</w:t>
      </w:r>
      <w:bookmarkEnd w:id="20"/>
    </w:p>
    <w:p w14:paraId="328B802F" w14:textId="77777777" w:rsidR="00FE71CE" w:rsidRPr="0028226B" w:rsidRDefault="00FE71CE" w:rsidP="00FE71CE">
      <w:pPr>
        <w:rPr>
          <w:rFonts w:ascii="Arial" w:hAnsi="Arial" w:cs="Arial"/>
          <w:sz w:val="24"/>
          <w:szCs w:val="24"/>
        </w:rPr>
      </w:pPr>
      <w:r w:rsidRPr="0028226B">
        <w:rPr>
          <w:rFonts w:ascii="Arial" w:hAnsi="Arial" w:cs="Arial"/>
          <w:noProof/>
          <w:sz w:val="24"/>
          <w:szCs w:val="24"/>
        </w:rPr>
        <w:drawing>
          <wp:inline distT="0" distB="0" distL="0" distR="0" wp14:anchorId="0F8336A0" wp14:editId="09C81F89">
            <wp:extent cx="5486400" cy="7551420"/>
            <wp:effectExtent l="0" t="0" r="0" b="0"/>
            <wp:docPr id="1826257917" name="Wykres 5" descr="Wykres przedstawia odpowiedzi na pytanie „Czy tematyka Funduszy Europejskich jest dla Pana(i) interesująca?” w podziale na płeć, wiek, wykształcenie i wielkość miejscowości zamieszkania. Wyniki przedstawiono w dwóch kategoriach: „tak” oraz „nie”.&#10;&#10;Ogółem: 79,9% deklaruje zainteresowanie, 20,1% nie jest zainteresowanych.&#10;&#10;Płeć:&#10;Kobiety – 78,6% „tak”, 21,4% „nie”.&#10;Mężczyźni – 81,1% „tak”, 18,9% „nie”.&#10;&#10;Wiek:&#10;15–19 lat – 74,6% „tak”, 25,4% „nie”.&#10;20–24 lata – 83,6% „tak”, 16,4% „nie”.&#10;25–34 lata – 81,8% „tak”, 18,1% „nie”.&#10;35–44 lata – 79,5% „tak”, 20,5% „nie”.&#10;45–54 lata – 76,6% „tak”, 23,4% „nie”.&#10;55–64 lata – 81,9% „tak”, 18,1% „nie”.&#10;65+ – 78,5% „tak”, 21,5% „nie”.&#10;&#10;Wykształcenie:&#10;Wyższe – 80,7% „tak”, 19,3% „nie”.&#10;Średnie – 79,4% „tak”, 20,6% „nie”.&#10;Zawodowe – 80,8% „tak”, 19,2% „nie”.&#10;Podstawowe – 78,2% „tak”, 21,8% „nie”.&#10;&#10;Wielkość miejscowości:&#10;Wieś – 80,6% „tak”, 19,4% „nie”.&#10;Miasta do 20 tys. mieszkańców – 77,0% „tak”, 23,0% „nie”.&#10;20–49 tys. – 79,8% „tak”, 20,2% „nie”.&#10;50–199 tys. – 83,9% „tak”, 16,1% „nie”.&#10;200–499 tys. – 72,8% „tak”, 27,2% „nie”.&#10;Powyżej 500 tys. – 80,9% „tak”, 19,1% „nie”."/>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2CC15268" w14:textId="352BCD4E" w:rsidR="00FE71CE" w:rsidRPr="00672A70" w:rsidRDefault="00FE71CE" w:rsidP="00FE71CE">
      <w:pPr>
        <w:rPr>
          <w:rFonts w:ascii="Arial" w:hAnsi="Arial" w:cs="Arial"/>
          <w:color w:val="000000" w:themeColor="text1"/>
          <w:sz w:val="24"/>
          <w:szCs w:val="24"/>
        </w:rPr>
      </w:pPr>
      <w:r w:rsidRPr="00672A70">
        <w:rPr>
          <w:rFonts w:ascii="Arial" w:hAnsi="Arial" w:cs="Arial"/>
          <w:color w:val="000000" w:themeColor="text1"/>
          <w:sz w:val="24"/>
          <w:szCs w:val="24"/>
        </w:rPr>
        <w:t>Źródło: Opracowano na podstawie badania CAPI</w:t>
      </w:r>
      <w:r w:rsidR="00995031">
        <w:rPr>
          <w:rFonts w:ascii="Arial" w:hAnsi="Arial" w:cs="Arial"/>
          <w:sz w:val="24"/>
          <w:szCs w:val="24"/>
        </w:rPr>
        <w:t>; odpowiadający: znający pojęcie FE</w:t>
      </w:r>
    </w:p>
    <w:p w14:paraId="1BB5F2E7" w14:textId="135CE189" w:rsidR="008E232B" w:rsidRPr="0028226B" w:rsidRDefault="63052440" w:rsidP="00696C0B">
      <w:pPr>
        <w:spacing w:line="360" w:lineRule="auto"/>
        <w:rPr>
          <w:rFonts w:ascii="Arial" w:hAnsi="Arial" w:cs="Arial"/>
          <w:sz w:val="24"/>
          <w:szCs w:val="24"/>
        </w:rPr>
      </w:pPr>
      <w:r w:rsidRPr="0028226B">
        <w:rPr>
          <w:rFonts w:ascii="Arial" w:hAnsi="Arial" w:cs="Arial"/>
          <w:sz w:val="24"/>
          <w:szCs w:val="24"/>
        </w:rPr>
        <w:lastRenderedPageBreak/>
        <w:t xml:space="preserve">Z odpowiedzi respondentów wynika, że w </w:t>
      </w:r>
      <w:r w:rsidR="09F6DD78" w:rsidRPr="0028226B">
        <w:rPr>
          <w:rFonts w:ascii="Arial" w:hAnsi="Arial" w:cs="Arial"/>
          <w:sz w:val="24"/>
          <w:szCs w:val="24"/>
        </w:rPr>
        <w:t>temacie</w:t>
      </w:r>
      <w:r w:rsidRPr="0028226B">
        <w:rPr>
          <w:rFonts w:ascii="Arial" w:hAnsi="Arial" w:cs="Arial"/>
          <w:sz w:val="24"/>
          <w:szCs w:val="24"/>
        </w:rPr>
        <w:t xml:space="preserve"> Funduszy Europejskich naj</w:t>
      </w:r>
      <w:r w:rsidR="573D50AF" w:rsidRPr="0028226B">
        <w:rPr>
          <w:rFonts w:ascii="Arial" w:hAnsi="Arial" w:cs="Arial"/>
          <w:sz w:val="24"/>
          <w:szCs w:val="24"/>
        </w:rPr>
        <w:t>bardziej interesuje ich to,</w:t>
      </w:r>
      <w:r w:rsidR="00B829A1">
        <w:rPr>
          <w:rFonts w:ascii="Arial" w:hAnsi="Arial" w:cs="Arial"/>
          <w:sz w:val="24"/>
          <w:szCs w:val="24"/>
        </w:rPr>
        <w:t xml:space="preserve"> </w:t>
      </w:r>
      <w:r w:rsidRPr="0028226B">
        <w:rPr>
          <w:rFonts w:ascii="Arial" w:hAnsi="Arial" w:cs="Arial"/>
          <w:sz w:val="24"/>
          <w:szCs w:val="24"/>
        </w:rPr>
        <w:t>w na co przeznaczane są środki. Tę odpowiedź wskazała ponad połowa badanych (52%). Drugą pod względem popularności kategorią jest wpływ Funduszy Europejskich na rozwój kraju (3</w:t>
      </w:r>
      <w:r w:rsidR="005B39F7">
        <w:rPr>
          <w:rFonts w:ascii="Arial" w:hAnsi="Arial" w:cs="Arial"/>
          <w:sz w:val="24"/>
          <w:szCs w:val="24"/>
        </w:rPr>
        <w:t>4</w:t>
      </w:r>
      <w:r w:rsidRPr="0028226B">
        <w:rPr>
          <w:rFonts w:ascii="Arial" w:hAnsi="Arial" w:cs="Arial"/>
          <w:sz w:val="24"/>
          <w:szCs w:val="24"/>
        </w:rPr>
        <w:t>%), co pokazuje, że część respondentów poszukuje szerszego kontekstu makroekonomicznego i efektów widocznych na poziomie państwa. Kolejne wskazanie dotyczy sposobu i efektywności wykorzystywania funduszy (</w:t>
      </w:r>
      <w:r w:rsidR="005B39F7">
        <w:rPr>
          <w:rFonts w:ascii="Arial" w:hAnsi="Arial" w:cs="Arial"/>
          <w:sz w:val="24"/>
          <w:szCs w:val="24"/>
        </w:rPr>
        <w:t>26</w:t>
      </w:r>
      <w:r w:rsidRPr="0028226B">
        <w:rPr>
          <w:rFonts w:ascii="Arial" w:hAnsi="Arial" w:cs="Arial"/>
          <w:sz w:val="24"/>
          <w:szCs w:val="24"/>
        </w:rPr>
        <w:t>%) oraz tego, w jaki sposób można ubiegać się o środki europejskie (22%). Zainteresowanie dwoma bardziej praktycznymi aspektami – zasadami aplikowania o środki oraz efektywnością ich wykorzystania – utrzymuje się więc na umiarkowanym poziomie.</w:t>
      </w:r>
    </w:p>
    <w:p w14:paraId="2E345758" w14:textId="4D00DCB4" w:rsidR="008E232B" w:rsidRPr="0028226B" w:rsidRDefault="63052440" w:rsidP="00696C0B">
      <w:pPr>
        <w:spacing w:line="360" w:lineRule="auto"/>
        <w:rPr>
          <w:rFonts w:ascii="Arial" w:hAnsi="Arial" w:cs="Arial"/>
          <w:sz w:val="24"/>
          <w:szCs w:val="24"/>
        </w:rPr>
      </w:pPr>
      <w:r w:rsidRPr="0028226B">
        <w:rPr>
          <w:rFonts w:ascii="Arial" w:hAnsi="Arial" w:cs="Arial"/>
          <w:sz w:val="24"/>
          <w:szCs w:val="24"/>
        </w:rPr>
        <w:t>Z kolei relatywnie najmniej respondentów wskazało na kwestie związane z tym, kto może ubiegać się o dofinansowanie oraz wpływ funduszy na rozwój regionu (</w:t>
      </w:r>
      <w:r w:rsidR="008032EE">
        <w:rPr>
          <w:rFonts w:ascii="Arial" w:hAnsi="Arial" w:cs="Arial"/>
          <w:sz w:val="24"/>
          <w:szCs w:val="24"/>
        </w:rPr>
        <w:t xml:space="preserve">odpowiednio po </w:t>
      </w:r>
      <w:r w:rsidRPr="0028226B">
        <w:rPr>
          <w:rFonts w:ascii="Arial" w:hAnsi="Arial" w:cs="Arial"/>
          <w:sz w:val="24"/>
          <w:szCs w:val="24"/>
        </w:rPr>
        <w:t>1</w:t>
      </w:r>
      <w:r w:rsidR="005B39F7">
        <w:rPr>
          <w:rFonts w:ascii="Arial" w:hAnsi="Arial" w:cs="Arial"/>
          <w:sz w:val="24"/>
          <w:szCs w:val="24"/>
        </w:rPr>
        <w:t>6</w:t>
      </w:r>
      <w:r w:rsidRPr="0028226B">
        <w:rPr>
          <w:rFonts w:ascii="Arial" w:hAnsi="Arial" w:cs="Arial"/>
          <w:sz w:val="24"/>
          <w:szCs w:val="24"/>
        </w:rPr>
        <w:t xml:space="preserve">%). Można to interpretować jako mniejsze zapotrzebowanie na informacje o charakterze proceduralnym lub lokalnym w porównaniu z zagadnieniami bardziej ogólnymi. </w:t>
      </w:r>
      <w:r w:rsidR="55363BEA" w:rsidRPr="0028226B">
        <w:rPr>
          <w:rFonts w:ascii="Arial" w:hAnsi="Arial" w:cs="Arial"/>
          <w:sz w:val="24"/>
          <w:szCs w:val="24"/>
        </w:rPr>
        <w:t>Co czwarty</w:t>
      </w:r>
      <w:r w:rsidRPr="0028226B">
        <w:rPr>
          <w:rFonts w:ascii="Arial" w:hAnsi="Arial" w:cs="Arial"/>
          <w:sz w:val="24"/>
          <w:szCs w:val="24"/>
        </w:rPr>
        <w:t xml:space="preserve"> badany zadeklarował brak sprecyzowanego zainteresowania tematyką Funduszy Europejskich – odpowiedź „nie wiem, trudno powiedzieć” wybrało 26% respondentów. </w:t>
      </w:r>
    </w:p>
    <w:p w14:paraId="29079320" w14:textId="77777777" w:rsidR="008E232B" w:rsidRPr="0028226B" w:rsidRDefault="63052440" w:rsidP="00696C0B">
      <w:pPr>
        <w:spacing w:line="360" w:lineRule="auto"/>
        <w:rPr>
          <w:rFonts w:ascii="Arial" w:hAnsi="Arial" w:cs="Arial"/>
          <w:sz w:val="24"/>
          <w:szCs w:val="24"/>
        </w:rPr>
      </w:pPr>
      <w:r w:rsidRPr="0028226B">
        <w:rPr>
          <w:rFonts w:ascii="Arial" w:hAnsi="Arial" w:cs="Arial"/>
          <w:sz w:val="24"/>
          <w:szCs w:val="24"/>
        </w:rPr>
        <w:t>Łącznie struktura odpowiedzi wskazuje, że badani najczęściej szukają wiedzy o faktycznych kierunkach wydatkowania funduszy oraz wpływie środków europejskich na rozwój kraju, natomiast rzadziej interesują ich kwestie proceduralne lub szczegółowe kryteria ubiegania się o wsparcie.</w:t>
      </w:r>
    </w:p>
    <w:p w14:paraId="1CB86958" w14:textId="0CB3DA9E" w:rsidR="004A4F12" w:rsidRPr="0028226B" w:rsidRDefault="0F41619F" w:rsidP="00696C0B">
      <w:pPr>
        <w:spacing w:line="360" w:lineRule="auto"/>
        <w:rPr>
          <w:rFonts w:ascii="Arial" w:hAnsi="Arial" w:cs="Arial"/>
          <w:sz w:val="24"/>
          <w:szCs w:val="24"/>
        </w:rPr>
      </w:pPr>
      <w:r w:rsidRPr="0028226B">
        <w:rPr>
          <w:rFonts w:ascii="Arial" w:hAnsi="Arial" w:cs="Arial"/>
          <w:sz w:val="24"/>
          <w:szCs w:val="24"/>
        </w:rPr>
        <w:t xml:space="preserve">W </w:t>
      </w:r>
      <w:r w:rsidR="2941F2FF" w:rsidRPr="0028226B">
        <w:rPr>
          <w:rFonts w:ascii="Arial" w:hAnsi="Arial" w:cs="Arial"/>
          <w:sz w:val="24"/>
          <w:szCs w:val="24"/>
        </w:rPr>
        <w:t xml:space="preserve">odpowiedziach </w:t>
      </w:r>
      <w:r w:rsidR="5F15D51F" w:rsidRPr="0028226B">
        <w:rPr>
          <w:rFonts w:ascii="Arial" w:hAnsi="Arial" w:cs="Arial"/>
          <w:sz w:val="24"/>
          <w:szCs w:val="24"/>
        </w:rPr>
        <w:t xml:space="preserve">różnych </w:t>
      </w:r>
      <w:r w:rsidRPr="0028226B">
        <w:rPr>
          <w:rFonts w:ascii="Arial" w:hAnsi="Arial" w:cs="Arial"/>
          <w:sz w:val="24"/>
          <w:szCs w:val="24"/>
        </w:rPr>
        <w:t>grup społeczny</w:t>
      </w:r>
      <w:r w:rsidR="7FA4B7E9" w:rsidRPr="0028226B">
        <w:rPr>
          <w:rFonts w:ascii="Arial" w:hAnsi="Arial" w:cs="Arial"/>
          <w:sz w:val="24"/>
          <w:szCs w:val="24"/>
        </w:rPr>
        <w:t>ch</w:t>
      </w:r>
      <w:r w:rsidRPr="0028226B">
        <w:rPr>
          <w:rFonts w:ascii="Arial" w:hAnsi="Arial" w:cs="Arial"/>
          <w:sz w:val="24"/>
          <w:szCs w:val="24"/>
        </w:rPr>
        <w:t xml:space="preserve"> wid</w:t>
      </w:r>
      <w:r w:rsidR="5D288C7C" w:rsidRPr="0028226B">
        <w:rPr>
          <w:rFonts w:ascii="Arial" w:hAnsi="Arial" w:cs="Arial"/>
          <w:sz w:val="24"/>
          <w:szCs w:val="24"/>
        </w:rPr>
        <w:t>ać</w:t>
      </w:r>
      <w:r w:rsidRPr="0028226B">
        <w:rPr>
          <w:rFonts w:ascii="Arial" w:hAnsi="Arial" w:cs="Arial"/>
          <w:sz w:val="24"/>
          <w:szCs w:val="24"/>
        </w:rPr>
        <w:t xml:space="preserve"> </w:t>
      </w:r>
      <w:r w:rsidR="352FD15B" w:rsidRPr="0028226B">
        <w:rPr>
          <w:rFonts w:ascii="Arial" w:hAnsi="Arial" w:cs="Arial"/>
          <w:sz w:val="24"/>
          <w:szCs w:val="24"/>
        </w:rPr>
        <w:t xml:space="preserve">tylko </w:t>
      </w:r>
      <w:r w:rsidRPr="0028226B">
        <w:rPr>
          <w:rFonts w:ascii="Arial" w:hAnsi="Arial" w:cs="Arial"/>
          <w:sz w:val="24"/>
          <w:szCs w:val="24"/>
        </w:rPr>
        <w:t xml:space="preserve">niewielkie </w:t>
      </w:r>
      <w:r w:rsidR="0CFA24E9" w:rsidRPr="0028226B">
        <w:rPr>
          <w:rFonts w:ascii="Arial" w:hAnsi="Arial" w:cs="Arial"/>
          <w:sz w:val="24"/>
          <w:szCs w:val="24"/>
        </w:rPr>
        <w:t xml:space="preserve">różnice </w:t>
      </w:r>
      <w:r w:rsidRPr="0028226B">
        <w:rPr>
          <w:rFonts w:ascii="Arial" w:hAnsi="Arial" w:cs="Arial"/>
          <w:sz w:val="24"/>
          <w:szCs w:val="24"/>
        </w:rPr>
        <w:t>w zainteresowani</w:t>
      </w:r>
      <w:r w:rsidR="232A63C1" w:rsidRPr="0028226B">
        <w:rPr>
          <w:rFonts w:ascii="Arial" w:hAnsi="Arial" w:cs="Arial"/>
          <w:sz w:val="24"/>
          <w:szCs w:val="24"/>
        </w:rPr>
        <w:t>u</w:t>
      </w:r>
      <w:r w:rsidRPr="0028226B">
        <w:rPr>
          <w:rFonts w:ascii="Arial" w:hAnsi="Arial" w:cs="Arial"/>
          <w:sz w:val="24"/>
          <w:szCs w:val="24"/>
        </w:rPr>
        <w:t xml:space="preserve"> poszczególnymi aspektami Funduszy Europejskich. W podziale na płeć rozkłady odpowiedzi są niemal identyczne – zarówno kobiety, jak i mężczyźni </w:t>
      </w:r>
      <w:r w:rsidR="003C0DBE">
        <w:rPr>
          <w:rFonts w:ascii="Arial" w:hAnsi="Arial" w:cs="Arial"/>
          <w:sz w:val="24"/>
          <w:szCs w:val="24"/>
        </w:rPr>
        <w:t>równie</w:t>
      </w:r>
      <w:r w:rsidR="003C0DBE" w:rsidRPr="0028226B">
        <w:rPr>
          <w:rFonts w:ascii="Arial" w:hAnsi="Arial" w:cs="Arial"/>
          <w:sz w:val="24"/>
          <w:szCs w:val="24"/>
        </w:rPr>
        <w:t xml:space="preserve"> </w:t>
      </w:r>
      <w:r w:rsidRPr="0028226B">
        <w:rPr>
          <w:rFonts w:ascii="Arial" w:hAnsi="Arial" w:cs="Arial"/>
          <w:sz w:val="24"/>
          <w:szCs w:val="24"/>
        </w:rPr>
        <w:t>często wskazują każdą z analizowanych kategorii. Różnice nie przekraczają kilku punktów procentowych, przy czym mężczyźni nieco częściej wybierają kwestie związane ze sposobem i efektywnością wykorzystywania funduszy (2</w:t>
      </w:r>
      <w:r w:rsidR="005B39F7">
        <w:rPr>
          <w:rFonts w:ascii="Arial" w:hAnsi="Arial" w:cs="Arial"/>
          <w:sz w:val="24"/>
          <w:szCs w:val="24"/>
        </w:rPr>
        <w:t>7</w:t>
      </w:r>
      <w:r w:rsidRPr="0028226B">
        <w:rPr>
          <w:rFonts w:ascii="Arial" w:hAnsi="Arial" w:cs="Arial"/>
          <w:sz w:val="24"/>
          <w:szCs w:val="24"/>
        </w:rPr>
        <w:t>%) oraz wpływem środków na rozwój kraju (3</w:t>
      </w:r>
      <w:r w:rsidR="005B39F7">
        <w:rPr>
          <w:rFonts w:ascii="Arial" w:hAnsi="Arial" w:cs="Arial"/>
          <w:sz w:val="24"/>
          <w:szCs w:val="24"/>
        </w:rPr>
        <w:t>4</w:t>
      </w:r>
      <w:r w:rsidRPr="0028226B">
        <w:rPr>
          <w:rFonts w:ascii="Arial" w:hAnsi="Arial" w:cs="Arial"/>
          <w:sz w:val="24"/>
          <w:szCs w:val="24"/>
        </w:rPr>
        <w:t>%), natomiast kobiety minimalnie częściej interesują się tematami proceduralnymi, w tym zasadami ubiegania się o środki (2</w:t>
      </w:r>
      <w:r w:rsidR="005B39F7">
        <w:rPr>
          <w:rFonts w:ascii="Arial" w:hAnsi="Arial" w:cs="Arial"/>
          <w:sz w:val="24"/>
          <w:szCs w:val="24"/>
        </w:rPr>
        <w:t>3</w:t>
      </w:r>
      <w:r w:rsidRPr="0028226B">
        <w:rPr>
          <w:rFonts w:ascii="Arial" w:hAnsi="Arial" w:cs="Arial"/>
          <w:sz w:val="24"/>
          <w:szCs w:val="24"/>
        </w:rPr>
        <w:t>%).</w:t>
      </w:r>
    </w:p>
    <w:p w14:paraId="69AE2152" w14:textId="7D083475" w:rsidR="004A4F12" w:rsidRPr="0028226B" w:rsidRDefault="0F41619F" w:rsidP="00696C0B">
      <w:pPr>
        <w:spacing w:line="360" w:lineRule="auto"/>
        <w:rPr>
          <w:rFonts w:ascii="Arial" w:hAnsi="Arial" w:cs="Arial"/>
          <w:sz w:val="24"/>
          <w:szCs w:val="24"/>
        </w:rPr>
      </w:pPr>
      <w:r w:rsidRPr="0028226B">
        <w:rPr>
          <w:rFonts w:ascii="Arial" w:hAnsi="Arial" w:cs="Arial"/>
          <w:sz w:val="24"/>
          <w:szCs w:val="24"/>
        </w:rPr>
        <w:t>W podziale na wiek występują bardziej wyraźne zróżnicowania. Najmłodsza grupa (15–19 lat) wyróżnia się stosunkowo wysokim zainteresowaniem przeznaczen</w:t>
      </w:r>
      <w:r w:rsidR="2941F2FF" w:rsidRPr="0028226B">
        <w:rPr>
          <w:rFonts w:ascii="Arial" w:hAnsi="Arial" w:cs="Arial"/>
          <w:sz w:val="24"/>
          <w:szCs w:val="24"/>
        </w:rPr>
        <w:t>ia</w:t>
      </w:r>
      <w:r w:rsidRPr="0028226B">
        <w:rPr>
          <w:rFonts w:ascii="Arial" w:hAnsi="Arial" w:cs="Arial"/>
          <w:sz w:val="24"/>
          <w:szCs w:val="24"/>
        </w:rPr>
        <w:t xml:space="preserve"> </w:t>
      </w:r>
      <w:r w:rsidRPr="0028226B">
        <w:rPr>
          <w:rFonts w:ascii="Arial" w:hAnsi="Arial" w:cs="Arial"/>
          <w:sz w:val="24"/>
          <w:szCs w:val="24"/>
        </w:rPr>
        <w:lastRenderedPageBreak/>
        <w:t>funduszy (61%) oraz możliwością ubiegania się o środki (3</w:t>
      </w:r>
      <w:r w:rsidR="005B39F7">
        <w:rPr>
          <w:rFonts w:ascii="Arial" w:hAnsi="Arial" w:cs="Arial"/>
          <w:sz w:val="24"/>
          <w:szCs w:val="24"/>
        </w:rPr>
        <w:t>2</w:t>
      </w:r>
      <w:r w:rsidRPr="0028226B">
        <w:rPr>
          <w:rFonts w:ascii="Arial" w:hAnsi="Arial" w:cs="Arial"/>
          <w:sz w:val="24"/>
          <w:szCs w:val="24"/>
        </w:rPr>
        <w:t>%), jednocześnie najrzadziej wskazując zainteresowanie kryterium „kto może ubiegać się o dofinansowanie” (</w:t>
      </w:r>
      <w:r w:rsidR="005B39F7">
        <w:rPr>
          <w:rFonts w:ascii="Arial" w:hAnsi="Arial" w:cs="Arial"/>
          <w:sz w:val="24"/>
          <w:szCs w:val="24"/>
        </w:rPr>
        <w:t>5</w:t>
      </w:r>
      <w:r w:rsidRPr="0028226B">
        <w:rPr>
          <w:rFonts w:ascii="Arial" w:hAnsi="Arial" w:cs="Arial"/>
          <w:sz w:val="24"/>
          <w:szCs w:val="24"/>
        </w:rPr>
        <w:t>%). W grupach 25–34 oraz 35–44 lat częściej pojawiają się odpowiedzi dotyczące efektywności wykorzystywania funduszy (od 26% do 3</w:t>
      </w:r>
      <w:r w:rsidR="005B39F7">
        <w:rPr>
          <w:rFonts w:ascii="Arial" w:hAnsi="Arial" w:cs="Arial"/>
          <w:sz w:val="24"/>
          <w:szCs w:val="24"/>
        </w:rPr>
        <w:t>3</w:t>
      </w:r>
      <w:r w:rsidRPr="0028226B">
        <w:rPr>
          <w:rFonts w:ascii="Arial" w:hAnsi="Arial" w:cs="Arial"/>
          <w:sz w:val="24"/>
          <w:szCs w:val="24"/>
        </w:rPr>
        <w:t xml:space="preserve">%) oraz wpływu na rozwój kraju (od 34% do 39%). W starszych grupach wiekowych </w:t>
      </w:r>
      <w:r w:rsidR="006D481D">
        <w:rPr>
          <w:rFonts w:ascii="Arial" w:hAnsi="Arial" w:cs="Arial"/>
          <w:sz w:val="24"/>
          <w:szCs w:val="24"/>
        </w:rPr>
        <w:t>rozkład odpowiedzi jest bardziej równomierny</w:t>
      </w:r>
      <w:r w:rsidRPr="0028226B">
        <w:rPr>
          <w:rFonts w:ascii="Arial" w:hAnsi="Arial" w:cs="Arial"/>
          <w:sz w:val="24"/>
          <w:szCs w:val="24"/>
        </w:rPr>
        <w:t>, bez wyraźnych skoków zainteresowania poszczególnymi kategoriami.</w:t>
      </w:r>
    </w:p>
    <w:p w14:paraId="69C9F3A1" w14:textId="481B836D" w:rsidR="006D481D" w:rsidRDefault="006D481D" w:rsidP="00696C0B">
      <w:pPr>
        <w:spacing w:line="360" w:lineRule="auto"/>
        <w:rPr>
          <w:rFonts w:ascii="Arial" w:hAnsi="Arial" w:cs="Arial"/>
          <w:sz w:val="24"/>
          <w:szCs w:val="24"/>
        </w:rPr>
      </w:pPr>
      <w:r w:rsidRPr="006D481D">
        <w:rPr>
          <w:rFonts w:ascii="Arial" w:hAnsi="Arial" w:cs="Arial"/>
          <w:sz w:val="24"/>
          <w:szCs w:val="24"/>
        </w:rPr>
        <w:t>Wykształcenie różnicuje odpowiedzi jedynie w niewielkim stopniu. Osoby z wykształceniem zawodowym i wyższym częściej niż pozostali wskazują zainteresowanie efektywnością wydatkowania środków (odpowiednio 2</w:t>
      </w:r>
      <w:r w:rsidR="005B39F7">
        <w:rPr>
          <w:rFonts w:ascii="Arial" w:hAnsi="Arial" w:cs="Arial"/>
          <w:sz w:val="24"/>
          <w:szCs w:val="24"/>
        </w:rPr>
        <w:t>8</w:t>
      </w:r>
      <w:r w:rsidRPr="006D481D">
        <w:rPr>
          <w:rFonts w:ascii="Arial" w:hAnsi="Arial" w:cs="Arial"/>
          <w:sz w:val="24"/>
          <w:szCs w:val="24"/>
        </w:rPr>
        <w:t>% i 27%). Z kolei w przypadku zainteresowania wpływem Funduszy Europejskich na rozwój kraju najwyższe odsetki występują wśród osób z wykształceniem podstawowym (około 35%) oraz zawodowym (3</w:t>
      </w:r>
      <w:r w:rsidR="005B39F7">
        <w:rPr>
          <w:rFonts w:ascii="Arial" w:hAnsi="Arial" w:cs="Arial"/>
          <w:sz w:val="24"/>
          <w:szCs w:val="24"/>
        </w:rPr>
        <w:t>4</w:t>
      </w:r>
      <w:r w:rsidRPr="006D481D">
        <w:rPr>
          <w:rFonts w:ascii="Arial" w:hAnsi="Arial" w:cs="Arial"/>
          <w:sz w:val="24"/>
          <w:szCs w:val="24"/>
        </w:rPr>
        <w:t>%). Osoby z wykształceniem średnim i podstawowym najczęściej wybierają informacje dotyczące tego, na co przeznaczane są środki europejskie (od 5</w:t>
      </w:r>
      <w:r w:rsidR="005B39F7">
        <w:rPr>
          <w:rFonts w:ascii="Arial" w:hAnsi="Arial" w:cs="Arial"/>
          <w:sz w:val="24"/>
          <w:szCs w:val="24"/>
        </w:rPr>
        <w:t>1</w:t>
      </w:r>
      <w:r w:rsidRPr="006D481D">
        <w:rPr>
          <w:rFonts w:ascii="Arial" w:hAnsi="Arial" w:cs="Arial"/>
          <w:sz w:val="24"/>
          <w:szCs w:val="24"/>
        </w:rPr>
        <w:t>% do 5</w:t>
      </w:r>
      <w:r w:rsidR="005B39F7">
        <w:rPr>
          <w:rFonts w:ascii="Arial" w:hAnsi="Arial" w:cs="Arial"/>
          <w:sz w:val="24"/>
          <w:szCs w:val="24"/>
        </w:rPr>
        <w:t>6</w:t>
      </w:r>
      <w:r w:rsidRPr="006D481D">
        <w:rPr>
          <w:rFonts w:ascii="Arial" w:hAnsi="Arial" w:cs="Arial"/>
          <w:sz w:val="24"/>
          <w:szCs w:val="24"/>
        </w:rPr>
        <w:t>%). W przypadku kategorii „kto może ubiegać się o dofinansowanie” różnice między poziomami wykształcenia pozostają niewielkie (od 1</w:t>
      </w:r>
      <w:r w:rsidR="005B39F7">
        <w:rPr>
          <w:rFonts w:ascii="Arial" w:hAnsi="Arial" w:cs="Arial"/>
          <w:sz w:val="24"/>
          <w:szCs w:val="24"/>
        </w:rPr>
        <w:t>3</w:t>
      </w:r>
      <w:r w:rsidRPr="006D481D">
        <w:rPr>
          <w:rFonts w:ascii="Arial" w:hAnsi="Arial" w:cs="Arial"/>
          <w:sz w:val="24"/>
          <w:szCs w:val="24"/>
        </w:rPr>
        <w:t>% do 1</w:t>
      </w:r>
      <w:r w:rsidR="005B39F7">
        <w:rPr>
          <w:rFonts w:ascii="Arial" w:hAnsi="Arial" w:cs="Arial"/>
          <w:sz w:val="24"/>
          <w:szCs w:val="24"/>
        </w:rPr>
        <w:t>9</w:t>
      </w:r>
      <w:r w:rsidRPr="006D481D">
        <w:rPr>
          <w:rFonts w:ascii="Arial" w:hAnsi="Arial" w:cs="Arial"/>
          <w:sz w:val="24"/>
          <w:szCs w:val="24"/>
        </w:rPr>
        <w:t>%).</w:t>
      </w:r>
    </w:p>
    <w:p w14:paraId="5614AC15" w14:textId="1EB5C393" w:rsidR="004A4F12" w:rsidRPr="0028226B" w:rsidRDefault="0F41619F" w:rsidP="00696C0B">
      <w:pPr>
        <w:spacing w:line="360" w:lineRule="auto"/>
        <w:rPr>
          <w:rFonts w:ascii="Arial" w:hAnsi="Arial" w:cs="Arial"/>
          <w:sz w:val="24"/>
          <w:szCs w:val="24"/>
        </w:rPr>
      </w:pPr>
      <w:r w:rsidRPr="0028226B">
        <w:rPr>
          <w:rFonts w:ascii="Arial" w:hAnsi="Arial" w:cs="Arial"/>
          <w:sz w:val="24"/>
          <w:szCs w:val="24"/>
        </w:rPr>
        <w:t xml:space="preserve">Wielkość miejscowości zamieszkania wprowadza bardziej czytelne rozbieżności w odpowiedziach dotyczących poszczególnych tematów. Mieszkańcy najmniejszych miejscowości (do 20 tys.) częściej niż </w:t>
      </w:r>
      <w:r w:rsidR="7486F62E" w:rsidRPr="0028226B">
        <w:rPr>
          <w:rFonts w:ascii="Arial" w:hAnsi="Arial" w:cs="Arial"/>
          <w:sz w:val="24"/>
          <w:szCs w:val="24"/>
        </w:rPr>
        <w:t xml:space="preserve">pozostałe </w:t>
      </w:r>
      <w:r w:rsidRPr="0028226B">
        <w:rPr>
          <w:rFonts w:ascii="Arial" w:hAnsi="Arial" w:cs="Arial"/>
          <w:sz w:val="24"/>
          <w:szCs w:val="24"/>
        </w:rPr>
        <w:t xml:space="preserve">grupy wskazują zainteresowanie kwestią możliwości ubiegania się o dofinansowanie (23%). </w:t>
      </w:r>
      <w:r w:rsidR="1A6D4E81" w:rsidRPr="0028226B">
        <w:rPr>
          <w:rFonts w:ascii="Arial" w:hAnsi="Arial" w:cs="Arial"/>
          <w:sz w:val="24"/>
          <w:szCs w:val="24"/>
        </w:rPr>
        <w:t>Mieszkańcy n</w:t>
      </w:r>
      <w:r w:rsidRPr="0028226B">
        <w:rPr>
          <w:rFonts w:ascii="Arial" w:hAnsi="Arial" w:cs="Arial"/>
          <w:sz w:val="24"/>
          <w:szCs w:val="24"/>
        </w:rPr>
        <w:t>ajwiększ</w:t>
      </w:r>
      <w:r w:rsidR="6F5DEA58" w:rsidRPr="0028226B">
        <w:rPr>
          <w:rFonts w:ascii="Arial" w:hAnsi="Arial" w:cs="Arial"/>
          <w:sz w:val="24"/>
          <w:szCs w:val="24"/>
        </w:rPr>
        <w:t>ych</w:t>
      </w:r>
      <w:r w:rsidRPr="0028226B">
        <w:rPr>
          <w:rFonts w:ascii="Arial" w:hAnsi="Arial" w:cs="Arial"/>
          <w:sz w:val="24"/>
          <w:szCs w:val="24"/>
        </w:rPr>
        <w:t xml:space="preserve"> miast (powyżej 500 tys. mieszkańców) częściej wykazują zainteresowanie wykorzystaniem funduszy oraz ich przeznaczeniem, natomiast </w:t>
      </w:r>
      <w:r w:rsidR="7FA270AF" w:rsidRPr="0028226B">
        <w:rPr>
          <w:rFonts w:ascii="Arial" w:hAnsi="Arial" w:cs="Arial"/>
          <w:sz w:val="24"/>
          <w:szCs w:val="24"/>
        </w:rPr>
        <w:t xml:space="preserve">osoby zamieszkujące </w:t>
      </w:r>
      <w:r w:rsidRPr="0028226B">
        <w:rPr>
          <w:rFonts w:ascii="Arial" w:hAnsi="Arial" w:cs="Arial"/>
          <w:sz w:val="24"/>
          <w:szCs w:val="24"/>
        </w:rPr>
        <w:t>średnie miasta (50–199 tys.) wyróżniają się większym niż przeciętnie zainteresowaniem efektywnością wydatkowania środków (34%).</w:t>
      </w:r>
    </w:p>
    <w:p w14:paraId="0E122BC1" w14:textId="3D907F6A" w:rsidR="008E232B" w:rsidRPr="0028226B" w:rsidRDefault="63052440" w:rsidP="00B829A1">
      <w:pPr>
        <w:pStyle w:val="Legenda"/>
        <w:keepNext/>
        <w:spacing w:after="0"/>
        <w:rPr>
          <w:rFonts w:ascii="Arial" w:hAnsi="Arial" w:cs="Arial"/>
          <w:b/>
          <w:bCs/>
          <w:i w:val="0"/>
          <w:iCs w:val="0"/>
          <w:sz w:val="24"/>
          <w:szCs w:val="24"/>
        </w:rPr>
      </w:pPr>
      <w:bookmarkStart w:id="21" w:name="_Toc219369237"/>
      <w:r w:rsidRPr="0028226B">
        <w:rPr>
          <w:rFonts w:ascii="Arial" w:hAnsi="Arial" w:cs="Arial"/>
          <w:b/>
          <w:bCs/>
          <w:i w:val="0"/>
          <w:iCs w:val="0"/>
          <w:color w:val="auto"/>
          <w:sz w:val="24"/>
          <w:szCs w:val="24"/>
        </w:rPr>
        <w:lastRenderedPageBreak/>
        <w:t xml:space="preserve">Wykres </w:t>
      </w:r>
      <w:r w:rsidR="008E232B" w:rsidRPr="0028226B">
        <w:rPr>
          <w:rFonts w:ascii="Arial" w:hAnsi="Arial" w:cs="Arial"/>
          <w:b/>
          <w:bCs/>
          <w:i w:val="0"/>
          <w:iCs w:val="0"/>
          <w:color w:val="auto"/>
          <w:sz w:val="24"/>
          <w:szCs w:val="24"/>
        </w:rPr>
        <w:fldChar w:fldCharType="begin"/>
      </w:r>
      <w:r w:rsidR="008E232B" w:rsidRPr="0028226B">
        <w:rPr>
          <w:rFonts w:ascii="Arial" w:hAnsi="Arial" w:cs="Arial"/>
          <w:b/>
          <w:bCs/>
          <w:i w:val="0"/>
          <w:iCs w:val="0"/>
          <w:color w:val="auto"/>
          <w:sz w:val="24"/>
          <w:szCs w:val="24"/>
        </w:rPr>
        <w:instrText xml:space="preserve"> SEQ Wykres \* ARABIC </w:instrText>
      </w:r>
      <w:r w:rsidR="008E232B" w:rsidRPr="0028226B">
        <w:rPr>
          <w:rFonts w:ascii="Arial" w:hAnsi="Arial" w:cs="Arial"/>
          <w:b/>
          <w:bCs/>
          <w:i w:val="0"/>
          <w:iCs w:val="0"/>
          <w:color w:val="auto"/>
          <w:sz w:val="24"/>
          <w:szCs w:val="24"/>
        </w:rPr>
        <w:fldChar w:fldCharType="separate"/>
      </w:r>
      <w:r w:rsidR="0055789E">
        <w:rPr>
          <w:rFonts w:ascii="Arial" w:hAnsi="Arial" w:cs="Arial"/>
          <w:b/>
          <w:bCs/>
          <w:i w:val="0"/>
          <w:iCs w:val="0"/>
          <w:noProof/>
          <w:color w:val="auto"/>
          <w:sz w:val="24"/>
          <w:szCs w:val="24"/>
        </w:rPr>
        <w:t>11</w:t>
      </w:r>
      <w:r w:rsidR="008E232B" w:rsidRPr="0028226B">
        <w:rPr>
          <w:rFonts w:ascii="Arial" w:hAnsi="Arial" w:cs="Arial"/>
          <w:b/>
          <w:bCs/>
          <w:i w:val="0"/>
          <w:iCs w:val="0"/>
          <w:color w:val="auto"/>
          <w:sz w:val="24"/>
          <w:szCs w:val="24"/>
        </w:rPr>
        <w:fldChar w:fldCharType="end"/>
      </w:r>
      <w:r w:rsidRPr="0028226B">
        <w:rPr>
          <w:rFonts w:ascii="Arial" w:hAnsi="Arial" w:cs="Arial"/>
          <w:b/>
          <w:bCs/>
          <w:i w:val="0"/>
          <w:iCs w:val="0"/>
          <w:color w:val="auto"/>
          <w:sz w:val="24"/>
          <w:szCs w:val="24"/>
        </w:rPr>
        <w:t xml:space="preserve">. </w:t>
      </w:r>
      <w:r w:rsidR="05099B83" w:rsidRPr="0028226B">
        <w:rPr>
          <w:rFonts w:ascii="Arial" w:hAnsi="Arial" w:cs="Arial"/>
          <w:b/>
          <w:bCs/>
          <w:i w:val="0"/>
          <w:iCs w:val="0"/>
          <w:color w:val="auto"/>
          <w:sz w:val="24"/>
          <w:szCs w:val="24"/>
        </w:rPr>
        <w:t>P7. A co Pana(</w:t>
      </w:r>
      <w:proofErr w:type="spellStart"/>
      <w:r w:rsidR="05099B83" w:rsidRPr="0028226B">
        <w:rPr>
          <w:rFonts w:ascii="Arial" w:hAnsi="Arial" w:cs="Arial"/>
          <w:b/>
          <w:bCs/>
          <w:i w:val="0"/>
          <w:iCs w:val="0"/>
          <w:color w:val="auto"/>
          <w:sz w:val="24"/>
          <w:szCs w:val="24"/>
        </w:rPr>
        <w:t>ią</w:t>
      </w:r>
      <w:proofErr w:type="spellEnd"/>
      <w:r w:rsidR="05099B83" w:rsidRPr="0028226B">
        <w:rPr>
          <w:rFonts w:ascii="Arial" w:hAnsi="Arial" w:cs="Arial"/>
          <w:b/>
          <w:bCs/>
          <w:i w:val="0"/>
          <w:iCs w:val="0"/>
          <w:color w:val="auto"/>
          <w:sz w:val="24"/>
          <w:szCs w:val="24"/>
        </w:rPr>
        <w:t xml:space="preserve">) interesuje </w:t>
      </w:r>
      <w:proofErr w:type="gramStart"/>
      <w:r w:rsidR="05099B83" w:rsidRPr="0028226B">
        <w:rPr>
          <w:rFonts w:ascii="Arial" w:hAnsi="Arial" w:cs="Arial"/>
          <w:b/>
          <w:bCs/>
          <w:i w:val="0"/>
          <w:iCs w:val="0"/>
          <w:color w:val="auto"/>
          <w:sz w:val="24"/>
          <w:szCs w:val="24"/>
        </w:rPr>
        <w:t>najbardziej</w:t>
      </w:r>
      <w:proofErr w:type="gramEnd"/>
      <w:r w:rsidR="05099B83" w:rsidRPr="0028226B">
        <w:rPr>
          <w:rFonts w:ascii="Arial" w:hAnsi="Arial" w:cs="Arial"/>
          <w:b/>
          <w:bCs/>
          <w:i w:val="0"/>
          <w:iCs w:val="0"/>
          <w:color w:val="auto"/>
          <w:sz w:val="24"/>
          <w:szCs w:val="24"/>
        </w:rPr>
        <w:t xml:space="preserve"> jeśli chodzi o Fundusze Europejskie?</w:t>
      </w:r>
      <w:r w:rsidRPr="0028226B">
        <w:rPr>
          <w:rFonts w:ascii="Arial" w:hAnsi="Arial" w:cs="Arial"/>
          <w:b/>
          <w:bCs/>
          <w:i w:val="0"/>
          <w:iCs w:val="0"/>
          <w:noProof/>
          <w:color w:val="auto"/>
          <w:sz w:val="24"/>
          <w:szCs w:val="24"/>
        </w:rPr>
        <w:t xml:space="preserve"> (N=765)</w:t>
      </w:r>
      <w:bookmarkEnd w:id="21"/>
    </w:p>
    <w:p w14:paraId="28197A55" w14:textId="297D2DFB" w:rsidR="001F0DB7" w:rsidRPr="0028226B" w:rsidRDefault="00E009BE" w:rsidP="00CC5DEA">
      <w:pPr>
        <w:rPr>
          <w:rFonts w:ascii="Arial" w:hAnsi="Arial" w:cs="Arial"/>
          <w:sz w:val="24"/>
          <w:szCs w:val="24"/>
        </w:rPr>
      </w:pPr>
      <w:r w:rsidRPr="0028226B">
        <w:rPr>
          <w:rFonts w:ascii="Arial" w:hAnsi="Arial" w:cs="Arial"/>
          <w:noProof/>
          <w:sz w:val="24"/>
          <w:szCs w:val="24"/>
        </w:rPr>
        <w:drawing>
          <wp:inline distT="0" distB="0" distL="0" distR="0" wp14:anchorId="4259D066" wp14:editId="08842D2B">
            <wp:extent cx="5486400" cy="6407727"/>
            <wp:effectExtent l="0" t="0" r="0" b="0"/>
            <wp:docPr id="645789659" name="Wykres 3" descr="Wykres przedstawia odpowiedzi na pytanie „A co Pana(ią) interesuje najbardziej, jeśli chodzi o Fundusze Europejskie?” (N=765). Wyniki zaprezentowano w formie listy kategorii wraz z odsetkami wskazań.&#10;&#10;Najczęściej wskazywane obszary zainteresowania to:&#10;– na co są przeznaczane środki europejskie – 52,4%;&#10;– wpływ Funduszy Europejskich na rozwój kraju – 33,9%;&#10;– ogólnie pomoc finansowa, pomoc Unii Europejskiej, środki na rozwój kraju – 31,3%;&#10;– nie wiem / trudno powiedzieć – 26,3%;&#10;– sposób i efektywność wykorzystywania funduszy – 25,9%;&#10;– w jaki sposób można ubiegać się o środki – 22,0%.&#10;&#10;Kolejne wskazania obejmują:&#10;– wpływ Funduszy Europejskich na rozwój regionu – 15,8%;&#10;– kto może ubiegać się o dofinansowanie – 15,6%;&#10;– pieniądze – 8,8%;&#10;– środki na rozwój rolnictwa / dopłaty do rolnictwa – 7,8%;&#10;– środki na rozwój w sferze społecznej – 7,3%;&#10;– środki na rozwój regionów – 5,4%;&#10;– fundusze związane z budownictwem – 5,4%;&#10;– środki na ochronę środowiska – 4,7%;&#10;– dotacje na określony projekt, inwestycje – 4,7%;&#10;– wsparcie przedsiębiorczości –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45356BCE" w14:textId="742BAF3C" w:rsidR="008E232B" w:rsidRPr="00672A70" w:rsidRDefault="008E232B" w:rsidP="008E232B">
      <w:pPr>
        <w:rPr>
          <w:rFonts w:ascii="Arial" w:hAnsi="Arial" w:cs="Arial"/>
          <w:sz w:val="24"/>
          <w:szCs w:val="24"/>
        </w:rPr>
      </w:pPr>
      <w:r w:rsidRPr="00672A70">
        <w:rPr>
          <w:rFonts w:ascii="Arial" w:hAnsi="Arial" w:cs="Arial"/>
          <w:sz w:val="24"/>
          <w:szCs w:val="24"/>
        </w:rPr>
        <w:t>Źródło: Opracowano na podstawie badania CAPI</w:t>
      </w:r>
      <w:r w:rsidR="00995031">
        <w:rPr>
          <w:rFonts w:ascii="Arial" w:hAnsi="Arial" w:cs="Arial"/>
          <w:sz w:val="24"/>
          <w:szCs w:val="24"/>
        </w:rPr>
        <w:t>; odpowiadający: interesujący się tematyką FE</w:t>
      </w:r>
    </w:p>
    <w:p w14:paraId="0761238C" w14:textId="2DF7610A" w:rsidR="00C503BC" w:rsidRPr="00672A70" w:rsidRDefault="62C45BA4" w:rsidP="00696C0B">
      <w:pPr>
        <w:spacing w:line="360" w:lineRule="auto"/>
        <w:rPr>
          <w:rFonts w:ascii="Arial" w:eastAsia="Arial" w:hAnsi="Arial" w:cs="Arial"/>
          <w:b/>
          <w:bCs/>
          <w:sz w:val="24"/>
          <w:szCs w:val="24"/>
        </w:rPr>
      </w:pPr>
      <w:bookmarkStart w:id="22" w:name="_Hlk214435963"/>
      <w:r w:rsidRPr="00672A70">
        <w:rPr>
          <w:rFonts w:ascii="Arial" w:eastAsia="Arial" w:hAnsi="Arial" w:cs="Arial"/>
          <w:b/>
          <w:bCs/>
          <w:sz w:val="24"/>
          <w:szCs w:val="24"/>
        </w:rPr>
        <w:t>Przyczyny braku zainteresowania tematyką Funduszy Europejskich</w:t>
      </w:r>
    </w:p>
    <w:p w14:paraId="74710251" w14:textId="05215809" w:rsidR="007A5E7F" w:rsidRPr="0028226B" w:rsidRDefault="1393AC5C" w:rsidP="00696C0B">
      <w:pPr>
        <w:spacing w:line="360" w:lineRule="auto"/>
        <w:rPr>
          <w:rFonts w:ascii="Arial" w:hAnsi="Arial" w:cs="Arial"/>
          <w:sz w:val="24"/>
          <w:szCs w:val="24"/>
        </w:rPr>
      </w:pPr>
      <w:r w:rsidRPr="0028226B">
        <w:rPr>
          <w:rFonts w:ascii="Arial" w:hAnsi="Arial" w:cs="Arial"/>
          <w:sz w:val="24"/>
          <w:szCs w:val="24"/>
        </w:rPr>
        <w:t>Wyniki przedstawione na wykresie</w:t>
      </w:r>
      <w:r w:rsidR="32E0C625" w:rsidRPr="0028226B">
        <w:rPr>
          <w:rFonts w:ascii="Arial" w:hAnsi="Arial" w:cs="Arial"/>
          <w:sz w:val="24"/>
          <w:szCs w:val="24"/>
        </w:rPr>
        <w:t xml:space="preserve"> 12</w:t>
      </w:r>
      <w:r w:rsidRPr="0028226B">
        <w:rPr>
          <w:rFonts w:ascii="Arial" w:hAnsi="Arial" w:cs="Arial"/>
          <w:sz w:val="24"/>
          <w:szCs w:val="24"/>
        </w:rPr>
        <w:t xml:space="preserve"> pokazują, że </w:t>
      </w:r>
      <w:r w:rsidR="49F34514" w:rsidRPr="0028226B">
        <w:rPr>
          <w:rFonts w:ascii="Arial" w:hAnsi="Arial" w:cs="Arial"/>
          <w:sz w:val="24"/>
          <w:szCs w:val="24"/>
        </w:rPr>
        <w:t xml:space="preserve">większość </w:t>
      </w:r>
      <w:r w:rsidRPr="0028226B">
        <w:rPr>
          <w:rFonts w:ascii="Arial" w:hAnsi="Arial" w:cs="Arial"/>
          <w:sz w:val="24"/>
          <w:szCs w:val="24"/>
        </w:rPr>
        <w:t>osób</w:t>
      </w:r>
      <w:r w:rsidR="00B829A1">
        <w:rPr>
          <w:rFonts w:ascii="Arial" w:hAnsi="Arial" w:cs="Arial"/>
          <w:sz w:val="24"/>
          <w:szCs w:val="24"/>
        </w:rPr>
        <w:t xml:space="preserve"> </w:t>
      </w:r>
      <w:r w:rsidR="0E557D86" w:rsidRPr="0028226B">
        <w:rPr>
          <w:rFonts w:ascii="Arial" w:hAnsi="Arial" w:cs="Arial"/>
          <w:sz w:val="24"/>
          <w:szCs w:val="24"/>
        </w:rPr>
        <w:t xml:space="preserve">niezainteresowanych </w:t>
      </w:r>
      <w:r w:rsidRPr="0028226B">
        <w:rPr>
          <w:rFonts w:ascii="Arial" w:hAnsi="Arial" w:cs="Arial"/>
          <w:sz w:val="24"/>
          <w:szCs w:val="24"/>
        </w:rPr>
        <w:t>Fundusz</w:t>
      </w:r>
      <w:r w:rsidR="112E9B18" w:rsidRPr="0028226B">
        <w:rPr>
          <w:rFonts w:ascii="Arial" w:hAnsi="Arial" w:cs="Arial"/>
          <w:sz w:val="24"/>
          <w:szCs w:val="24"/>
        </w:rPr>
        <w:t>ami</w:t>
      </w:r>
      <w:r w:rsidRPr="0028226B">
        <w:rPr>
          <w:rFonts w:ascii="Arial" w:hAnsi="Arial" w:cs="Arial"/>
          <w:sz w:val="24"/>
          <w:szCs w:val="24"/>
        </w:rPr>
        <w:t xml:space="preserve"> Europejski</w:t>
      </w:r>
      <w:r w:rsidR="3850DE3B" w:rsidRPr="0028226B">
        <w:rPr>
          <w:rFonts w:ascii="Arial" w:hAnsi="Arial" w:cs="Arial"/>
          <w:sz w:val="24"/>
          <w:szCs w:val="24"/>
        </w:rPr>
        <w:t>mi</w:t>
      </w:r>
      <w:r w:rsidR="00B829A1">
        <w:rPr>
          <w:rFonts w:ascii="Arial" w:hAnsi="Arial" w:cs="Arial"/>
          <w:sz w:val="24"/>
          <w:szCs w:val="24"/>
        </w:rPr>
        <w:t xml:space="preserve"> </w:t>
      </w:r>
      <w:r w:rsidRPr="0028226B">
        <w:rPr>
          <w:rFonts w:ascii="Arial" w:hAnsi="Arial" w:cs="Arial"/>
          <w:sz w:val="24"/>
          <w:szCs w:val="24"/>
        </w:rPr>
        <w:t xml:space="preserve">nie potrafi wskazać konkretnego powodu takiej postawy. </w:t>
      </w:r>
      <w:r w:rsidR="06A068C1" w:rsidRPr="0028226B">
        <w:rPr>
          <w:rFonts w:ascii="Arial" w:hAnsi="Arial" w:cs="Arial"/>
          <w:sz w:val="24"/>
          <w:szCs w:val="24"/>
        </w:rPr>
        <w:t>Blisko dwóch na trzech badanych (</w:t>
      </w:r>
      <w:r w:rsidRPr="0028226B">
        <w:rPr>
          <w:rFonts w:ascii="Arial" w:hAnsi="Arial" w:cs="Arial"/>
          <w:sz w:val="24"/>
          <w:szCs w:val="24"/>
        </w:rPr>
        <w:t>65</w:t>
      </w:r>
      <w:proofErr w:type="gramStart"/>
      <w:r w:rsidRPr="0028226B">
        <w:rPr>
          <w:rFonts w:ascii="Arial" w:hAnsi="Arial" w:cs="Arial"/>
          <w:sz w:val="24"/>
          <w:szCs w:val="24"/>
        </w:rPr>
        <w:t>%</w:t>
      </w:r>
      <w:r w:rsidR="53AF66CC" w:rsidRPr="0028226B">
        <w:rPr>
          <w:rFonts w:ascii="Arial" w:hAnsi="Arial" w:cs="Arial"/>
          <w:sz w:val="24"/>
          <w:szCs w:val="24"/>
        </w:rPr>
        <w:t>)</w:t>
      </w:r>
      <w:r w:rsidRPr="0028226B">
        <w:rPr>
          <w:rFonts w:ascii="Arial" w:hAnsi="Arial" w:cs="Arial"/>
          <w:sz w:val="24"/>
          <w:szCs w:val="24"/>
        </w:rPr>
        <w:t xml:space="preserve">  deklaruje</w:t>
      </w:r>
      <w:proofErr w:type="gramEnd"/>
      <w:r w:rsidRPr="0028226B">
        <w:rPr>
          <w:rFonts w:ascii="Arial" w:hAnsi="Arial" w:cs="Arial"/>
          <w:sz w:val="24"/>
          <w:szCs w:val="24"/>
        </w:rPr>
        <w:t xml:space="preserve"> trudność w określeniu, dlaczego temat ich nie interesuje. Oznacza to, że brak zainteresowania </w:t>
      </w:r>
      <w:r w:rsidRPr="0028226B">
        <w:rPr>
          <w:rFonts w:ascii="Arial" w:hAnsi="Arial" w:cs="Arial"/>
          <w:sz w:val="24"/>
          <w:szCs w:val="24"/>
        </w:rPr>
        <w:lastRenderedPageBreak/>
        <w:t>ma często charakter ogólny, intuicyjny lub nieuświadomiony – respondenci nie analizują przyczyn, a jedynie konstatują brak za</w:t>
      </w:r>
      <w:r w:rsidR="10A769A4" w:rsidRPr="0028226B">
        <w:rPr>
          <w:rFonts w:ascii="Arial" w:hAnsi="Arial" w:cs="Arial"/>
          <w:sz w:val="24"/>
          <w:szCs w:val="24"/>
        </w:rPr>
        <w:t>interesowania</w:t>
      </w:r>
      <w:r w:rsidRPr="0028226B">
        <w:rPr>
          <w:rFonts w:ascii="Arial" w:hAnsi="Arial" w:cs="Arial"/>
          <w:sz w:val="24"/>
          <w:szCs w:val="24"/>
        </w:rPr>
        <w:t>.</w:t>
      </w:r>
    </w:p>
    <w:p w14:paraId="2E72C248" w14:textId="6B3B11B5" w:rsidR="007A5E7F" w:rsidRDefault="780A0CED" w:rsidP="00696C0B">
      <w:pPr>
        <w:spacing w:line="360" w:lineRule="auto"/>
        <w:rPr>
          <w:rFonts w:ascii="Arial" w:hAnsi="Arial" w:cs="Arial"/>
          <w:sz w:val="24"/>
          <w:szCs w:val="24"/>
        </w:rPr>
      </w:pPr>
      <w:r w:rsidRPr="0028226B">
        <w:rPr>
          <w:rFonts w:ascii="Arial" w:hAnsi="Arial" w:cs="Arial"/>
          <w:sz w:val="24"/>
          <w:szCs w:val="24"/>
        </w:rPr>
        <w:t>Co trzeci badany (</w:t>
      </w:r>
      <w:r w:rsidR="1393AC5C" w:rsidRPr="0028226B">
        <w:rPr>
          <w:rFonts w:ascii="Arial" w:hAnsi="Arial" w:cs="Arial"/>
          <w:sz w:val="24"/>
          <w:szCs w:val="24"/>
        </w:rPr>
        <w:t>3</w:t>
      </w:r>
      <w:r w:rsidR="005B39F7">
        <w:rPr>
          <w:rFonts w:ascii="Arial" w:hAnsi="Arial" w:cs="Arial"/>
          <w:sz w:val="24"/>
          <w:szCs w:val="24"/>
        </w:rPr>
        <w:t>5</w:t>
      </w:r>
      <w:r w:rsidR="1393AC5C" w:rsidRPr="0028226B">
        <w:rPr>
          <w:rFonts w:ascii="Arial" w:hAnsi="Arial" w:cs="Arial"/>
          <w:sz w:val="24"/>
          <w:szCs w:val="24"/>
        </w:rPr>
        <w:t>%</w:t>
      </w:r>
      <w:r w:rsidR="54AB00F8" w:rsidRPr="0028226B">
        <w:rPr>
          <w:rFonts w:ascii="Arial" w:hAnsi="Arial" w:cs="Arial"/>
          <w:sz w:val="24"/>
          <w:szCs w:val="24"/>
        </w:rPr>
        <w:t>)</w:t>
      </w:r>
      <w:r w:rsidR="1393AC5C" w:rsidRPr="0028226B">
        <w:rPr>
          <w:rFonts w:ascii="Arial" w:hAnsi="Arial" w:cs="Arial"/>
          <w:sz w:val="24"/>
          <w:szCs w:val="24"/>
        </w:rPr>
        <w:t xml:space="preserve"> potrafi wskazać powód, dla</w:t>
      </w:r>
      <w:r w:rsidR="760F16DA" w:rsidRPr="0028226B">
        <w:rPr>
          <w:rFonts w:ascii="Arial" w:hAnsi="Arial" w:cs="Arial"/>
          <w:sz w:val="24"/>
          <w:szCs w:val="24"/>
        </w:rPr>
        <w:t>czego</w:t>
      </w:r>
      <w:r w:rsidR="1393AC5C" w:rsidRPr="0028226B">
        <w:rPr>
          <w:rFonts w:ascii="Arial" w:hAnsi="Arial" w:cs="Arial"/>
          <w:sz w:val="24"/>
          <w:szCs w:val="24"/>
        </w:rPr>
        <w:t xml:space="preserve"> nie interesuje </w:t>
      </w:r>
      <w:r w:rsidR="0D82BF2C" w:rsidRPr="0028226B">
        <w:rPr>
          <w:rFonts w:ascii="Arial" w:hAnsi="Arial" w:cs="Arial"/>
          <w:sz w:val="24"/>
          <w:szCs w:val="24"/>
        </w:rPr>
        <w:t xml:space="preserve">go </w:t>
      </w:r>
      <w:r w:rsidR="1393AC5C" w:rsidRPr="0028226B">
        <w:rPr>
          <w:rFonts w:ascii="Arial" w:hAnsi="Arial" w:cs="Arial"/>
          <w:sz w:val="24"/>
          <w:szCs w:val="24"/>
        </w:rPr>
        <w:t>tematyka Funduszy Europejskich. To ta grupa udziela jakościowych odpowiedzi pokazujących, że brak zainteresowania wynika zwykle z braku osobistej styczności z funduszami, poczucia, że temat ich nie dotyczy, lub przekonania, że nie daje im żadnych bezpośrednich korzyści.</w:t>
      </w:r>
    </w:p>
    <w:p w14:paraId="79863A56" w14:textId="5BD6C57F" w:rsidR="000A5F53" w:rsidRPr="0028226B" w:rsidRDefault="000A5F53" w:rsidP="00696C0B">
      <w:pPr>
        <w:spacing w:line="360" w:lineRule="auto"/>
        <w:rPr>
          <w:rFonts w:ascii="Arial" w:hAnsi="Arial" w:cs="Arial"/>
          <w:sz w:val="24"/>
          <w:szCs w:val="24"/>
        </w:rPr>
      </w:pPr>
      <w:r w:rsidRPr="000A5F53">
        <w:rPr>
          <w:rFonts w:ascii="Arial" w:hAnsi="Arial" w:cs="Arial"/>
          <w:sz w:val="24"/>
          <w:szCs w:val="24"/>
        </w:rPr>
        <w:t>Jeden na trzech badanych wskazał, że po prostu nie jest zainteresowany tematyką Funduszy Europejskich (34%). Kolejne często wymieniane powody to brak doświadczenia w korzystaniu z Funduszy Europejskich (21%) oraz brak wiedzy na temat możliwości oferowanych przez FE (14%). Po 10% badanych deklaruje, że nie ma takiej potrzeby lub że temat ich nie dotyczy. Pozostałe odpowiedzi — takie jak brak czasu, przekonanie, że sprawami Funduszy Europejskich powinni zajmować się inni, brak dotychczasowego korzystania z programów FE czy pojedyncze emocjonalne komentarze — pojawiają się marginalnie.</w:t>
      </w:r>
    </w:p>
    <w:p w14:paraId="52948AAB" w14:textId="4780883B" w:rsidR="00D812C6" w:rsidRPr="00AA4EBE" w:rsidRDefault="00D812C6" w:rsidP="004B75FE">
      <w:pPr>
        <w:pStyle w:val="Legenda"/>
        <w:keepNext/>
        <w:rPr>
          <w:rFonts w:ascii="Arial" w:hAnsi="Arial" w:cs="Arial"/>
          <w:b/>
          <w:bCs/>
          <w:i w:val="0"/>
          <w:iCs w:val="0"/>
          <w:color w:val="auto"/>
          <w:sz w:val="24"/>
          <w:szCs w:val="24"/>
        </w:rPr>
      </w:pPr>
      <w:bookmarkStart w:id="23" w:name="_Toc219369238"/>
      <w:r w:rsidRPr="00AA4EBE">
        <w:rPr>
          <w:rFonts w:ascii="Arial" w:hAnsi="Arial" w:cs="Arial"/>
          <w:b/>
          <w:bCs/>
          <w:i w:val="0"/>
          <w:iCs w:val="0"/>
          <w:color w:val="auto"/>
          <w:sz w:val="24"/>
          <w:szCs w:val="24"/>
        </w:rPr>
        <w:t xml:space="preserve">Wykres </w:t>
      </w:r>
      <w:r w:rsidRPr="00AA4EBE">
        <w:rPr>
          <w:rFonts w:ascii="Arial" w:hAnsi="Arial" w:cs="Arial"/>
          <w:b/>
          <w:bCs/>
          <w:i w:val="0"/>
          <w:iCs w:val="0"/>
          <w:color w:val="auto"/>
          <w:sz w:val="24"/>
          <w:szCs w:val="24"/>
        </w:rPr>
        <w:fldChar w:fldCharType="begin"/>
      </w:r>
      <w:r w:rsidRPr="00AA4EBE">
        <w:rPr>
          <w:rFonts w:ascii="Arial" w:hAnsi="Arial" w:cs="Arial"/>
          <w:b/>
          <w:bCs/>
          <w:i w:val="0"/>
          <w:iCs w:val="0"/>
          <w:color w:val="auto"/>
          <w:sz w:val="24"/>
          <w:szCs w:val="24"/>
        </w:rPr>
        <w:instrText xml:space="preserve"> SEQ Wykres \* ARABIC </w:instrText>
      </w:r>
      <w:r w:rsidRPr="00AA4EBE">
        <w:rPr>
          <w:rFonts w:ascii="Arial" w:hAnsi="Arial" w:cs="Arial"/>
          <w:b/>
          <w:bCs/>
          <w:i w:val="0"/>
          <w:iCs w:val="0"/>
          <w:color w:val="auto"/>
          <w:sz w:val="24"/>
          <w:szCs w:val="24"/>
        </w:rPr>
        <w:fldChar w:fldCharType="separate"/>
      </w:r>
      <w:r w:rsidR="0055789E">
        <w:rPr>
          <w:rFonts w:ascii="Arial" w:hAnsi="Arial" w:cs="Arial"/>
          <w:b/>
          <w:bCs/>
          <w:i w:val="0"/>
          <w:iCs w:val="0"/>
          <w:noProof/>
          <w:color w:val="auto"/>
          <w:sz w:val="24"/>
          <w:szCs w:val="24"/>
        </w:rPr>
        <w:t>12</w:t>
      </w:r>
      <w:r w:rsidRPr="00AA4EBE">
        <w:rPr>
          <w:rFonts w:ascii="Arial" w:hAnsi="Arial" w:cs="Arial"/>
          <w:b/>
          <w:bCs/>
          <w:i w:val="0"/>
          <w:iCs w:val="0"/>
          <w:color w:val="auto"/>
          <w:sz w:val="24"/>
          <w:szCs w:val="24"/>
        </w:rPr>
        <w:fldChar w:fldCharType="end"/>
      </w:r>
      <w:r w:rsidRPr="00AA4EBE">
        <w:rPr>
          <w:rFonts w:ascii="Arial" w:hAnsi="Arial" w:cs="Arial"/>
          <w:b/>
          <w:bCs/>
          <w:i w:val="0"/>
          <w:iCs w:val="0"/>
          <w:color w:val="auto"/>
          <w:sz w:val="24"/>
          <w:szCs w:val="24"/>
        </w:rPr>
        <w:t>. Dlaczego tematyka Funduszy Europejskich nie jest dla Pana(i) interesująca? (N=70</w:t>
      </w:r>
      <w:r w:rsidR="000B32C3" w:rsidRPr="00AA4EBE">
        <w:rPr>
          <w:rFonts w:ascii="Arial" w:hAnsi="Arial" w:cs="Arial"/>
          <w:b/>
          <w:bCs/>
          <w:i w:val="0"/>
          <w:iCs w:val="0"/>
          <w:color w:val="auto"/>
          <w:sz w:val="24"/>
          <w:szCs w:val="24"/>
        </w:rPr>
        <w:t xml:space="preserve"> – uwaga niska liczebność</w:t>
      </w:r>
      <w:r w:rsidRPr="00AA4EBE">
        <w:rPr>
          <w:rFonts w:ascii="Arial" w:hAnsi="Arial" w:cs="Arial"/>
          <w:b/>
          <w:bCs/>
          <w:i w:val="0"/>
          <w:iCs w:val="0"/>
          <w:color w:val="auto"/>
          <w:sz w:val="24"/>
          <w:szCs w:val="24"/>
        </w:rPr>
        <w:t>)</w:t>
      </w:r>
      <w:bookmarkEnd w:id="23"/>
    </w:p>
    <w:p w14:paraId="63777F4E" w14:textId="594082DE" w:rsidR="00D812C6" w:rsidRDefault="00D812C6" w:rsidP="004A4F12">
      <w:pPr>
        <w:rPr>
          <w:rFonts w:ascii="Arial" w:hAnsi="Arial" w:cs="Arial"/>
          <w:sz w:val="24"/>
          <w:szCs w:val="24"/>
        </w:rPr>
      </w:pPr>
      <w:r>
        <w:rPr>
          <w:rFonts w:ascii="Arial" w:hAnsi="Arial" w:cs="Arial"/>
          <w:noProof/>
          <w:sz w:val="24"/>
          <w:szCs w:val="24"/>
        </w:rPr>
        <w:drawing>
          <wp:inline distT="0" distB="0" distL="0" distR="0" wp14:anchorId="1AE97350" wp14:editId="671A456C">
            <wp:extent cx="5486400" cy="3200400"/>
            <wp:effectExtent l="0" t="0" r="0" b="0"/>
            <wp:docPr id="1458511820" name="Wykres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21C04698" w14:textId="5932227E" w:rsidR="00D812C6" w:rsidRPr="00672A70" w:rsidRDefault="00D812C6" w:rsidP="00D812C6">
      <w:pPr>
        <w:rPr>
          <w:rFonts w:ascii="Arial" w:hAnsi="Arial" w:cs="Arial"/>
          <w:sz w:val="24"/>
          <w:szCs w:val="24"/>
        </w:rPr>
      </w:pPr>
      <w:r w:rsidRPr="00672A70">
        <w:rPr>
          <w:rFonts w:ascii="Arial" w:hAnsi="Arial" w:cs="Arial"/>
          <w:sz w:val="24"/>
          <w:szCs w:val="24"/>
        </w:rPr>
        <w:t>Źródło: Opracowano na podstawie badania CAPI</w:t>
      </w:r>
      <w:r w:rsidR="00995031">
        <w:rPr>
          <w:rFonts w:ascii="Arial" w:hAnsi="Arial" w:cs="Arial"/>
          <w:sz w:val="24"/>
          <w:szCs w:val="24"/>
        </w:rPr>
        <w:t>; odpowiadający: nie interesujący się tematyką FE</w:t>
      </w:r>
    </w:p>
    <w:p w14:paraId="72954C4A" w14:textId="44A9A5DB" w:rsidR="007A5E7F" w:rsidRPr="0028226B" w:rsidRDefault="1393AC5C" w:rsidP="00696C0B">
      <w:pPr>
        <w:spacing w:line="360" w:lineRule="auto"/>
        <w:rPr>
          <w:rFonts w:ascii="Arial" w:hAnsi="Arial" w:cs="Arial"/>
          <w:sz w:val="24"/>
          <w:szCs w:val="24"/>
        </w:rPr>
      </w:pPr>
      <w:r w:rsidRPr="0028226B">
        <w:rPr>
          <w:rFonts w:ascii="Arial" w:hAnsi="Arial" w:cs="Arial"/>
          <w:sz w:val="24"/>
          <w:szCs w:val="24"/>
        </w:rPr>
        <w:lastRenderedPageBreak/>
        <w:t>Z przytoczonych wypowiedzi widać, że brak zainteresowania tematyką Funduszy Europejskich ma kilka powtarzających się źródeł</w:t>
      </w:r>
      <w:r w:rsidR="3A91F340" w:rsidRPr="0028226B">
        <w:rPr>
          <w:rFonts w:ascii="Arial" w:hAnsi="Arial" w:cs="Arial"/>
          <w:sz w:val="24"/>
          <w:szCs w:val="24"/>
        </w:rPr>
        <w:t>:</w:t>
      </w:r>
    </w:p>
    <w:p w14:paraId="649CA885" w14:textId="77777777" w:rsidR="007A5E7F" w:rsidRPr="0028226B" w:rsidRDefault="1393AC5C" w:rsidP="00696C0B">
      <w:pPr>
        <w:numPr>
          <w:ilvl w:val="0"/>
          <w:numId w:val="1"/>
        </w:numPr>
        <w:spacing w:line="360" w:lineRule="auto"/>
        <w:rPr>
          <w:rFonts w:ascii="Arial" w:hAnsi="Arial" w:cs="Arial"/>
          <w:sz w:val="24"/>
          <w:szCs w:val="24"/>
        </w:rPr>
      </w:pPr>
      <w:r w:rsidRPr="0028226B">
        <w:rPr>
          <w:rFonts w:ascii="Arial" w:hAnsi="Arial" w:cs="Arial"/>
          <w:sz w:val="24"/>
          <w:szCs w:val="24"/>
        </w:rPr>
        <w:t>Brak osobistej styczności z funduszami</w:t>
      </w:r>
      <w:r w:rsidR="007A5E7F" w:rsidRPr="0028226B">
        <w:rPr>
          <w:rFonts w:ascii="Arial" w:hAnsi="Arial" w:cs="Arial"/>
          <w:sz w:val="24"/>
          <w:szCs w:val="24"/>
        </w:rPr>
        <w:br/>
      </w:r>
      <w:r w:rsidRPr="0028226B">
        <w:rPr>
          <w:rFonts w:ascii="Arial" w:hAnsi="Arial" w:cs="Arial"/>
          <w:sz w:val="24"/>
          <w:szCs w:val="24"/>
        </w:rPr>
        <w:t>Respondenci bardzo często podkreślają, że „nie mieli kontaktu”, „nie korzystają”, „nigdy nie korzystali i nie planują”, „nie inwestują”, „nie mają doświadczenia z funduszami”. Temat jest więc odbierany jako coś zewnętrznego wobec ich codziennego życia – skoro nie korzystają z programów ani dotacji, nie widzą powodu, by się tym interesować.</w:t>
      </w:r>
    </w:p>
    <w:p w14:paraId="68F9D70C" w14:textId="77777777" w:rsidR="007A5E7F" w:rsidRPr="0028226B" w:rsidRDefault="1393AC5C" w:rsidP="00696C0B">
      <w:pPr>
        <w:numPr>
          <w:ilvl w:val="0"/>
          <w:numId w:val="1"/>
        </w:numPr>
        <w:spacing w:line="360" w:lineRule="auto"/>
        <w:rPr>
          <w:rFonts w:ascii="Arial" w:hAnsi="Arial" w:cs="Arial"/>
          <w:sz w:val="24"/>
          <w:szCs w:val="24"/>
        </w:rPr>
      </w:pPr>
      <w:r w:rsidRPr="0028226B">
        <w:rPr>
          <w:rFonts w:ascii="Arial" w:hAnsi="Arial" w:cs="Arial"/>
          <w:sz w:val="24"/>
          <w:szCs w:val="24"/>
        </w:rPr>
        <w:t>Brak poczucia, że temat ich dotyczy lub przynosi korzyści</w:t>
      </w:r>
      <w:r w:rsidR="007A5E7F" w:rsidRPr="0028226B">
        <w:rPr>
          <w:rFonts w:ascii="Arial" w:hAnsi="Arial" w:cs="Arial"/>
          <w:sz w:val="24"/>
          <w:szCs w:val="24"/>
        </w:rPr>
        <w:br/>
      </w:r>
      <w:r w:rsidRPr="0028226B">
        <w:rPr>
          <w:rFonts w:ascii="Arial" w:hAnsi="Arial" w:cs="Arial"/>
          <w:sz w:val="24"/>
          <w:szCs w:val="24"/>
        </w:rPr>
        <w:t>Pojawiają się sformułowania: „to nie mój temat”, „nie widzę w tym nic dla siebie”, „nie czuję, żeby mnie to dotyczyło”, „nie moja sprawa”, „po prostu nie mam z tym nic wspólnego”. Fundusze Europejskie są postrzegane jako obszar leżący poza kręgiem osobistych spraw i potrzeb – bardziej jako coś dla „innych” (firm, instytucji, polityków) niż dla zwykłego obywatela.</w:t>
      </w:r>
    </w:p>
    <w:p w14:paraId="53BBD44E" w14:textId="77777777" w:rsidR="007A5E7F" w:rsidRPr="0028226B" w:rsidRDefault="1393AC5C" w:rsidP="00696C0B">
      <w:pPr>
        <w:numPr>
          <w:ilvl w:val="0"/>
          <w:numId w:val="1"/>
        </w:numPr>
        <w:spacing w:line="360" w:lineRule="auto"/>
        <w:rPr>
          <w:rFonts w:ascii="Arial" w:hAnsi="Arial" w:cs="Arial"/>
          <w:sz w:val="24"/>
          <w:szCs w:val="24"/>
        </w:rPr>
      </w:pPr>
      <w:r w:rsidRPr="0028226B">
        <w:rPr>
          <w:rFonts w:ascii="Arial" w:hAnsi="Arial" w:cs="Arial"/>
          <w:sz w:val="24"/>
          <w:szCs w:val="24"/>
        </w:rPr>
        <w:t>Brak wiedzy i poczucia kompetencji</w:t>
      </w:r>
      <w:r w:rsidR="007A5E7F" w:rsidRPr="0028226B">
        <w:rPr>
          <w:rFonts w:ascii="Arial" w:hAnsi="Arial" w:cs="Arial"/>
          <w:sz w:val="24"/>
          <w:szCs w:val="24"/>
        </w:rPr>
        <w:br/>
      </w:r>
      <w:r w:rsidRPr="0028226B">
        <w:rPr>
          <w:rFonts w:ascii="Arial" w:hAnsi="Arial" w:cs="Arial"/>
          <w:sz w:val="24"/>
          <w:szCs w:val="24"/>
        </w:rPr>
        <w:t>Część osób wskazuje, że „nie wie, o co w tym chodzi”, „nie ma o tym pojęcia”, „nie ma o tym wiedzy ani potrzeby”, „nie ma pojęcia, jak to działa”. Widać dystans wynikający z przekonania, że temat jest zbyt skomplikowany lub odległy, żeby się nim zajmować – co dodatkowo wzmacnia obojętność.</w:t>
      </w:r>
    </w:p>
    <w:p w14:paraId="67CC9238" w14:textId="77777777" w:rsidR="007A5E7F" w:rsidRPr="0028226B" w:rsidRDefault="1393AC5C" w:rsidP="00696C0B">
      <w:pPr>
        <w:numPr>
          <w:ilvl w:val="0"/>
          <w:numId w:val="1"/>
        </w:numPr>
        <w:spacing w:line="360" w:lineRule="auto"/>
        <w:rPr>
          <w:rFonts w:ascii="Arial" w:hAnsi="Arial" w:cs="Arial"/>
          <w:sz w:val="24"/>
          <w:szCs w:val="24"/>
        </w:rPr>
      </w:pPr>
      <w:r w:rsidRPr="0028226B">
        <w:rPr>
          <w:rFonts w:ascii="Arial" w:hAnsi="Arial" w:cs="Arial"/>
          <w:sz w:val="24"/>
          <w:szCs w:val="24"/>
        </w:rPr>
        <w:t>Brak potrzeby i priorytetów czasowych</w:t>
      </w:r>
      <w:r w:rsidR="007A5E7F" w:rsidRPr="0028226B">
        <w:rPr>
          <w:rFonts w:ascii="Arial" w:hAnsi="Arial" w:cs="Arial"/>
          <w:sz w:val="24"/>
          <w:szCs w:val="24"/>
        </w:rPr>
        <w:br/>
      </w:r>
      <w:r w:rsidRPr="0028226B">
        <w:rPr>
          <w:rFonts w:ascii="Arial" w:hAnsi="Arial" w:cs="Arial"/>
          <w:sz w:val="24"/>
          <w:szCs w:val="24"/>
        </w:rPr>
        <w:t>W wypowiedziach pojawia się wątek: „nie miałem potrzeby”, „nie potrzebowałem tego nigdy”, „nie mam potrzeby wiedzieć o tym więcej”, „nie mam czasu na takie tematy”, „wolę myśleć o codziennych sprawach”. Tematyka Funduszy Europejskich przegrywa z innymi, bardziej praktycznymi lub bliższymi życiu codziennemu sprawami.</w:t>
      </w:r>
    </w:p>
    <w:p w14:paraId="2E125F0A" w14:textId="77777777" w:rsidR="007A5E7F" w:rsidRPr="0028226B" w:rsidRDefault="1393AC5C" w:rsidP="00696C0B">
      <w:pPr>
        <w:numPr>
          <w:ilvl w:val="0"/>
          <w:numId w:val="1"/>
        </w:numPr>
        <w:spacing w:line="360" w:lineRule="auto"/>
        <w:rPr>
          <w:rFonts w:ascii="Arial" w:hAnsi="Arial" w:cs="Arial"/>
          <w:sz w:val="24"/>
          <w:szCs w:val="24"/>
        </w:rPr>
      </w:pPr>
      <w:r w:rsidRPr="0028226B">
        <w:rPr>
          <w:rFonts w:ascii="Arial" w:hAnsi="Arial" w:cs="Arial"/>
          <w:sz w:val="24"/>
          <w:szCs w:val="24"/>
        </w:rPr>
        <w:t>Delegowanie odpowiedzialności na innych</w:t>
      </w:r>
      <w:r w:rsidR="007A5E7F" w:rsidRPr="0028226B">
        <w:rPr>
          <w:rFonts w:ascii="Arial" w:hAnsi="Arial" w:cs="Arial"/>
          <w:sz w:val="24"/>
          <w:szCs w:val="24"/>
        </w:rPr>
        <w:br/>
      </w:r>
      <w:r w:rsidRPr="0028226B">
        <w:rPr>
          <w:rFonts w:ascii="Arial" w:hAnsi="Arial" w:cs="Arial"/>
          <w:sz w:val="24"/>
          <w:szCs w:val="24"/>
        </w:rPr>
        <w:t>Kilka osób wyraźnie wskazuje, że za takie kwestie odpowiadają inni: „od tego są politycy”, „niech inni się tym zajmują”. Fundusze Europejskie są tu traktowane jako domena specjalistów czy decydentów, a nie temat, którym powinien interesować się zwykły respondent.</w:t>
      </w:r>
    </w:p>
    <w:p w14:paraId="11D4BD4E" w14:textId="77777777" w:rsidR="007A5E7F" w:rsidRPr="0028226B" w:rsidRDefault="1393AC5C" w:rsidP="00696C0B">
      <w:pPr>
        <w:numPr>
          <w:ilvl w:val="0"/>
          <w:numId w:val="1"/>
        </w:numPr>
        <w:spacing w:line="360" w:lineRule="auto"/>
        <w:rPr>
          <w:rFonts w:ascii="Arial" w:hAnsi="Arial" w:cs="Arial"/>
          <w:sz w:val="24"/>
          <w:szCs w:val="24"/>
        </w:rPr>
      </w:pPr>
      <w:r w:rsidRPr="0028226B">
        <w:rPr>
          <w:rFonts w:ascii="Arial" w:hAnsi="Arial" w:cs="Arial"/>
          <w:sz w:val="24"/>
          <w:szCs w:val="24"/>
        </w:rPr>
        <w:lastRenderedPageBreak/>
        <w:t>Obojętność, znużenie lub niechęć</w:t>
      </w:r>
      <w:r w:rsidR="007A5E7F" w:rsidRPr="0028226B">
        <w:rPr>
          <w:rFonts w:ascii="Arial" w:hAnsi="Arial" w:cs="Arial"/>
          <w:sz w:val="24"/>
          <w:szCs w:val="24"/>
        </w:rPr>
        <w:br/>
      </w:r>
      <w:r w:rsidRPr="0028226B">
        <w:rPr>
          <w:rFonts w:ascii="Arial" w:hAnsi="Arial" w:cs="Arial"/>
          <w:sz w:val="24"/>
          <w:szCs w:val="24"/>
        </w:rPr>
        <w:t>Pojawiają się też sformułowania pokazujące po prostu brak emocjonalnego zaangażowania, a czasem wręcz niechęć: „po prostu mnie to nie obchodzi”, „mam to w poważaniu”, „nie interesuje mnie to”, „nie interesują mnie takie rzeczy”. Dla części osób sama nazwa tematu jest z góry mało atrakcyjna.</w:t>
      </w:r>
    </w:p>
    <w:bookmarkEnd w:id="22"/>
    <w:p w14:paraId="5E3C8512" w14:textId="62B85EE4" w:rsidR="004A4F12" w:rsidRPr="0028226B" w:rsidRDefault="0D60E366" w:rsidP="00696C0B">
      <w:pPr>
        <w:spacing w:line="360" w:lineRule="auto"/>
        <w:rPr>
          <w:rFonts w:ascii="Arial" w:hAnsi="Arial" w:cs="Arial"/>
          <w:b/>
          <w:bCs/>
          <w:sz w:val="24"/>
          <w:szCs w:val="24"/>
        </w:rPr>
      </w:pPr>
      <w:r w:rsidRPr="0028226B">
        <w:rPr>
          <w:rFonts w:ascii="Arial" w:hAnsi="Arial" w:cs="Arial"/>
          <w:b/>
          <w:bCs/>
          <w:sz w:val="24"/>
          <w:szCs w:val="24"/>
        </w:rPr>
        <w:t>Poziom wiedzy na temat Funduszy Europejskich</w:t>
      </w:r>
    </w:p>
    <w:p w14:paraId="3080F05A" w14:textId="1F6273B9" w:rsidR="00CB5FF5" w:rsidRPr="0028226B" w:rsidRDefault="0643F3C9" w:rsidP="00696C0B">
      <w:pPr>
        <w:spacing w:line="360" w:lineRule="auto"/>
        <w:rPr>
          <w:rFonts w:ascii="Arial" w:hAnsi="Arial" w:cs="Arial"/>
          <w:sz w:val="24"/>
          <w:szCs w:val="24"/>
        </w:rPr>
      </w:pPr>
      <w:r w:rsidRPr="0028226B">
        <w:rPr>
          <w:rFonts w:ascii="Arial" w:hAnsi="Arial" w:cs="Arial"/>
          <w:sz w:val="24"/>
          <w:szCs w:val="24"/>
        </w:rPr>
        <w:t>Wykres</w:t>
      </w:r>
      <w:r w:rsidR="4ED9754F" w:rsidRPr="0028226B">
        <w:rPr>
          <w:rFonts w:ascii="Arial" w:hAnsi="Arial" w:cs="Arial"/>
          <w:sz w:val="24"/>
          <w:szCs w:val="24"/>
        </w:rPr>
        <w:t xml:space="preserve"> 13</w:t>
      </w:r>
      <w:r w:rsidRPr="0028226B">
        <w:rPr>
          <w:rFonts w:ascii="Arial" w:hAnsi="Arial" w:cs="Arial"/>
          <w:sz w:val="24"/>
          <w:szCs w:val="24"/>
        </w:rPr>
        <w:t xml:space="preserve"> przedstawia ocenę poziomu wiedzy na temat Funduszy Europejskich w latach 2018–2025, mierzoną na sześciostopniowej skali szkolnej, gdzie 1 oznacza brak wiedzy, a 6 bardzo dobrą orientację</w:t>
      </w:r>
      <w:r w:rsidR="44F9260D" w:rsidRPr="0028226B">
        <w:rPr>
          <w:rFonts w:ascii="Arial" w:hAnsi="Arial" w:cs="Arial"/>
          <w:sz w:val="24"/>
          <w:szCs w:val="24"/>
        </w:rPr>
        <w:t xml:space="preserve"> w temacie</w:t>
      </w:r>
      <w:r w:rsidRPr="0028226B">
        <w:rPr>
          <w:rFonts w:ascii="Arial" w:hAnsi="Arial" w:cs="Arial"/>
          <w:sz w:val="24"/>
          <w:szCs w:val="24"/>
        </w:rPr>
        <w:t>. Analiza danych pokazuje, że w całym badanym okresie dominuje przekonanie o raczej niskiej wiedzy, choć rozkłady odpowiedzi zmieniają się stopniowo na przestrzeni lat.</w:t>
      </w:r>
    </w:p>
    <w:p w14:paraId="5D9170E1" w14:textId="2ACED68F" w:rsidR="00CB5FF5" w:rsidRPr="0028226B" w:rsidRDefault="0643F3C9" w:rsidP="00696C0B">
      <w:pPr>
        <w:spacing w:line="360" w:lineRule="auto"/>
        <w:rPr>
          <w:rFonts w:ascii="Arial" w:hAnsi="Arial" w:cs="Arial"/>
          <w:sz w:val="24"/>
          <w:szCs w:val="24"/>
        </w:rPr>
      </w:pPr>
      <w:r w:rsidRPr="0028226B">
        <w:rPr>
          <w:rFonts w:ascii="Arial" w:hAnsi="Arial" w:cs="Arial"/>
          <w:sz w:val="24"/>
          <w:szCs w:val="24"/>
        </w:rPr>
        <w:t xml:space="preserve">Najczęściej wybieraną odpowiedzią w większości pomiarów było wskazanie 2, oceniane przez od 22% do 35% respondentów. W roku 2025 odsetek ten wyniósł </w:t>
      </w:r>
      <w:r w:rsidR="005C26B1" w:rsidRPr="0028226B">
        <w:rPr>
          <w:rFonts w:ascii="Arial" w:hAnsi="Arial" w:cs="Arial"/>
          <w:sz w:val="24"/>
          <w:szCs w:val="24"/>
        </w:rPr>
        <w:t>3</w:t>
      </w:r>
      <w:r w:rsidR="005C26B1">
        <w:rPr>
          <w:rFonts w:ascii="Arial" w:hAnsi="Arial" w:cs="Arial"/>
          <w:sz w:val="24"/>
          <w:szCs w:val="24"/>
        </w:rPr>
        <w:t>4</w:t>
      </w:r>
      <w:r w:rsidRPr="0028226B">
        <w:rPr>
          <w:rFonts w:ascii="Arial" w:hAnsi="Arial" w:cs="Arial"/>
          <w:sz w:val="24"/>
          <w:szCs w:val="24"/>
        </w:rPr>
        <w:t xml:space="preserve">%, czyli najwyraźniej w całej serii, co sugeruje dalszą koncentrację odpowiedzi na niższej części skali. Jednocześnie znacząca grupa badanych deklaruje przeciętny poziom wiedzy, wybierając ocenę 3, która oscyluje od 25% do 36%. W najnowszym pomiarze (2025) odpowiedź 3 wskazało </w:t>
      </w:r>
      <w:r w:rsidR="005B39F7">
        <w:rPr>
          <w:rFonts w:ascii="Arial" w:hAnsi="Arial" w:cs="Arial"/>
          <w:sz w:val="24"/>
          <w:szCs w:val="24"/>
        </w:rPr>
        <w:t>30</w:t>
      </w:r>
      <w:r w:rsidRPr="0028226B">
        <w:rPr>
          <w:rFonts w:ascii="Arial" w:hAnsi="Arial" w:cs="Arial"/>
          <w:sz w:val="24"/>
          <w:szCs w:val="24"/>
        </w:rPr>
        <w:t>% respondentów.</w:t>
      </w:r>
    </w:p>
    <w:p w14:paraId="2FA44CD1" w14:textId="77777777" w:rsidR="00CB5FF5" w:rsidRPr="0028226B" w:rsidRDefault="0643F3C9" w:rsidP="00696C0B">
      <w:pPr>
        <w:spacing w:line="360" w:lineRule="auto"/>
        <w:rPr>
          <w:rFonts w:ascii="Arial" w:hAnsi="Arial" w:cs="Arial"/>
          <w:sz w:val="24"/>
          <w:szCs w:val="24"/>
        </w:rPr>
      </w:pPr>
      <w:r w:rsidRPr="0028226B">
        <w:rPr>
          <w:rFonts w:ascii="Arial" w:hAnsi="Arial" w:cs="Arial"/>
          <w:sz w:val="24"/>
          <w:szCs w:val="24"/>
        </w:rPr>
        <w:t>Oceny 1, oznaczające niemal całkowity brak wiedzy, wahały się w granicach od 12% do 19,9%. W 2025 wartość ta znalazła się na górnym poziomie, bliskim 20%, co potwierdza wysoki udział osób słabo rozeznanych w tematyce Funduszy Europejskich.</w:t>
      </w:r>
    </w:p>
    <w:p w14:paraId="4D23C90A" w14:textId="474FE40A" w:rsidR="00CB5FF5" w:rsidRPr="0028226B" w:rsidRDefault="0033160E" w:rsidP="00696C0B">
      <w:pPr>
        <w:spacing w:line="360" w:lineRule="auto"/>
        <w:rPr>
          <w:rFonts w:ascii="Arial" w:hAnsi="Arial" w:cs="Arial"/>
          <w:sz w:val="24"/>
          <w:szCs w:val="24"/>
        </w:rPr>
      </w:pPr>
      <w:r>
        <w:rPr>
          <w:rFonts w:ascii="Arial" w:hAnsi="Arial" w:cs="Arial"/>
          <w:sz w:val="24"/>
          <w:szCs w:val="24"/>
        </w:rPr>
        <w:t>O</w:t>
      </w:r>
      <w:r w:rsidR="0643F3C9" w:rsidRPr="0028226B">
        <w:rPr>
          <w:rFonts w:ascii="Arial" w:hAnsi="Arial" w:cs="Arial"/>
          <w:sz w:val="24"/>
          <w:szCs w:val="24"/>
        </w:rPr>
        <w:t>ceny 4 i 5, są wybierane znacznie rzadziej. W roku 2025 ocenę 4 wskazało 11%, natomiast ocenę 5 jedynie 2%. Podobny wzorzec widoczny jest również w poprzednich latach.</w:t>
      </w:r>
    </w:p>
    <w:p w14:paraId="70E459AC" w14:textId="77777777" w:rsidR="00CB5FF5" w:rsidRPr="0028226B" w:rsidRDefault="0643F3C9" w:rsidP="00696C0B">
      <w:pPr>
        <w:spacing w:line="360" w:lineRule="auto"/>
        <w:rPr>
          <w:rFonts w:ascii="Arial" w:hAnsi="Arial" w:cs="Arial"/>
          <w:sz w:val="24"/>
          <w:szCs w:val="24"/>
        </w:rPr>
      </w:pPr>
      <w:r w:rsidRPr="0028226B">
        <w:rPr>
          <w:rFonts w:ascii="Arial" w:hAnsi="Arial" w:cs="Arial"/>
          <w:sz w:val="24"/>
          <w:szCs w:val="24"/>
        </w:rPr>
        <w:t>Najwyższa możliwa ocena, czyli 6, praktycznie nie występuje w danych i nie przekraczała 1–2% w latach 2018–2023, a w 2025 nie została wybrana przez żadnego respondenta, co pokazuje wyjątkowo małą grupę osób, które uznają swoją wiedzę o Funduszach Europejskich za bardzo wysoką.</w:t>
      </w:r>
    </w:p>
    <w:p w14:paraId="035121E9" w14:textId="4A9E6DEA" w:rsidR="00CB5FF5" w:rsidRPr="0028226B" w:rsidRDefault="0643F3C9" w:rsidP="00696C0B">
      <w:pPr>
        <w:spacing w:line="360" w:lineRule="auto"/>
        <w:rPr>
          <w:rFonts w:ascii="Arial" w:hAnsi="Arial" w:cs="Arial"/>
          <w:sz w:val="24"/>
          <w:szCs w:val="24"/>
        </w:rPr>
      </w:pPr>
      <w:r w:rsidRPr="0028226B">
        <w:rPr>
          <w:rFonts w:ascii="Arial" w:hAnsi="Arial" w:cs="Arial"/>
          <w:sz w:val="24"/>
          <w:szCs w:val="24"/>
        </w:rPr>
        <w:t>Warto też zauważyć obecność odpowiedzi „nie wiem/trudno powiedzieć”, która we wszystkich latach utrzymuje się na poziomie 1–2%</w:t>
      </w:r>
      <w:r w:rsidR="00D812C6">
        <w:rPr>
          <w:rFonts w:ascii="Arial" w:hAnsi="Arial" w:cs="Arial"/>
          <w:sz w:val="24"/>
          <w:szCs w:val="24"/>
        </w:rPr>
        <w:t xml:space="preserve"> - również w roku 2025.</w:t>
      </w:r>
    </w:p>
    <w:p w14:paraId="5A8E9606" w14:textId="2C49DC68" w:rsidR="00CB5FF5" w:rsidRPr="0028226B" w:rsidRDefault="0643F3C9" w:rsidP="00696C0B">
      <w:pPr>
        <w:spacing w:line="360" w:lineRule="auto"/>
        <w:rPr>
          <w:rFonts w:ascii="Arial" w:hAnsi="Arial" w:cs="Arial"/>
          <w:sz w:val="24"/>
          <w:szCs w:val="24"/>
        </w:rPr>
      </w:pPr>
      <w:r w:rsidRPr="0028226B">
        <w:rPr>
          <w:rFonts w:ascii="Arial" w:hAnsi="Arial" w:cs="Arial"/>
          <w:sz w:val="24"/>
          <w:szCs w:val="24"/>
        </w:rPr>
        <w:lastRenderedPageBreak/>
        <w:t>Na podstawie danych z lat 2018–2025 widać, że wiedza na temat Funduszy Europejskich jest postrzegana przede wszystkim jako niska lub przeciętna. Dominują odpowiedzi z dolnej części skali (1–3), natomiast wysoka samoocena pojawia się sporadycznie. Trend z 2025 pokazuje dodatkowo wyraźne przesunięcie rozkładu w stronę jeszcze niższych ocen, co oznacza, że poziom wiedzy postrzegany przez badanych nie zwiększa się, lecz raczej stabilizuje na umiarkowanie niskim poziomie.</w:t>
      </w:r>
    </w:p>
    <w:p w14:paraId="53136497" w14:textId="4B86BE73" w:rsidR="000C211B" w:rsidRPr="0028226B" w:rsidRDefault="000C211B" w:rsidP="000C211B">
      <w:pPr>
        <w:pStyle w:val="Legenda"/>
        <w:keepNext/>
        <w:rPr>
          <w:rFonts w:ascii="Arial" w:hAnsi="Arial" w:cs="Arial"/>
          <w:b/>
          <w:bCs/>
          <w:i w:val="0"/>
          <w:iCs w:val="0"/>
          <w:color w:val="auto"/>
          <w:sz w:val="24"/>
          <w:szCs w:val="24"/>
        </w:rPr>
      </w:pPr>
      <w:bookmarkStart w:id="24" w:name="_Toc219369239"/>
      <w:r w:rsidRPr="0028226B">
        <w:rPr>
          <w:rFonts w:ascii="Arial" w:hAnsi="Arial" w:cs="Arial"/>
          <w:b/>
          <w:bCs/>
          <w:i w:val="0"/>
          <w:iCs w:val="0"/>
          <w:color w:val="auto"/>
          <w:sz w:val="24"/>
          <w:szCs w:val="24"/>
        </w:rPr>
        <w:t xml:space="preserve">Wykres </w:t>
      </w:r>
      <w:r w:rsidRPr="0028226B">
        <w:rPr>
          <w:rFonts w:ascii="Arial" w:hAnsi="Arial" w:cs="Arial"/>
          <w:b/>
          <w:bCs/>
          <w:i w:val="0"/>
          <w:iCs w:val="0"/>
          <w:color w:val="auto"/>
          <w:sz w:val="24"/>
          <w:szCs w:val="24"/>
        </w:rPr>
        <w:fldChar w:fldCharType="begin"/>
      </w:r>
      <w:r w:rsidRPr="0028226B">
        <w:rPr>
          <w:rFonts w:ascii="Arial" w:hAnsi="Arial" w:cs="Arial"/>
          <w:b/>
          <w:bCs/>
          <w:i w:val="0"/>
          <w:iCs w:val="0"/>
          <w:color w:val="auto"/>
          <w:sz w:val="24"/>
          <w:szCs w:val="24"/>
        </w:rPr>
        <w:instrText xml:space="preserve"> SEQ Wykres \* ARABIC </w:instrText>
      </w:r>
      <w:r w:rsidRPr="0028226B">
        <w:rPr>
          <w:rFonts w:ascii="Arial" w:hAnsi="Arial" w:cs="Arial"/>
          <w:b/>
          <w:bCs/>
          <w:i w:val="0"/>
          <w:iCs w:val="0"/>
          <w:color w:val="auto"/>
          <w:sz w:val="24"/>
          <w:szCs w:val="24"/>
        </w:rPr>
        <w:fldChar w:fldCharType="separate"/>
      </w:r>
      <w:r w:rsidR="0055789E">
        <w:rPr>
          <w:rFonts w:ascii="Arial" w:hAnsi="Arial" w:cs="Arial"/>
          <w:b/>
          <w:bCs/>
          <w:i w:val="0"/>
          <w:iCs w:val="0"/>
          <w:noProof/>
          <w:color w:val="auto"/>
          <w:sz w:val="24"/>
          <w:szCs w:val="24"/>
        </w:rPr>
        <w:t>13</w:t>
      </w:r>
      <w:r w:rsidRPr="0028226B">
        <w:rPr>
          <w:rFonts w:ascii="Arial" w:hAnsi="Arial" w:cs="Arial"/>
          <w:b/>
          <w:bCs/>
          <w:i w:val="0"/>
          <w:iCs w:val="0"/>
          <w:color w:val="auto"/>
          <w:sz w:val="24"/>
          <w:szCs w:val="24"/>
        </w:rPr>
        <w:fldChar w:fldCharType="end"/>
      </w:r>
      <w:r w:rsidRPr="0028226B">
        <w:rPr>
          <w:rFonts w:ascii="Arial" w:hAnsi="Arial" w:cs="Arial"/>
          <w:b/>
          <w:bCs/>
          <w:i w:val="0"/>
          <w:iCs w:val="0"/>
          <w:color w:val="auto"/>
          <w:sz w:val="24"/>
          <w:szCs w:val="24"/>
        </w:rPr>
        <w:t xml:space="preserve">. </w:t>
      </w:r>
      <w:r w:rsidR="0063561C" w:rsidRPr="0028226B">
        <w:rPr>
          <w:rFonts w:ascii="Arial" w:hAnsi="Arial" w:cs="Arial"/>
          <w:b/>
          <w:bCs/>
          <w:i w:val="0"/>
          <w:iCs w:val="0"/>
          <w:color w:val="auto"/>
          <w:sz w:val="24"/>
          <w:szCs w:val="24"/>
        </w:rPr>
        <w:t xml:space="preserve">P52. Jak by Pan(i) określił(a) swój poziom wiedzy na temat Funduszy Europejskich? Proszę posłużyć się skalą ocen szkolnych od 1 do 6, gdzie 1 oznacza „nie wiem o nich prawie nic”, a 6 oznacza „wiem o nich bardzo dużo” - </w:t>
      </w:r>
      <w:r w:rsidRPr="0028226B">
        <w:rPr>
          <w:rFonts w:ascii="Arial" w:hAnsi="Arial" w:cs="Arial"/>
          <w:b/>
          <w:bCs/>
          <w:i w:val="0"/>
          <w:iCs w:val="0"/>
          <w:color w:val="auto"/>
          <w:sz w:val="24"/>
          <w:szCs w:val="24"/>
        </w:rPr>
        <w:t>w latach 2018–2025</w:t>
      </w:r>
      <w:bookmarkEnd w:id="24"/>
    </w:p>
    <w:p w14:paraId="1410F1E0" w14:textId="7A79B39D" w:rsidR="00CB5FF5" w:rsidRPr="0028226B" w:rsidRDefault="00CB5FF5" w:rsidP="000C211B">
      <w:pPr>
        <w:spacing w:after="0"/>
        <w:rPr>
          <w:rFonts w:ascii="Arial" w:hAnsi="Arial" w:cs="Arial"/>
          <w:sz w:val="24"/>
          <w:szCs w:val="24"/>
        </w:rPr>
      </w:pPr>
      <w:r w:rsidRPr="0028226B">
        <w:rPr>
          <w:rFonts w:ascii="Arial" w:hAnsi="Arial" w:cs="Arial"/>
          <w:noProof/>
          <w:sz w:val="24"/>
          <w:szCs w:val="24"/>
        </w:rPr>
        <w:drawing>
          <wp:inline distT="0" distB="0" distL="0" distR="0" wp14:anchorId="29EC876C" wp14:editId="5BC70159">
            <wp:extent cx="5486400" cy="4745182"/>
            <wp:effectExtent l="0" t="0" r="0" b="0"/>
            <wp:docPr id="740089244" name="Wykres 7" descr="Wykres pokazuje, jak respondenci oceniali swój poziom wiedzy na temat Funduszy Europejskich w latach 2018–2025, używając skali szkolnej od 1 do 6, gdzie 1 oznacza „nie wiem o nich prawie nic”, a 6 – „wiem o nich bardzo dużo”. Zaprezentowano również odsetek odpowiedzi „nie wiem / trudno powiedzieć”.&#10;&#10;Dane dla poszczególnych lat:&#10;&#10;2018: ocena 1 – 12%, ocena 2 – 17%, ocena 3 – 26%, ocena 4 – 27%, ocena 5 – 22%, ocena 6 – 7%, „nie wiem” – 5%.&#10;&#10;2019: ocena 1 – 18%, ocena 2 – 18%, ocena 3 – 26%, ocena 4 – 27%, ocena 5 – 22%, ocena 6 – 5%, „nie wiem” – 5%.&#10;&#10;2020: ocena 1 – 17%, ocena 2 – 17%, ocena 3 – 27%, ocena 4 – 30%, ocena 5 – 19%, ocena 6 – 5%, „nie wiem” – 5%.&#10;&#10;2021: ocena 1 – 15%, ocena 2 – 19%, ocena 3 – 31%, ocena 4 – 28%, ocena 5 – 15%, ocena 6 – 5%, „nie wiem” – 7%.&#10;&#10;2022: ocena 1 – 16%, ocena 2 – 25%, ocena 3 – 25%, ocena 4 – 26%, ocena 5 – 24%, ocena 6 – 7%, „nie wiem” – 7%.&#10;&#10;2023: ocena 1 – 12%, ocena 2 – 22%, ocena 3 – 36%, ocena 4 – 19%, ocena 5 – 20%, ocena 6 – 5%, „nie wiem” – 7%.&#10;&#10;2024: ocena 1 – 17%, ocena 2 – 27%, ocena 3 – 31%, ocena 4 – 24%, ocena 5 – 12%, ocena 6 – 5%, „nie wiem” – 5%.&#10;&#10;2025: ocena 1 – 20%, ocena 2 – 35%, ocena 3 – 29%, ocena 4 – 12%, ocena 5 – 2%, ocena 6 – 2%, „nie wiem” – 0%."/>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14BF88A9" w14:textId="5505006D" w:rsidR="00CB5FF5" w:rsidRDefault="00CB5FF5" w:rsidP="000C211B">
      <w:pPr>
        <w:spacing w:before="240"/>
        <w:rPr>
          <w:rFonts w:ascii="Arial" w:hAnsi="Arial" w:cs="Arial"/>
          <w:sz w:val="24"/>
          <w:szCs w:val="24"/>
        </w:rPr>
      </w:pPr>
      <w:r w:rsidRPr="00672A70">
        <w:rPr>
          <w:rFonts w:ascii="Arial" w:hAnsi="Arial" w:cs="Arial"/>
          <w:sz w:val="24"/>
          <w:szCs w:val="24"/>
        </w:rPr>
        <w:t>Źródło: Opracowano na podstawie badania CAPI</w:t>
      </w:r>
      <w:r w:rsidR="00995031">
        <w:rPr>
          <w:rFonts w:ascii="Arial" w:hAnsi="Arial" w:cs="Arial"/>
          <w:sz w:val="24"/>
          <w:szCs w:val="24"/>
        </w:rPr>
        <w:t>; odpowiadający: znający określenie FE lub FU</w:t>
      </w:r>
    </w:p>
    <w:p w14:paraId="2D14BF4E" w14:textId="21179948" w:rsidR="009A6DB1" w:rsidRPr="009A6DB1" w:rsidRDefault="0033160E" w:rsidP="00696C0B">
      <w:pPr>
        <w:spacing w:before="240" w:line="360" w:lineRule="auto"/>
        <w:rPr>
          <w:rFonts w:ascii="Arial" w:hAnsi="Arial" w:cs="Arial"/>
          <w:sz w:val="24"/>
          <w:szCs w:val="24"/>
        </w:rPr>
      </w:pPr>
      <w:r>
        <w:rPr>
          <w:rFonts w:ascii="Arial" w:hAnsi="Arial" w:cs="Arial"/>
          <w:sz w:val="24"/>
          <w:szCs w:val="24"/>
        </w:rPr>
        <w:t>P</w:t>
      </w:r>
      <w:r w:rsidR="009A6DB1" w:rsidRPr="009A6DB1">
        <w:rPr>
          <w:rFonts w:ascii="Arial" w:hAnsi="Arial" w:cs="Arial"/>
          <w:sz w:val="24"/>
          <w:szCs w:val="24"/>
        </w:rPr>
        <w:t xml:space="preserve">oziom wiedzy o Funduszach Europejskich jest umiarkowany, a dominują odpowiedzi z dolnej i środkowej części skali. Najczęściej wybierane są oceny 2 (34%) oraz 3 (29%), co oznacza podstawową lub umiarkowaną orientację w temacie. </w:t>
      </w:r>
      <w:r w:rsidR="009A6DB1" w:rsidRPr="009A6DB1">
        <w:rPr>
          <w:rFonts w:ascii="Arial" w:hAnsi="Arial" w:cs="Arial"/>
          <w:sz w:val="24"/>
          <w:szCs w:val="24"/>
        </w:rPr>
        <w:lastRenderedPageBreak/>
        <w:t xml:space="preserve">Średnia ocena wiedzy w populacji wynosi 2,5, co potwierdza, że przeciętny poziom wiedzy lokuje się bliżej dolnej części skali. </w:t>
      </w:r>
    </w:p>
    <w:p w14:paraId="0FFBE16A" w14:textId="59EA9398" w:rsidR="009A6DB1" w:rsidRPr="009A6DB1" w:rsidRDefault="009A6DB1" w:rsidP="00696C0B">
      <w:pPr>
        <w:spacing w:before="240" w:line="360" w:lineRule="auto"/>
        <w:rPr>
          <w:rFonts w:ascii="Arial" w:hAnsi="Arial" w:cs="Arial"/>
          <w:sz w:val="24"/>
          <w:szCs w:val="24"/>
        </w:rPr>
      </w:pPr>
      <w:r w:rsidRPr="009A6DB1">
        <w:rPr>
          <w:rFonts w:ascii="Arial" w:hAnsi="Arial" w:cs="Arial"/>
          <w:sz w:val="24"/>
          <w:szCs w:val="24"/>
        </w:rPr>
        <w:t xml:space="preserve">Zestawienie wyników według płci, wieku, poziomu wykształcenia oraz wielkości miejscowości zamieszkania wskazuje, że różnice między grupami są niewielkie. Kobiety i mężczyźni oceniają swoją wiedzę w sposób bardzo podobny, a rozkład ocen jest niemal identyczny. Wyraźniejsze różnice pojawiają się natomiast w podziale na grupy wieku. Wśród najmłodszych respondentów (15–19 lat) relatywnie częściej występuje ocena 4 (42%), natomiast w grupie 55–64 lata częściej pojawia się ocena 1 (24%), świadcząca o bardzo niskiej wiedzy. W grupach wieku 25–34 oraz 35–44 lata struktura odpowiedzi jest bardziej wyrównana, a udział oceny 3 </w:t>
      </w:r>
      <w:r w:rsidR="000A66FA">
        <w:rPr>
          <w:rFonts w:ascii="Arial" w:hAnsi="Arial" w:cs="Arial"/>
          <w:sz w:val="24"/>
          <w:szCs w:val="24"/>
        </w:rPr>
        <w:t xml:space="preserve">jest </w:t>
      </w:r>
      <w:r w:rsidRPr="009A6DB1">
        <w:rPr>
          <w:rFonts w:ascii="Arial" w:hAnsi="Arial" w:cs="Arial"/>
          <w:sz w:val="24"/>
          <w:szCs w:val="24"/>
        </w:rPr>
        <w:t>zbliżony do wartości ogółu.</w:t>
      </w:r>
    </w:p>
    <w:p w14:paraId="4D035D53" w14:textId="77777777" w:rsidR="009A6DB1" w:rsidRPr="009A6DB1" w:rsidRDefault="009A6DB1" w:rsidP="00696C0B">
      <w:pPr>
        <w:spacing w:before="240" w:line="360" w:lineRule="auto"/>
        <w:rPr>
          <w:rFonts w:ascii="Arial" w:hAnsi="Arial" w:cs="Arial"/>
          <w:sz w:val="24"/>
          <w:szCs w:val="24"/>
        </w:rPr>
      </w:pPr>
      <w:r w:rsidRPr="009A6DB1">
        <w:rPr>
          <w:rFonts w:ascii="Arial" w:hAnsi="Arial" w:cs="Arial"/>
          <w:sz w:val="24"/>
          <w:szCs w:val="24"/>
        </w:rPr>
        <w:t>W podziale na poziomy wykształcenia widoczna jest ogólna tendencja, zgodnie z którą osoby z wykształceniem wyższym częściej wybierają oceny ze środkowej części skali (2–4), natomiast osoby z wykształceniem podstawowym i zawodowym częściej wskazują oceny najniższe (1–2). Różnice te pozostają niewielkie, a we wszystkich grupach dominuje ocena 2 lub 3, co potwierdza umiarkowany i wyrównany poziom wiedzy na temat funduszy.</w:t>
      </w:r>
    </w:p>
    <w:p w14:paraId="15200D60" w14:textId="5DAFBE8F" w:rsidR="009A6DB1" w:rsidRPr="009A6DB1" w:rsidRDefault="009A6DB1" w:rsidP="00696C0B">
      <w:pPr>
        <w:spacing w:before="240" w:line="360" w:lineRule="auto"/>
        <w:rPr>
          <w:rFonts w:ascii="Arial" w:hAnsi="Arial" w:cs="Arial"/>
          <w:sz w:val="24"/>
          <w:szCs w:val="24"/>
        </w:rPr>
      </w:pPr>
      <w:r w:rsidRPr="009A6DB1">
        <w:rPr>
          <w:rFonts w:ascii="Arial" w:hAnsi="Arial" w:cs="Arial"/>
          <w:sz w:val="24"/>
          <w:szCs w:val="24"/>
        </w:rPr>
        <w:t xml:space="preserve">Wielkość miejscowości zamieszkania nie wpływa znacząco na poziom wiedzy. Zarówno mieszkańcy małych miejscowości, jak i dużych miast wskazują podobne rozkłady ocen. W miastach od 200 do 499 tysięcy mieszkańców </w:t>
      </w:r>
      <w:r w:rsidR="000A66FA">
        <w:rPr>
          <w:rFonts w:ascii="Arial" w:hAnsi="Arial" w:cs="Arial"/>
          <w:sz w:val="24"/>
          <w:szCs w:val="24"/>
        </w:rPr>
        <w:t xml:space="preserve">oraz miastach 500+ tys. </w:t>
      </w:r>
      <w:r w:rsidRPr="009A6DB1">
        <w:rPr>
          <w:rFonts w:ascii="Arial" w:hAnsi="Arial" w:cs="Arial"/>
          <w:sz w:val="24"/>
          <w:szCs w:val="24"/>
        </w:rPr>
        <w:t>najwyższy udział ma ocena 3 (</w:t>
      </w:r>
      <w:r w:rsidR="000A66FA">
        <w:rPr>
          <w:rFonts w:ascii="Arial" w:hAnsi="Arial" w:cs="Arial"/>
          <w:sz w:val="24"/>
          <w:szCs w:val="24"/>
        </w:rPr>
        <w:t xml:space="preserve">odpowiednio 33% i </w:t>
      </w:r>
      <w:r w:rsidRPr="009A6DB1">
        <w:rPr>
          <w:rFonts w:ascii="Arial" w:hAnsi="Arial" w:cs="Arial"/>
          <w:sz w:val="24"/>
          <w:szCs w:val="24"/>
        </w:rPr>
        <w:t>35%).</w:t>
      </w:r>
    </w:p>
    <w:p w14:paraId="09ADD5A6" w14:textId="77777777" w:rsidR="009A6DB1" w:rsidRPr="009A6DB1" w:rsidRDefault="009A6DB1" w:rsidP="00696C0B">
      <w:pPr>
        <w:spacing w:before="240" w:line="360" w:lineRule="auto"/>
        <w:rPr>
          <w:rFonts w:ascii="Arial" w:hAnsi="Arial" w:cs="Arial"/>
          <w:sz w:val="24"/>
          <w:szCs w:val="24"/>
        </w:rPr>
      </w:pPr>
      <w:r w:rsidRPr="009A6DB1">
        <w:rPr>
          <w:rFonts w:ascii="Arial" w:hAnsi="Arial" w:cs="Arial"/>
          <w:sz w:val="24"/>
          <w:szCs w:val="24"/>
        </w:rPr>
        <w:t>Całościowo wyniki pokazują, że wiedza o Funduszach Europejskich ma charakter raczej podstawowy. Zdecydowanie dominują odpowiedzi z dolnych i środkowych części skali, a średnia ocen wynosząca 2,5 odzwierciedla umiarkowany poziom orientacji w tematyce funduszy.</w:t>
      </w:r>
    </w:p>
    <w:p w14:paraId="640F6A5C" w14:textId="61503723" w:rsidR="00474A5A" w:rsidRDefault="00474A5A" w:rsidP="006523E1">
      <w:pPr>
        <w:spacing w:before="240"/>
        <w:rPr>
          <w:rFonts w:ascii="Arial" w:hAnsi="Arial" w:cs="Arial"/>
          <w:sz w:val="24"/>
          <w:szCs w:val="24"/>
        </w:rPr>
      </w:pPr>
    </w:p>
    <w:p w14:paraId="3F28FE72" w14:textId="77777777" w:rsidR="00474A5A" w:rsidRDefault="00474A5A" w:rsidP="006523E1">
      <w:pPr>
        <w:spacing w:before="240"/>
        <w:rPr>
          <w:rFonts w:ascii="Arial" w:hAnsi="Arial" w:cs="Arial"/>
          <w:sz w:val="24"/>
          <w:szCs w:val="24"/>
        </w:rPr>
      </w:pPr>
    </w:p>
    <w:p w14:paraId="33EA9057" w14:textId="77777777" w:rsidR="00474A5A" w:rsidRDefault="00474A5A" w:rsidP="006523E1">
      <w:pPr>
        <w:spacing w:before="240"/>
        <w:rPr>
          <w:rFonts w:ascii="Arial" w:hAnsi="Arial" w:cs="Arial"/>
          <w:sz w:val="24"/>
          <w:szCs w:val="24"/>
        </w:rPr>
      </w:pPr>
    </w:p>
    <w:p w14:paraId="2A8AAC79" w14:textId="77777777" w:rsidR="00474A5A" w:rsidRDefault="00474A5A" w:rsidP="006523E1">
      <w:pPr>
        <w:spacing w:before="240"/>
        <w:rPr>
          <w:rFonts w:ascii="Arial" w:hAnsi="Arial" w:cs="Arial"/>
          <w:sz w:val="24"/>
          <w:szCs w:val="24"/>
        </w:rPr>
      </w:pPr>
    </w:p>
    <w:p w14:paraId="63280C0E" w14:textId="77777777" w:rsidR="00474A5A" w:rsidRDefault="00474A5A" w:rsidP="006523E1">
      <w:pPr>
        <w:spacing w:before="240"/>
        <w:rPr>
          <w:rFonts w:ascii="Arial" w:hAnsi="Arial" w:cs="Arial"/>
          <w:sz w:val="24"/>
          <w:szCs w:val="24"/>
        </w:rPr>
      </w:pPr>
    </w:p>
    <w:p w14:paraId="37C9DAD1" w14:textId="1B68BBB4" w:rsidR="002664EE" w:rsidRPr="0028226B" w:rsidRDefault="002664EE" w:rsidP="002664EE">
      <w:pPr>
        <w:pStyle w:val="Legenda"/>
        <w:keepNext/>
        <w:rPr>
          <w:rFonts w:ascii="Arial" w:hAnsi="Arial" w:cs="Arial"/>
          <w:b/>
          <w:bCs/>
          <w:i w:val="0"/>
          <w:iCs w:val="0"/>
          <w:color w:val="auto"/>
          <w:sz w:val="24"/>
          <w:szCs w:val="24"/>
        </w:rPr>
      </w:pPr>
      <w:bookmarkStart w:id="25" w:name="_Toc219369240"/>
      <w:r w:rsidRPr="0028226B">
        <w:rPr>
          <w:rFonts w:ascii="Arial" w:hAnsi="Arial" w:cs="Arial"/>
          <w:b/>
          <w:bCs/>
          <w:i w:val="0"/>
          <w:iCs w:val="0"/>
          <w:color w:val="auto"/>
          <w:sz w:val="24"/>
          <w:szCs w:val="24"/>
        </w:rPr>
        <w:lastRenderedPageBreak/>
        <w:t xml:space="preserve">Wykres </w:t>
      </w:r>
      <w:r w:rsidRPr="0028226B">
        <w:rPr>
          <w:rFonts w:ascii="Arial" w:hAnsi="Arial" w:cs="Arial"/>
          <w:b/>
          <w:bCs/>
          <w:i w:val="0"/>
          <w:iCs w:val="0"/>
          <w:color w:val="auto"/>
          <w:sz w:val="24"/>
          <w:szCs w:val="24"/>
        </w:rPr>
        <w:fldChar w:fldCharType="begin"/>
      </w:r>
      <w:r w:rsidRPr="0028226B">
        <w:rPr>
          <w:rFonts w:ascii="Arial" w:hAnsi="Arial" w:cs="Arial"/>
          <w:b/>
          <w:bCs/>
          <w:i w:val="0"/>
          <w:iCs w:val="0"/>
          <w:color w:val="auto"/>
          <w:sz w:val="24"/>
          <w:szCs w:val="24"/>
        </w:rPr>
        <w:instrText xml:space="preserve"> SEQ Wykres \* ARABIC </w:instrText>
      </w:r>
      <w:r w:rsidRPr="0028226B">
        <w:rPr>
          <w:rFonts w:ascii="Arial" w:hAnsi="Arial" w:cs="Arial"/>
          <w:b/>
          <w:bCs/>
          <w:i w:val="0"/>
          <w:iCs w:val="0"/>
          <w:color w:val="auto"/>
          <w:sz w:val="24"/>
          <w:szCs w:val="24"/>
        </w:rPr>
        <w:fldChar w:fldCharType="separate"/>
      </w:r>
      <w:r w:rsidR="0055789E">
        <w:rPr>
          <w:rFonts w:ascii="Arial" w:hAnsi="Arial" w:cs="Arial"/>
          <w:b/>
          <w:bCs/>
          <w:i w:val="0"/>
          <w:iCs w:val="0"/>
          <w:noProof/>
          <w:color w:val="auto"/>
          <w:sz w:val="24"/>
          <w:szCs w:val="24"/>
        </w:rPr>
        <w:t>14</w:t>
      </w:r>
      <w:r w:rsidRPr="0028226B">
        <w:rPr>
          <w:rFonts w:ascii="Arial" w:hAnsi="Arial" w:cs="Arial"/>
          <w:b/>
          <w:bCs/>
          <w:i w:val="0"/>
          <w:iCs w:val="0"/>
          <w:color w:val="auto"/>
          <w:sz w:val="24"/>
          <w:szCs w:val="24"/>
        </w:rPr>
        <w:fldChar w:fldCharType="end"/>
      </w:r>
      <w:r w:rsidRPr="0028226B">
        <w:rPr>
          <w:rFonts w:ascii="Arial" w:hAnsi="Arial" w:cs="Arial"/>
          <w:b/>
          <w:bCs/>
          <w:i w:val="0"/>
          <w:iCs w:val="0"/>
          <w:color w:val="auto"/>
          <w:sz w:val="24"/>
          <w:szCs w:val="24"/>
        </w:rPr>
        <w:t xml:space="preserve">. </w:t>
      </w:r>
      <w:r w:rsidR="00E41DE0" w:rsidRPr="0028226B">
        <w:rPr>
          <w:rFonts w:ascii="Arial" w:hAnsi="Arial" w:cs="Arial"/>
          <w:b/>
          <w:bCs/>
          <w:i w:val="0"/>
          <w:iCs w:val="0"/>
          <w:color w:val="auto"/>
          <w:sz w:val="24"/>
          <w:szCs w:val="24"/>
        </w:rPr>
        <w:t xml:space="preserve">P52. Jak by Pan(i) określił(a) swój poziom wiedzy na temat Funduszy Europejskich? Proszę posłużyć się skalą ocen szkolnych od 1 do 6, gdzie 1 oznacza „nie wiem o nich prawie nic”, a 6 oznacza „wiem o nich bardzo dużo”. – według </w:t>
      </w:r>
      <w:r w:rsidRPr="0028226B">
        <w:rPr>
          <w:rFonts w:ascii="Arial" w:hAnsi="Arial" w:cs="Arial"/>
          <w:b/>
          <w:bCs/>
          <w:i w:val="0"/>
          <w:iCs w:val="0"/>
          <w:color w:val="auto"/>
          <w:sz w:val="24"/>
          <w:szCs w:val="24"/>
        </w:rPr>
        <w:t>zmian społeczno-demograficznych</w:t>
      </w:r>
      <w:bookmarkEnd w:id="25"/>
    </w:p>
    <w:p w14:paraId="13BD633F" w14:textId="6395172A" w:rsidR="0030564F" w:rsidRPr="0028226B" w:rsidRDefault="0030564F" w:rsidP="00CC5DEA">
      <w:pPr>
        <w:rPr>
          <w:rFonts w:ascii="Arial" w:hAnsi="Arial" w:cs="Arial"/>
          <w:sz w:val="24"/>
          <w:szCs w:val="24"/>
        </w:rPr>
      </w:pPr>
      <w:r w:rsidRPr="0028226B">
        <w:rPr>
          <w:rFonts w:ascii="Arial" w:hAnsi="Arial" w:cs="Arial"/>
          <w:noProof/>
          <w:sz w:val="24"/>
          <w:szCs w:val="24"/>
        </w:rPr>
        <w:drawing>
          <wp:inline distT="0" distB="0" distL="0" distR="0" wp14:anchorId="69A697B2" wp14:editId="039B8495">
            <wp:extent cx="6464596" cy="5135880"/>
            <wp:effectExtent l="0" t="0" r="0" b="0"/>
            <wp:docPr id="1744597657" name="Wykres 5" descr="Wykres przedstawia odpowiedzi na pytanie „Jak by Pan(i) określił(a) swój poziom wiedzy na temat Funduszy Europejskich?”, oceniane w skali szkolnej od 1 do 6, gdzie 1 oznacza „nie wiem o nich prawie nic”, a 6 – „wiem o nich bardzo dużo”. Wyniki podano w podziale na płeć, wiek, poziom wykształcenia oraz wielkość miejscowości zamieszkania. Uwzględniono także odpowiedzi „nie wiem”.&#10;&#10;Ogółem: ocena 1 – 18,4%; ocena 2 – 34,1%; ocena 3 – 29,4%; ocena 4 – 11,2%; ocena 5 – 3,0%; ocena 6 – 1,8%; „nie wiem” – 2,1%.&#10;&#10;Płeć:&#10;Kobiety – 18,3% ocena 1; 34,7% ocena 2; 29,0% ocena 3; 12,0% ocena 4; 2,4% ocena 5; 1,5% ocena 6; 2,1% „nie wiem”.&#10;Mężczyźni – 18,5% ocena 1; 33,6% ocena 2; 29,0% ocena 3; 10,5% ocena 4; 3,6% ocena 5; 0,9% ocena 6; 4,0% „nie wiem”.&#10;&#10;Wiek:&#10;15–19 lat – 15,3% ocena 1; 28,8% ocena 2; 39,3% ocena 3; 42,4% ocena 4; 6,8% ocena 5; 5,1% ocena 6; 1,0% „nie wiem”.&#10;20–24 lata – 21,3%; 39,3%; 29,3%; 12,4%; 4,8%; 1,7%; 0,0%.&#10;25–34 lata – 12,9%; 34,9%; 29,0%; 12,4%; 8,4%; 1,2%; 1,2%.&#10;35–44 lata – 17,2%; 39,0%; 28,1%; 11,4%; 3,9%; 2,5%; 0,3%.&#10;45–54 lata – 17,0%; 32,6%; 28,0%; 13,5%; 2,8%; 1,4%; 4,7%.&#10;55–64 lata – 24,4%; 32,5%; 25,2%; 11,4%; 3,6%; 1,0%; 1,9%.&#10;65+ – 20,6%; 32,5%; 25,2%; 11,4%; 7,3%; 2,1%; 1,0%.&#10;&#10;Wykształcenie:&#10;Wyższe – 22,4%; 34,7%; 25,4%; 12,7%; 3,0%; 0,7%; 1,0%.&#10;Średnie – 14,3%; 35,3%; 31,3%; 11,6%; 4,2%; 1,7%; 1,7%.&#10;Zawodowe – 18,0%; 33,1%; 29,0%; 12,9%; 4,8%; 1,5%; 0,8%.&#10;Podstawowe – 21,8%; 37,3%; 25,2%; 11,8%; 2,6%; 0,7%; 0,7%.&#10;&#10;Wielkość miejscowości:&#10;Wieś – 16,0%; 37,3%; 29,1%; 11,8%; 2,8%; 1,6%; 1,5%.&#10;Miasta do 20 tys. – 18,0%; 38,5%; 24,6%; 10,7%; 4,1%; 1,6%; 2,6%.&#10;20–49 tys. – 17,2%; 30,1%; 35,2%; 13,3%; 2,0%; 0,7%; 1,5%.&#10;50–199 tys. – 18,9%; 31,5%; 30,5%; 11,2%; 4,2%; 0,7%; 3,0%.&#10;200–499 tys. – 21,0%; 27,2%; 33,3%; 11,1%; 4,9%; 2,0%; 0,5%.&#10;Powyżej 500 tys. – 20,0%; 31,4%; 34,8%; 8,7%; 2,7%; 2,6%; 0,1%.&#10;&#10;Źródło: opracowano na podstawie badania CAPI."/>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28F69AE2" w14:textId="265177A0" w:rsidR="006523E1" w:rsidRPr="00672A70" w:rsidRDefault="006523E1" w:rsidP="006523E1">
      <w:pPr>
        <w:spacing w:before="240"/>
        <w:rPr>
          <w:rFonts w:ascii="Arial" w:hAnsi="Arial" w:cs="Arial"/>
          <w:sz w:val="24"/>
          <w:szCs w:val="24"/>
        </w:rPr>
      </w:pPr>
      <w:r w:rsidRPr="00672A70">
        <w:rPr>
          <w:rFonts w:ascii="Arial" w:hAnsi="Arial" w:cs="Arial"/>
          <w:sz w:val="24"/>
          <w:szCs w:val="24"/>
        </w:rPr>
        <w:t>Źródło: Opracowano na podstawie badania CAPI</w:t>
      </w:r>
      <w:r w:rsidR="00995031">
        <w:rPr>
          <w:rFonts w:ascii="Arial" w:hAnsi="Arial" w:cs="Arial"/>
          <w:sz w:val="24"/>
          <w:szCs w:val="24"/>
        </w:rPr>
        <w:t>; odpowiadający: znający określenie FE lub FU</w:t>
      </w:r>
    </w:p>
    <w:p w14:paraId="0666988A" w14:textId="665B2B18" w:rsidR="006523E1" w:rsidRPr="0028226B" w:rsidRDefault="006523E1" w:rsidP="00080581">
      <w:pPr>
        <w:pStyle w:val="Nagwek1"/>
        <w:shd w:val="clear" w:color="auto" w:fill="061A3D"/>
        <w:rPr>
          <w:rFonts w:ascii="Arial" w:hAnsi="Arial" w:cs="Arial"/>
          <w:b/>
          <w:bCs/>
          <w:color w:val="FFFFFF" w:themeColor="background1"/>
          <w:sz w:val="24"/>
          <w:szCs w:val="24"/>
        </w:rPr>
      </w:pPr>
      <w:bookmarkStart w:id="26" w:name="_Toc219375241"/>
      <w:r w:rsidRPr="0028226B">
        <w:rPr>
          <w:rFonts w:ascii="Arial" w:hAnsi="Arial" w:cs="Arial"/>
          <w:b/>
          <w:bCs/>
          <w:color w:val="FFFFFF" w:themeColor="background1"/>
          <w:sz w:val="24"/>
          <w:szCs w:val="24"/>
        </w:rPr>
        <w:t>Obszary oraz cele</w:t>
      </w:r>
      <w:r w:rsidR="0046186B">
        <w:rPr>
          <w:rFonts w:ascii="Arial" w:hAnsi="Arial" w:cs="Arial"/>
          <w:b/>
          <w:bCs/>
          <w:color w:val="FFFFFF" w:themeColor="background1"/>
          <w:sz w:val="24"/>
          <w:szCs w:val="24"/>
        </w:rPr>
        <w:t>,</w:t>
      </w:r>
      <w:r w:rsidRPr="0028226B">
        <w:rPr>
          <w:rFonts w:ascii="Arial" w:hAnsi="Arial" w:cs="Arial"/>
          <w:b/>
          <w:bCs/>
          <w:color w:val="FFFFFF" w:themeColor="background1"/>
          <w:sz w:val="24"/>
          <w:szCs w:val="24"/>
        </w:rPr>
        <w:t xml:space="preserve"> na jakie przeznaczane są środki pozyskiwane z FE</w:t>
      </w:r>
      <w:bookmarkEnd w:id="26"/>
    </w:p>
    <w:p w14:paraId="5047DC21" w14:textId="0D10D40C" w:rsidR="009C1D69" w:rsidRPr="009C1D69" w:rsidRDefault="009C1D69" w:rsidP="00696C0B">
      <w:pPr>
        <w:pStyle w:val="Legenda"/>
        <w:keepNext/>
        <w:spacing w:before="240" w:line="360" w:lineRule="auto"/>
        <w:rPr>
          <w:rFonts w:ascii="Arial" w:hAnsi="Arial" w:cs="Arial"/>
          <w:i w:val="0"/>
          <w:iCs w:val="0"/>
          <w:color w:val="auto"/>
          <w:sz w:val="24"/>
          <w:szCs w:val="24"/>
        </w:rPr>
      </w:pPr>
      <w:r w:rsidRPr="009C1D69">
        <w:rPr>
          <w:rFonts w:ascii="Arial" w:hAnsi="Arial" w:cs="Arial"/>
          <w:i w:val="0"/>
          <w:iCs w:val="0"/>
          <w:color w:val="auto"/>
          <w:sz w:val="24"/>
          <w:szCs w:val="24"/>
        </w:rPr>
        <w:t xml:space="preserve">Poziom spontanicznej wiedzy mieszkańców Polski na temat celów, obszarów i działań finansowanych z Funduszy Europejskich w latach 2016–2025 charakteryzuje się wyraźną zmiennością, przy czym do 2019 roku utrzymywał się on na relatywnie niskim i stabilnym poziomie, mieszczącym się w przedziale od 19% do 25%, co wskazywało na ograniczoną orientację społeczną w zakresie przeznaczenia środków unijnych. Wyraźna zmiana nastąpiła w latach 2020–2021, kiedy odsetek deklaracji wzrósł kolejno do 28% i 29%, co można wiązać z rosnącą obecnością tematyki </w:t>
      </w:r>
      <w:r w:rsidRPr="009C1D69">
        <w:rPr>
          <w:rFonts w:ascii="Arial" w:hAnsi="Arial" w:cs="Arial"/>
          <w:i w:val="0"/>
          <w:iCs w:val="0"/>
          <w:color w:val="auto"/>
          <w:sz w:val="24"/>
          <w:szCs w:val="24"/>
        </w:rPr>
        <w:lastRenderedPageBreak/>
        <w:t>Funduszy Europejskich w debacie publicznej oraz kontekstem pandemicznym. W 2022 roku odnotowano silny skok do poziomu 39%, będący wówczas najwyższym wynikiem w całej serii pomiarów, co najprawdopodobniej było związane z intensywną dyskusją wokół Krajowego Planu Odbudowy oraz roli środków unijnych w procesie wychodzenia z kryzysu. Rok 2023 przyniósł wyraźną korektę tego wzrostu i spadek do 31%, jednak poziom wiedzy spontanicznej nadal pozostawał wyższy niż w latach sprzed 2020 roku. Kluczowe znaczenie w całej serii ma rok 2024, w którym wskaźnik osiągnął najwyższą wartość 47%, co stanowi zarówno rekord badania, jak i wyraźny sygnał znaczącego wzrostu świadomości społecznej dotyczącej celów i działań Funduszy Europejskich; wynik ten można interpretować jako efekt kumulacji działań informacyjnych związanych z nową perspektywą finansową, intensyfikacji komunikacji publicznej oraz większej widoczności projektów współfinansowanych ze środków unijnych. W 2025 roku odsetek ten obniżył się do 35%, co oznacza spadek względem rekordowego 2024 roku, lecz jednocześnie potwierdza utrzymanie się poziomu wiedzy spontanicznej istotnie wyższego niż w pierwszych latach pomiaru</w:t>
      </w:r>
      <w:r w:rsidR="00403F4E">
        <w:rPr>
          <w:rFonts w:ascii="Arial" w:hAnsi="Arial" w:cs="Arial"/>
          <w:i w:val="0"/>
          <w:iCs w:val="0"/>
          <w:color w:val="auto"/>
          <w:sz w:val="24"/>
          <w:szCs w:val="24"/>
        </w:rPr>
        <w:t>.</w:t>
      </w:r>
    </w:p>
    <w:p w14:paraId="6FDC29D3" w14:textId="4B9BE7EA" w:rsidR="00926A8E" w:rsidRPr="0028226B" w:rsidRDefault="00926A8E" w:rsidP="00926A8E">
      <w:pPr>
        <w:pStyle w:val="Legenda"/>
        <w:keepNext/>
        <w:rPr>
          <w:rFonts w:ascii="Arial" w:hAnsi="Arial" w:cs="Arial"/>
          <w:b/>
          <w:bCs/>
          <w:i w:val="0"/>
          <w:iCs w:val="0"/>
          <w:color w:val="auto"/>
          <w:sz w:val="24"/>
          <w:szCs w:val="24"/>
        </w:rPr>
      </w:pPr>
      <w:bookmarkStart w:id="27" w:name="_Toc219369241"/>
      <w:r w:rsidRPr="0028226B">
        <w:rPr>
          <w:rFonts w:ascii="Arial" w:hAnsi="Arial" w:cs="Arial"/>
          <w:b/>
          <w:bCs/>
          <w:i w:val="0"/>
          <w:iCs w:val="0"/>
          <w:color w:val="auto"/>
          <w:sz w:val="24"/>
          <w:szCs w:val="24"/>
        </w:rPr>
        <w:t xml:space="preserve">Wykres </w:t>
      </w:r>
      <w:r w:rsidRPr="0028226B">
        <w:rPr>
          <w:rFonts w:ascii="Arial" w:hAnsi="Arial" w:cs="Arial"/>
          <w:b/>
          <w:bCs/>
          <w:i w:val="0"/>
          <w:iCs w:val="0"/>
          <w:color w:val="auto"/>
          <w:sz w:val="24"/>
          <w:szCs w:val="24"/>
        </w:rPr>
        <w:fldChar w:fldCharType="begin"/>
      </w:r>
      <w:r w:rsidRPr="0028226B">
        <w:rPr>
          <w:rFonts w:ascii="Arial" w:hAnsi="Arial" w:cs="Arial"/>
          <w:b/>
          <w:bCs/>
          <w:i w:val="0"/>
          <w:iCs w:val="0"/>
          <w:color w:val="auto"/>
          <w:sz w:val="24"/>
          <w:szCs w:val="24"/>
        </w:rPr>
        <w:instrText xml:space="preserve"> SEQ Wykres \* ARABIC </w:instrText>
      </w:r>
      <w:r w:rsidRPr="0028226B">
        <w:rPr>
          <w:rFonts w:ascii="Arial" w:hAnsi="Arial" w:cs="Arial"/>
          <w:b/>
          <w:bCs/>
          <w:i w:val="0"/>
          <w:iCs w:val="0"/>
          <w:color w:val="auto"/>
          <w:sz w:val="24"/>
          <w:szCs w:val="24"/>
        </w:rPr>
        <w:fldChar w:fldCharType="separate"/>
      </w:r>
      <w:r w:rsidR="0055789E">
        <w:rPr>
          <w:rFonts w:ascii="Arial" w:hAnsi="Arial" w:cs="Arial"/>
          <w:b/>
          <w:bCs/>
          <w:i w:val="0"/>
          <w:iCs w:val="0"/>
          <w:noProof/>
          <w:color w:val="auto"/>
          <w:sz w:val="24"/>
          <w:szCs w:val="24"/>
        </w:rPr>
        <w:t>15</w:t>
      </w:r>
      <w:r w:rsidRPr="0028226B">
        <w:rPr>
          <w:rFonts w:ascii="Arial" w:hAnsi="Arial" w:cs="Arial"/>
          <w:b/>
          <w:bCs/>
          <w:i w:val="0"/>
          <w:iCs w:val="0"/>
          <w:color w:val="auto"/>
          <w:sz w:val="24"/>
          <w:szCs w:val="24"/>
        </w:rPr>
        <w:fldChar w:fldCharType="end"/>
      </w:r>
      <w:r w:rsidRPr="0028226B">
        <w:rPr>
          <w:rFonts w:ascii="Arial" w:hAnsi="Arial" w:cs="Arial"/>
          <w:b/>
          <w:bCs/>
          <w:i w:val="0"/>
          <w:iCs w:val="0"/>
          <w:color w:val="auto"/>
          <w:sz w:val="24"/>
          <w:szCs w:val="24"/>
        </w:rPr>
        <w:t>.</w:t>
      </w:r>
      <w:r w:rsidR="00E41DE0" w:rsidRPr="0028226B">
        <w:rPr>
          <w:rFonts w:ascii="Arial" w:hAnsi="Arial" w:cs="Arial"/>
          <w:b/>
          <w:bCs/>
          <w:i w:val="0"/>
          <w:iCs w:val="0"/>
          <w:color w:val="auto"/>
          <w:sz w:val="24"/>
          <w:szCs w:val="24"/>
        </w:rPr>
        <w:t xml:space="preserve"> </w:t>
      </w:r>
      <w:r w:rsidR="00D812C6" w:rsidRPr="0028226B">
        <w:rPr>
          <w:rFonts w:ascii="Arial" w:hAnsi="Arial" w:cs="Arial"/>
          <w:b/>
          <w:bCs/>
          <w:i w:val="0"/>
          <w:iCs w:val="0"/>
          <w:color w:val="auto"/>
          <w:sz w:val="24"/>
          <w:szCs w:val="24"/>
        </w:rPr>
        <w:t>P1</w:t>
      </w:r>
      <w:r w:rsidR="00D812C6">
        <w:rPr>
          <w:rFonts w:ascii="Arial" w:hAnsi="Arial" w:cs="Arial"/>
          <w:b/>
          <w:bCs/>
          <w:i w:val="0"/>
          <w:iCs w:val="0"/>
          <w:color w:val="auto"/>
          <w:sz w:val="24"/>
          <w:szCs w:val="24"/>
        </w:rPr>
        <w:t>0</w:t>
      </w:r>
      <w:r w:rsidR="00E41DE0" w:rsidRPr="0028226B">
        <w:rPr>
          <w:rFonts w:ascii="Arial" w:hAnsi="Arial" w:cs="Arial"/>
          <w:b/>
          <w:bCs/>
          <w:i w:val="0"/>
          <w:iCs w:val="0"/>
          <w:color w:val="auto"/>
          <w:sz w:val="24"/>
          <w:szCs w:val="24"/>
        </w:rPr>
        <w:t xml:space="preserve">. </w:t>
      </w:r>
      <w:r w:rsidR="009228E0" w:rsidRPr="009228E0">
        <w:rPr>
          <w:rFonts w:ascii="Arial" w:hAnsi="Arial" w:cs="Arial"/>
          <w:b/>
          <w:bCs/>
          <w:i w:val="0"/>
          <w:iCs w:val="0"/>
          <w:color w:val="auto"/>
          <w:sz w:val="24"/>
          <w:szCs w:val="24"/>
        </w:rPr>
        <w:t xml:space="preserve">Jak Pan(i) sądzi, na jakie cele, obszary lub na jakie działania są przeznaczane Fundusze Europejskie w Polsce? </w:t>
      </w:r>
      <w:r w:rsidRPr="0028226B">
        <w:rPr>
          <w:rFonts w:ascii="Arial" w:hAnsi="Arial" w:cs="Arial"/>
          <w:b/>
          <w:bCs/>
          <w:i w:val="0"/>
          <w:iCs w:val="0"/>
          <w:color w:val="auto"/>
          <w:sz w:val="24"/>
          <w:szCs w:val="24"/>
        </w:rPr>
        <w:t>Odsetek mieszkańców Polski znających co najmniej trzy przykładowe cele, obszary lub działania, na które przeznaczane są Fundusze Europejskie – wiedza spontaniczna (porównanie między latami)</w:t>
      </w:r>
      <w:bookmarkEnd w:id="27"/>
    </w:p>
    <w:p w14:paraId="4B4B6F88" w14:textId="280280C3" w:rsidR="00926A8E" w:rsidRPr="0028226B" w:rsidRDefault="00926A8E" w:rsidP="006523E1">
      <w:pPr>
        <w:rPr>
          <w:rFonts w:ascii="Arial" w:hAnsi="Arial" w:cs="Arial"/>
          <w:sz w:val="24"/>
          <w:szCs w:val="24"/>
        </w:rPr>
      </w:pPr>
      <w:r w:rsidRPr="0028226B">
        <w:rPr>
          <w:rFonts w:ascii="Arial" w:hAnsi="Arial" w:cs="Arial"/>
          <w:noProof/>
          <w:sz w:val="24"/>
          <w:szCs w:val="24"/>
        </w:rPr>
        <w:drawing>
          <wp:inline distT="0" distB="0" distL="0" distR="0" wp14:anchorId="03126FD7" wp14:editId="78196B9D">
            <wp:extent cx="5730240" cy="3200400"/>
            <wp:effectExtent l="0" t="0" r="0" b="0"/>
            <wp:docPr id="1784186835" name="Wykres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0A237BCC" w14:textId="25629D21" w:rsidR="00926A8E" w:rsidRPr="00672A70" w:rsidRDefault="00926A8E" w:rsidP="00926A8E">
      <w:pPr>
        <w:spacing w:before="240"/>
        <w:rPr>
          <w:rFonts w:ascii="Arial" w:hAnsi="Arial" w:cs="Arial"/>
          <w:sz w:val="24"/>
          <w:szCs w:val="24"/>
        </w:rPr>
      </w:pPr>
      <w:r w:rsidRPr="00672A70">
        <w:rPr>
          <w:rFonts w:ascii="Arial" w:hAnsi="Arial" w:cs="Arial"/>
          <w:sz w:val="24"/>
          <w:szCs w:val="24"/>
        </w:rPr>
        <w:t>Źródło: Opracowano na podstawie badania CAPI</w:t>
      </w:r>
      <w:r w:rsidR="00995031">
        <w:rPr>
          <w:rFonts w:ascii="Arial" w:hAnsi="Arial" w:cs="Arial"/>
          <w:sz w:val="24"/>
          <w:szCs w:val="24"/>
        </w:rPr>
        <w:t>; odpowiadający: znający określenie FE lub FU</w:t>
      </w:r>
    </w:p>
    <w:p w14:paraId="0BEC3C3C" w14:textId="7A5B8A42" w:rsidR="006D22BA" w:rsidRPr="0028226B" w:rsidRDefault="58A52817" w:rsidP="00696C0B">
      <w:pPr>
        <w:spacing w:line="360" w:lineRule="auto"/>
        <w:rPr>
          <w:rFonts w:ascii="Arial" w:hAnsi="Arial" w:cs="Arial"/>
          <w:sz w:val="24"/>
          <w:szCs w:val="24"/>
        </w:rPr>
      </w:pPr>
      <w:r w:rsidRPr="0028226B">
        <w:rPr>
          <w:rFonts w:ascii="Arial" w:hAnsi="Arial" w:cs="Arial"/>
          <w:sz w:val="24"/>
          <w:szCs w:val="24"/>
        </w:rPr>
        <w:lastRenderedPageBreak/>
        <w:t xml:space="preserve">W odpowiedziach dotyczących obszarów, które — zdaniem respondentów — najczęściej zyskują dzięki Funduszom Europejskim, dominowała kategoria poprawy jakości życia. Wskazało ją </w:t>
      </w:r>
      <w:r w:rsidR="005B39F7">
        <w:rPr>
          <w:rFonts w:ascii="Arial" w:hAnsi="Arial" w:cs="Arial"/>
          <w:sz w:val="24"/>
          <w:szCs w:val="24"/>
        </w:rPr>
        <w:t>30</w:t>
      </w:r>
      <w:r w:rsidRPr="0028226B">
        <w:rPr>
          <w:rFonts w:ascii="Arial" w:hAnsi="Arial" w:cs="Arial"/>
          <w:sz w:val="24"/>
          <w:szCs w:val="24"/>
        </w:rPr>
        <w:t>% uczestników badania, co czyni ją zdecydowanie najczęściej identyfikowanym obszarem korzyści. Odpowiedzi przypisane do tej kategorii obejmowały szerokie poczucie ogólnej poprawy standardów życia, warunków funkcjonowania i codziennych możliwości mieszkańców.</w:t>
      </w:r>
    </w:p>
    <w:p w14:paraId="00CF7E67" w14:textId="60D8B834" w:rsidR="006D22BA" w:rsidRPr="0028226B" w:rsidRDefault="58A52817" w:rsidP="00696C0B">
      <w:pPr>
        <w:spacing w:line="360" w:lineRule="auto"/>
        <w:rPr>
          <w:rFonts w:ascii="Arial" w:hAnsi="Arial" w:cs="Arial"/>
          <w:sz w:val="24"/>
          <w:szCs w:val="24"/>
        </w:rPr>
      </w:pPr>
      <w:r w:rsidRPr="0028226B">
        <w:rPr>
          <w:rFonts w:ascii="Arial" w:hAnsi="Arial" w:cs="Arial"/>
          <w:sz w:val="24"/>
          <w:szCs w:val="24"/>
        </w:rPr>
        <w:t>Drugą co do częstości grupą wskazań były działania związane z rozwojem kompetencji, czyli szkolenia i edukacja (8%). Relatywnie często wymieniano także technologie i cyfryzację (7%) oraz inwestycje w infrastrukturę zdrowotną (6%) i ochronę środowiska (</w:t>
      </w:r>
      <w:r w:rsidR="005B39F7">
        <w:rPr>
          <w:rFonts w:ascii="Arial" w:hAnsi="Arial" w:cs="Arial"/>
          <w:sz w:val="24"/>
          <w:szCs w:val="24"/>
        </w:rPr>
        <w:t>6</w:t>
      </w:r>
      <w:r w:rsidRPr="0028226B">
        <w:rPr>
          <w:rFonts w:ascii="Arial" w:hAnsi="Arial" w:cs="Arial"/>
          <w:sz w:val="24"/>
          <w:szCs w:val="24"/>
        </w:rPr>
        <w:t>%). Odpowiedzi te wskazują na widoczność i rozpoznawalność przedsięwzięć skierowanych na rozwój funkcjonalny i ekologiczny.</w:t>
      </w:r>
    </w:p>
    <w:p w14:paraId="3330D62A" w14:textId="2E900887" w:rsidR="006D22BA" w:rsidRPr="0028226B" w:rsidRDefault="58A52817" w:rsidP="00696C0B">
      <w:pPr>
        <w:spacing w:line="360" w:lineRule="auto"/>
        <w:rPr>
          <w:rFonts w:ascii="Arial" w:hAnsi="Arial" w:cs="Arial"/>
          <w:sz w:val="24"/>
          <w:szCs w:val="24"/>
        </w:rPr>
      </w:pPr>
      <w:r w:rsidRPr="0028226B">
        <w:rPr>
          <w:rFonts w:ascii="Arial" w:hAnsi="Arial" w:cs="Arial"/>
          <w:sz w:val="24"/>
          <w:szCs w:val="24"/>
        </w:rPr>
        <w:t>Jednym z szerzej identyfikowanych obszarów była infrastruktura drogowa, w której – po zsumowaniu wszystkich odpowiedzi odnoszących się do dróg, autostrad, mostów i elementów transportowych – uzyskano 6%. Infrastruktura miejska była wskazywana rzadziej (</w:t>
      </w:r>
      <w:r w:rsidR="005B39F7">
        <w:rPr>
          <w:rFonts w:ascii="Arial" w:hAnsi="Arial" w:cs="Arial"/>
          <w:sz w:val="24"/>
          <w:szCs w:val="24"/>
        </w:rPr>
        <w:t>3</w:t>
      </w:r>
      <w:r w:rsidRPr="0028226B">
        <w:rPr>
          <w:rFonts w:ascii="Arial" w:hAnsi="Arial" w:cs="Arial"/>
          <w:sz w:val="24"/>
          <w:szCs w:val="24"/>
        </w:rPr>
        <w:t>%), podobnie jak inwestycje w infrastrukturę przemysłową (</w:t>
      </w:r>
      <w:r w:rsidR="005B39F7">
        <w:rPr>
          <w:rFonts w:ascii="Arial" w:hAnsi="Arial" w:cs="Arial"/>
          <w:sz w:val="24"/>
          <w:szCs w:val="24"/>
        </w:rPr>
        <w:t>3</w:t>
      </w:r>
      <w:r w:rsidRPr="0028226B">
        <w:rPr>
          <w:rFonts w:ascii="Arial" w:hAnsi="Arial" w:cs="Arial"/>
          <w:sz w:val="24"/>
          <w:szCs w:val="24"/>
        </w:rPr>
        <w:t>%) oraz kulturalną (</w:t>
      </w:r>
      <w:r w:rsidR="005B39F7">
        <w:rPr>
          <w:rFonts w:ascii="Arial" w:hAnsi="Arial" w:cs="Arial"/>
          <w:sz w:val="24"/>
          <w:szCs w:val="24"/>
        </w:rPr>
        <w:t>3</w:t>
      </w:r>
      <w:r w:rsidRPr="0028226B">
        <w:rPr>
          <w:rFonts w:ascii="Arial" w:hAnsi="Arial" w:cs="Arial"/>
          <w:sz w:val="24"/>
          <w:szCs w:val="24"/>
        </w:rPr>
        <w:t>%). Inne typy infrastruktury, takie jak edukacyjna (</w:t>
      </w:r>
      <w:r w:rsidR="005B39F7">
        <w:rPr>
          <w:rFonts w:ascii="Arial" w:hAnsi="Arial" w:cs="Arial"/>
          <w:sz w:val="24"/>
          <w:szCs w:val="24"/>
        </w:rPr>
        <w:t>2</w:t>
      </w:r>
      <w:r w:rsidRPr="0028226B">
        <w:rPr>
          <w:rFonts w:ascii="Arial" w:hAnsi="Arial" w:cs="Arial"/>
          <w:sz w:val="24"/>
          <w:szCs w:val="24"/>
        </w:rPr>
        <w:t>%), ekologiczna (1%), komunalna (0,4%) czy bezpieczeństwa (0,1%), pojawiały się sporadycznie.</w:t>
      </w:r>
    </w:p>
    <w:p w14:paraId="7394CB31" w14:textId="3302CBAB" w:rsidR="006D22BA" w:rsidRPr="0028226B" w:rsidRDefault="58A52817" w:rsidP="00696C0B">
      <w:pPr>
        <w:spacing w:line="360" w:lineRule="auto"/>
        <w:rPr>
          <w:rFonts w:ascii="Arial" w:hAnsi="Arial" w:cs="Arial"/>
          <w:sz w:val="24"/>
          <w:szCs w:val="24"/>
        </w:rPr>
      </w:pPr>
      <w:r w:rsidRPr="0028226B">
        <w:rPr>
          <w:rFonts w:ascii="Arial" w:hAnsi="Arial" w:cs="Arial"/>
          <w:sz w:val="24"/>
          <w:szCs w:val="24"/>
        </w:rPr>
        <w:t xml:space="preserve">Spośród działań skierowanych do określonych grup społecznych najczęściej wymieniano wsparcie dla osób w trudnej sytuacji – w tym seniorów, osób z niepełnosprawnością czy rodzin wymagających opieki (łącznie </w:t>
      </w:r>
      <w:r w:rsidR="005B39F7">
        <w:rPr>
          <w:rFonts w:ascii="Arial" w:hAnsi="Arial" w:cs="Arial"/>
          <w:sz w:val="24"/>
          <w:szCs w:val="24"/>
        </w:rPr>
        <w:t>2</w:t>
      </w:r>
      <w:r w:rsidRPr="0028226B">
        <w:rPr>
          <w:rFonts w:ascii="Arial" w:hAnsi="Arial" w:cs="Arial"/>
          <w:sz w:val="24"/>
          <w:szCs w:val="24"/>
        </w:rPr>
        <w:t>%). Dopłaty dla rolników oraz rozwój obszarów wiejskich wskazywano z podobną częstotliwością (po 1%). Wsparcie dla młodych, obejmujące m.in. mieszkania czy dofinansowanie startu, otrzymało 2%. Nowe miejsca pracy pojawiały się rzadziej (</w:t>
      </w:r>
      <w:r w:rsidR="005B39F7">
        <w:rPr>
          <w:rFonts w:ascii="Arial" w:hAnsi="Arial" w:cs="Arial"/>
          <w:sz w:val="24"/>
          <w:szCs w:val="24"/>
        </w:rPr>
        <w:t>1</w:t>
      </w:r>
      <w:r w:rsidRPr="0028226B">
        <w:rPr>
          <w:rFonts w:ascii="Arial" w:hAnsi="Arial" w:cs="Arial"/>
          <w:sz w:val="24"/>
          <w:szCs w:val="24"/>
        </w:rPr>
        <w:t>%).</w:t>
      </w:r>
    </w:p>
    <w:p w14:paraId="2E441C83" w14:textId="3E9419AA" w:rsidR="006D22BA" w:rsidRDefault="58A52817" w:rsidP="00696C0B">
      <w:pPr>
        <w:spacing w:line="360" w:lineRule="auto"/>
        <w:rPr>
          <w:rFonts w:ascii="Arial" w:hAnsi="Arial" w:cs="Arial"/>
          <w:sz w:val="24"/>
          <w:szCs w:val="24"/>
        </w:rPr>
      </w:pPr>
      <w:r w:rsidRPr="0028226B">
        <w:rPr>
          <w:rFonts w:ascii="Arial" w:hAnsi="Arial" w:cs="Arial"/>
          <w:sz w:val="24"/>
          <w:szCs w:val="24"/>
        </w:rPr>
        <w:t>Zainteresowanie obszarami typowo gospodarczymi — takimi jak energetyka (2%), dopłaty i wsparcie dla firm (3%) — również było widoczne, choć w mniejszym stopniu niż kategorie związane z jakością życia i edukacją. Pojedyncze wskazania dotyczyły tak niszowych elementów, jak turystyka, pomoc społeczna w formie dopłat czy wsparcie instytucji publicznych, jednak ich udział procentowy pozostawał marginalny.</w:t>
      </w:r>
    </w:p>
    <w:p w14:paraId="7A4BC7EC" w14:textId="77777777" w:rsidR="00B76AB3" w:rsidRDefault="00B76AB3" w:rsidP="006D22BA">
      <w:pPr>
        <w:rPr>
          <w:rFonts w:ascii="Arial" w:hAnsi="Arial" w:cs="Arial"/>
          <w:sz w:val="24"/>
          <w:szCs w:val="24"/>
        </w:rPr>
      </w:pPr>
    </w:p>
    <w:p w14:paraId="206FD114" w14:textId="77777777" w:rsidR="00B76AB3" w:rsidRDefault="00B76AB3" w:rsidP="006D22BA">
      <w:pPr>
        <w:rPr>
          <w:rFonts w:ascii="Arial" w:hAnsi="Arial" w:cs="Arial"/>
          <w:sz w:val="24"/>
          <w:szCs w:val="24"/>
        </w:rPr>
      </w:pPr>
    </w:p>
    <w:p w14:paraId="187B44F6" w14:textId="77777777" w:rsidR="00090479" w:rsidRDefault="00090479" w:rsidP="006D22BA">
      <w:pPr>
        <w:rPr>
          <w:rFonts w:ascii="Arial" w:hAnsi="Arial" w:cs="Arial"/>
          <w:sz w:val="24"/>
          <w:szCs w:val="24"/>
        </w:rPr>
      </w:pPr>
    </w:p>
    <w:p w14:paraId="6E335C24" w14:textId="66DA1C78" w:rsidR="006D22BA" w:rsidRPr="0028226B" w:rsidRDefault="006D22BA" w:rsidP="004769ED">
      <w:pPr>
        <w:pStyle w:val="Legenda"/>
        <w:keepNext/>
        <w:spacing w:after="0"/>
        <w:rPr>
          <w:rFonts w:ascii="Arial" w:hAnsi="Arial" w:cs="Arial"/>
          <w:b/>
          <w:bCs/>
          <w:i w:val="0"/>
          <w:iCs w:val="0"/>
          <w:color w:val="auto"/>
          <w:sz w:val="24"/>
          <w:szCs w:val="24"/>
        </w:rPr>
      </w:pPr>
      <w:bookmarkStart w:id="28" w:name="_Toc219369242"/>
      <w:r w:rsidRPr="0028226B">
        <w:rPr>
          <w:rFonts w:ascii="Arial" w:hAnsi="Arial" w:cs="Arial"/>
          <w:b/>
          <w:bCs/>
          <w:i w:val="0"/>
          <w:iCs w:val="0"/>
          <w:color w:val="auto"/>
          <w:sz w:val="24"/>
          <w:szCs w:val="24"/>
        </w:rPr>
        <w:lastRenderedPageBreak/>
        <w:t xml:space="preserve">Wykres </w:t>
      </w:r>
      <w:r w:rsidRPr="0028226B">
        <w:rPr>
          <w:rFonts w:ascii="Arial" w:hAnsi="Arial" w:cs="Arial"/>
          <w:b/>
          <w:bCs/>
          <w:i w:val="0"/>
          <w:iCs w:val="0"/>
          <w:color w:val="auto"/>
          <w:sz w:val="24"/>
          <w:szCs w:val="24"/>
        </w:rPr>
        <w:fldChar w:fldCharType="begin"/>
      </w:r>
      <w:r w:rsidRPr="0028226B">
        <w:rPr>
          <w:rFonts w:ascii="Arial" w:hAnsi="Arial" w:cs="Arial"/>
          <w:b/>
          <w:bCs/>
          <w:i w:val="0"/>
          <w:iCs w:val="0"/>
          <w:color w:val="auto"/>
          <w:sz w:val="24"/>
          <w:szCs w:val="24"/>
        </w:rPr>
        <w:instrText xml:space="preserve"> SEQ Wykres \* ARABIC </w:instrText>
      </w:r>
      <w:r w:rsidRPr="0028226B">
        <w:rPr>
          <w:rFonts w:ascii="Arial" w:hAnsi="Arial" w:cs="Arial"/>
          <w:b/>
          <w:bCs/>
          <w:i w:val="0"/>
          <w:iCs w:val="0"/>
          <w:color w:val="auto"/>
          <w:sz w:val="24"/>
          <w:szCs w:val="24"/>
        </w:rPr>
        <w:fldChar w:fldCharType="separate"/>
      </w:r>
      <w:r w:rsidR="0055789E">
        <w:rPr>
          <w:rFonts w:ascii="Arial" w:hAnsi="Arial" w:cs="Arial"/>
          <w:b/>
          <w:bCs/>
          <w:i w:val="0"/>
          <w:iCs w:val="0"/>
          <w:noProof/>
          <w:color w:val="auto"/>
          <w:sz w:val="24"/>
          <w:szCs w:val="24"/>
        </w:rPr>
        <w:t>16</w:t>
      </w:r>
      <w:r w:rsidRPr="0028226B">
        <w:rPr>
          <w:rFonts w:ascii="Arial" w:hAnsi="Arial" w:cs="Arial"/>
          <w:b/>
          <w:bCs/>
          <w:i w:val="0"/>
          <w:iCs w:val="0"/>
          <w:color w:val="auto"/>
          <w:sz w:val="24"/>
          <w:szCs w:val="24"/>
        </w:rPr>
        <w:fldChar w:fldCharType="end"/>
      </w:r>
      <w:r w:rsidRPr="0028226B">
        <w:rPr>
          <w:rFonts w:ascii="Arial" w:hAnsi="Arial" w:cs="Arial"/>
          <w:b/>
          <w:bCs/>
          <w:i w:val="0"/>
          <w:iCs w:val="0"/>
          <w:color w:val="auto"/>
          <w:sz w:val="24"/>
          <w:szCs w:val="24"/>
        </w:rPr>
        <w:t xml:space="preserve">.  </w:t>
      </w:r>
      <w:r w:rsidR="00B76AB3" w:rsidRPr="0028226B">
        <w:rPr>
          <w:rFonts w:ascii="Arial" w:hAnsi="Arial" w:cs="Arial"/>
          <w:b/>
          <w:bCs/>
          <w:i w:val="0"/>
          <w:iCs w:val="0"/>
          <w:color w:val="auto"/>
          <w:sz w:val="24"/>
          <w:szCs w:val="24"/>
        </w:rPr>
        <w:t>P1</w:t>
      </w:r>
      <w:r w:rsidR="009F038A">
        <w:rPr>
          <w:rFonts w:ascii="Arial" w:hAnsi="Arial" w:cs="Arial"/>
          <w:b/>
          <w:bCs/>
          <w:i w:val="0"/>
          <w:iCs w:val="0"/>
          <w:color w:val="auto"/>
          <w:sz w:val="24"/>
          <w:szCs w:val="24"/>
        </w:rPr>
        <w:t>0</w:t>
      </w:r>
      <w:r w:rsidR="0014047D" w:rsidRPr="0028226B">
        <w:rPr>
          <w:rFonts w:ascii="Arial" w:hAnsi="Arial" w:cs="Arial"/>
          <w:b/>
          <w:bCs/>
          <w:i w:val="0"/>
          <w:iCs w:val="0"/>
          <w:color w:val="auto"/>
          <w:sz w:val="24"/>
          <w:szCs w:val="24"/>
        </w:rPr>
        <w:t xml:space="preserve">. </w:t>
      </w:r>
      <w:r w:rsidR="00215E71" w:rsidRPr="00215E71">
        <w:rPr>
          <w:rFonts w:ascii="Arial" w:hAnsi="Arial" w:cs="Arial"/>
          <w:b/>
          <w:bCs/>
          <w:i w:val="0"/>
          <w:iCs w:val="0"/>
          <w:color w:val="auto"/>
          <w:sz w:val="24"/>
          <w:szCs w:val="24"/>
        </w:rPr>
        <w:t xml:space="preserve">Jak Pan(i) sądzi, na jakie cele, obszary lub na jakie działania są przeznaczane Fundusze Europejskie w Polsce? Proszę wymienić wszystkie przykłady, które przychodzą Panu(i) na </w:t>
      </w:r>
      <w:proofErr w:type="gramStart"/>
      <w:r w:rsidR="00215E71" w:rsidRPr="00215E71">
        <w:rPr>
          <w:rFonts w:ascii="Arial" w:hAnsi="Arial" w:cs="Arial"/>
          <w:b/>
          <w:bCs/>
          <w:i w:val="0"/>
          <w:iCs w:val="0"/>
          <w:color w:val="auto"/>
          <w:sz w:val="24"/>
          <w:szCs w:val="24"/>
        </w:rPr>
        <w:t>myśl.</w:t>
      </w:r>
      <w:r w:rsidRPr="0028226B">
        <w:rPr>
          <w:rFonts w:ascii="Arial" w:hAnsi="Arial" w:cs="Arial"/>
          <w:b/>
          <w:bCs/>
          <w:i w:val="0"/>
          <w:iCs w:val="0"/>
          <w:color w:val="auto"/>
          <w:sz w:val="24"/>
          <w:szCs w:val="24"/>
        </w:rPr>
        <w:t>–</w:t>
      </w:r>
      <w:proofErr w:type="gramEnd"/>
      <w:r w:rsidRPr="0028226B">
        <w:rPr>
          <w:rFonts w:ascii="Arial" w:hAnsi="Arial" w:cs="Arial"/>
          <w:b/>
          <w:bCs/>
          <w:i w:val="0"/>
          <w:iCs w:val="0"/>
          <w:color w:val="auto"/>
          <w:sz w:val="24"/>
          <w:szCs w:val="24"/>
        </w:rPr>
        <w:t xml:space="preserve"> odpowiedź spontaniczna</w:t>
      </w:r>
      <w:r w:rsidR="00B76AB3">
        <w:rPr>
          <w:rFonts w:ascii="Arial" w:hAnsi="Arial" w:cs="Arial"/>
          <w:b/>
          <w:bCs/>
          <w:i w:val="0"/>
          <w:iCs w:val="0"/>
          <w:color w:val="auto"/>
          <w:sz w:val="24"/>
          <w:szCs w:val="24"/>
        </w:rPr>
        <w:t xml:space="preserve"> (N=498)</w:t>
      </w:r>
      <w:bookmarkEnd w:id="28"/>
    </w:p>
    <w:p w14:paraId="6598C11F" w14:textId="3035B3A1" w:rsidR="00926A8E" w:rsidRPr="0028226B" w:rsidRDefault="00926A8E" w:rsidP="004769ED">
      <w:pPr>
        <w:spacing w:after="0"/>
        <w:rPr>
          <w:rFonts w:ascii="Arial" w:hAnsi="Arial" w:cs="Arial"/>
          <w:sz w:val="24"/>
          <w:szCs w:val="24"/>
        </w:rPr>
      </w:pPr>
      <w:r w:rsidRPr="0028226B">
        <w:rPr>
          <w:rFonts w:ascii="Arial" w:hAnsi="Arial" w:cs="Arial"/>
          <w:noProof/>
          <w:sz w:val="24"/>
          <w:szCs w:val="24"/>
        </w:rPr>
        <w:drawing>
          <wp:inline distT="0" distB="0" distL="0" distR="0" wp14:anchorId="1738FA83" wp14:editId="1D94EA90">
            <wp:extent cx="6475095" cy="7482840"/>
            <wp:effectExtent l="0" t="0" r="0" b="0"/>
            <wp:docPr id="267464250" name="Wykres 1" descr="Wykres przedstawia odpowiedzi na pytanie:&#10;„Jak Pan(i) sądzi, na jakie cele, obszary lub działania są przeznaczane Fundusze Europejskie w Polsce? Proszę wymienić wszystkie przykłady, które przychodzą Panu(i) na myśl” – odpowiedzi spontaniczne.&#10;&#10;Najczęściej wskazywanym obszarem jest poprawa jakości życia – 29,8%.&#10;&#10;Pozostałe wskazania to:&#10;– szkolenia i edukacja – 8,0%,&#10;– cyfryzacja i technologie – 7,1%,&#10;– infrastruktura drogowa (drogi, autostrady, obwodnice, mosty, transport) – 6,4%,&#10;– infrastruktura zdrowotna – 6,1%,&#10;– ochrona środowiska (niezależna od OZE) – 5,7%,&#10;– dopłaty i wsparcie dla firm / start-upów – 3,2%,&#10;– infrastruktura przemysłowa – 2,9%,&#10;– infrastruktura miejska (parki, place zabaw, ścieżki rowerowe) – 2,7%,&#10;– infrastruktura kulturalna – 2,6%,&#10;– energetyka – 2,4%,&#10;– wsparcie dla młodych – 2,0%,&#10;– wsparcie osób w trudnej sytuacji (społeczne, socjalne, seniorzy, niepełnosprawni) – 1,9%,&#10;– infrastruktura edukacyjna – 1,7%,&#10;– rozwój obszarów wiejskich – 1,4%,&#10;– dopłaty dla rolników – 1,4%,&#10;– infrastruktura ekologiczna (OZE, tamy, wiatraki, panele) – 1,2%,&#10;– nowe miejsca pracy – 0,8%,&#10;– infrastruktura komunalna (kanalizacja, spalarnie, oczyszczalnie, media) – 0,4%,&#10;– infrastruktura bezpieczeństwa – 0,1%."/>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578C451C" w14:textId="389D8E1B" w:rsidR="006D22BA" w:rsidRPr="00672A70" w:rsidRDefault="006D22BA" w:rsidP="00655F46">
      <w:pPr>
        <w:rPr>
          <w:rFonts w:ascii="Arial" w:hAnsi="Arial" w:cs="Arial"/>
          <w:sz w:val="24"/>
          <w:szCs w:val="24"/>
        </w:rPr>
      </w:pPr>
      <w:r w:rsidRPr="00672A70">
        <w:rPr>
          <w:rFonts w:ascii="Arial" w:hAnsi="Arial" w:cs="Arial"/>
          <w:sz w:val="24"/>
          <w:szCs w:val="24"/>
        </w:rPr>
        <w:t>Źródło: Opracowano na podstawie badania CAPI</w:t>
      </w:r>
      <w:r w:rsidR="00995031">
        <w:rPr>
          <w:rFonts w:ascii="Arial" w:hAnsi="Arial" w:cs="Arial"/>
          <w:sz w:val="24"/>
          <w:szCs w:val="24"/>
        </w:rPr>
        <w:t>; odpowiadający: znający określenie FE lub FU, potrafiący wymienić przykłady</w:t>
      </w:r>
    </w:p>
    <w:p w14:paraId="0D134391" w14:textId="16D0BB40" w:rsidR="00FB7E0C" w:rsidRPr="0028226B" w:rsidRDefault="5E76B8A3" w:rsidP="00696C0B">
      <w:pPr>
        <w:spacing w:line="360" w:lineRule="auto"/>
        <w:rPr>
          <w:rFonts w:ascii="Arial" w:hAnsi="Arial" w:cs="Arial"/>
          <w:sz w:val="24"/>
          <w:szCs w:val="24"/>
        </w:rPr>
      </w:pPr>
      <w:r w:rsidRPr="0028226B">
        <w:rPr>
          <w:rFonts w:ascii="Arial" w:hAnsi="Arial" w:cs="Arial"/>
          <w:sz w:val="24"/>
          <w:szCs w:val="24"/>
        </w:rPr>
        <w:lastRenderedPageBreak/>
        <w:t>Poniższy wykres przedstawia, jak respondenci postrzegają cele i obszary finansowane ze środków unijnych.</w:t>
      </w:r>
      <w:r w:rsidR="00281735">
        <w:rPr>
          <w:rFonts w:ascii="Arial" w:hAnsi="Arial" w:cs="Arial"/>
          <w:sz w:val="24"/>
          <w:szCs w:val="24"/>
        </w:rPr>
        <w:t xml:space="preserve"> </w:t>
      </w:r>
      <w:r w:rsidR="00281735" w:rsidRPr="00281735">
        <w:rPr>
          <w:rFonts w:ascii="Arial" w:hAnsi="Arial" w:cs="Arial"/>
          <w:sz w:val="24"/>
          <w:szCs w:val="24"/>
        </w:rPr>
        <w:t>W niniejszym pytaniu respondenci nie udzielali już spontanicznych odpowiedzi – jak w poprzednim zadaniu – lecz oceniali przedstawioną im listę potencjalnych obszarów wsparcia, wskazując osobno dla każdego z nich, czy kojarzą go z Funduszami Europejskimi.</w:t>
      </w:r>
      <w:r w:rsidRPr="0028226B">
        <w:rPr>
          <w:rFonts w:ascii="Arial" w:hAnsi="Arial" w:cs="Arial"/>
          <w:sz w:val="24"/>
          <w:szCs w:val="24"/>
        </w:rPr>
        <w:t xml:space="preserve"> Widać wyraźnie, że większość badanych kojarzy Fundusze Europejskie przede wszystkim z inwestycjami infrastrukturalnymi i modernizacyjnymi. Najczęściej wskazywanym obszarem jest transport (9</w:t>
      </w:r>
      <w:r w:rsidR="004B75FE">
        <w:rPr>
          <w:rFonts w:ascii="Arial" w:hAnsi="Arial" w:cs="Arial"/>
          <w:sz w:val="24"/>
          <w:szCs w:val="24"/>
        </w:rPr>
        <w:t>0</w:t>
      </w:r>
      <w:r w:rsidRPr="0028226B">
        <w:rPr>
          <w:rFonts w:ascii="Arial" w:hAnsi="Arial" w:cs="Arial"/>
          <w:sz w:val="24"/>
          <w:szCs w:val="24"/>
        </w:rPr>
        <w:t xml:space="preserve">%), a więc budowa i modernizacja dróg, mostów czy linii kolejowych. Bardzo wysokie są również odsetki odpowiedzi dotyczące rolnictwa (84%), zielonych technologii i </w:t>
      </w:r>
      <w:proofErr w:type="spellStart"/>
      <w:r w:rsidRPr="0028226B">
        <w:rPr>
          <w:rFonts w:ascii="Arial" w:hAnsi="Arial" w:cs="Arial"/>
          <w:sz w:val="24"/>
          <w:szCs w:val="24"/>
        </w:rPr>
        <w:t>ekoinnowacji</w:t>
      </w:r>
      <w:proofErr w:type="spellEnd"/>
      <w:r w:rsidRPr="0028226B">
        <w:rPr>
          <w:rFonts w:ascii="Arial" w:hAnsi="Arial" w:cs="Arial"/>
          <w:sz w:val="24"/>
          <w:szCs w:val="24"/>
        </w:rPr>
        <w:t xml:space="preserve"> (8</w:t>
      </w:r>
      <w:r w:rsidR="004B75FE">
        <w:rPr>
          <w:rFonts w:ascii="Arial" w:hAnsi="Arial" w:cs="Arial"/>
          <w:sz w:val="24"/>
          <w:szCs w:val="24"/>
        </w:rPr>
        <w:t>1</w:t>
      </w:r>
      <w:r w:rsidRPr="0028226B">
        <w:rPr>
          <w:rFonts w:ascii="Arial" w:hAnsi="Arial" w:cs="Arial"/>
          <w:sz w:val="24"/>
          <w:szCs w:val="24"/>
        </w:rPr>
        <w:t>%) oraz transformacji energetycznej (80%).</w:t>
      </w:r>
    </w:p>
    <w:p w14:paraId="3713C35B" w14:textId="667AB874" w:rsidR="00FB7E0C" w:rsidRPr="0028226B" w:rsidRDefault="5E76B8A3" w:rsidP="00696C0B">
      <w:pPr>
        <w:spacing w:line="360" w:lineRule="auto"/>
        <w:rPr>
          <w:rFonts w:ascii="Arial" w:hAnsi="Arial" w:cs="Arial"/>
          <w:sz w:val="24"/>
          <w:szCs w:val="24"/>
        </w:rPr>
      </w:pPr>
      <w:r w:rsidRPr="0028226B">
        <w:rPr>
          <w:rFonts w:ascii="Arial" w:hAnsi="Arial" w:cs="Arial"/>
          <w:sz w:val="24"/>
          <w:szCs w:val="24"/>
        </w:rPr>
        <w:t>Znacząca część respondentów dostrzega także finansowanie działań związanych z ochroną środowiska (7</w:t>
      </w:r>
      <w:r w:rsidR="004B75FE">
        <w:rPr>
          <w:rFonts w:ascii="Arial" w:hAnsi="Arial" w:cs="Arial"/>
          <w:sz w:val="24"/>
          <w:szCs w:val="24"/>
        </w:rPr>
        <w:t>7</w:t>
      </w:r>
      <w:r w:rsidRPr="0028226B">
        <w:rPr>
          <w:rFonts w:ascii="Arial" w:hAnsi="Arial" w:cs="Arial"/>
          <w:sz w:val="24"/>
          <w:szCs w:val="24"/>
        </w:rPr>
        <w:t>%), wsparciem przedsiębiorstw – zarówno innowacyjnych</w:t>
      </w:r>
      <w:r w:rsidR="00603A06">
        <w:rPr>
          <w:rFonts w:ascii="Arial" w:hAnsi="Arial" w:cs="Arial"/>
          <w:sz w:val="24"/>
          <w:szCs w:val="24"/>
        </w:rPr>
        <w:t xml:space="preserve"> (77%)</w:t>
      </w:r>
      <w:r w:rsidRPr="0028226B">
        <w:rPr>
          <w:rFonts w:ascii="Arial" w:hAnsi="Arial" w:cs="Arial"/>
          <w:sz w:val="24"/>
          <w:szCs w:val="24"/>
        </w:rPr>
        <w:t>, jak i cyfrowych (67%) – oraz inwestycji w ochronę zdrowia (7</w:t>
      </w:r>
      <w:r w:rsidR="004B75FE">
        <w:rPr>
          <w:rFonts w:ascii="Arial" w:hAnsi="Arial" w:cs="Arial"/>
          <w:sz w:val="24"/>
          <w:szCs w:val="24"/>
        </w:rPr>
        <w:t>5</w:t>
      </w:r>
      <w:r w:rsidRPr="0028226B">
        <w:rPr>
          <w:rFonts w:ascii="Arial" w:hAnsi="Arial" w:cs="Arial"/>
          <w:sz w:val="24"/>
          <w:szCs w:val="24"/>
        </w:rPr>
        <w:t>%).</w:t>
      </w:r>
    </w:p>
    <w:p w14:paraId="0C3A3DF2" w14:textId="745B512F" w:rsidR="00FB7E0C" w:rsidRPr="0028226B" w:rsidRDefault="5E76B8A3" w:rsidP="00696C0B">
      <w:pPr>
        <w:spacing w:line="360" w:lineRule="auto"/>
        <w:rPr>
          <w:rFonts w:ascii="Arial" w:hAnsi="Arial" w:cs="Arial"/>
          <w:sz w:val="24"/>
          <w:szCs w:val="24"/>
        </w:rPr>
      </w:pPr>
      <w:r w:rsidRPr="0028226B">
        <w:rPr>
          <w:rFonts w:ascii="Arial" w:hAnsi="Arial" w:cs="Arial"/>
          <w:sz w:val="24"/>
          <w:szCs w:val="24"/>
        </w:rPr>
        <w:t xml:space="preserve">Nieco niższe, choć nadal wysokie wskazania dotyczą rozwoju usług publicznych, cyfryzacji, kompetencji cyfrowych i opieki nad dziećmi (ok. 60–68%). Najrzadziej fundusze kojarzone są z </w:t>
      </w:r>
      <w:r w:rsidR="00B76AB3">
        <w:rPr>
          <w:rFonts w:ascii="Arial" w:hAnsi="Arial" w:cs="Arial"/>
          <w:sz w:val="24"/>
          <w:szCs w:val="24"/>
        </w:rPr>
        <w:t>cyfryzacją usług publicznych (</w:t>
      </w:r>
      <w:r w:rsidR="004B75FE">
        <w:rPr>
          <w:rFonts w:ascii="Arial" w:hAnsi="Arial" w:cs="Arial"/>
          <w:sz w:val="24"/>
          <w:szCs w:val="24"/>
        </w:rPr>
        <w:t>58</w:t>
      </w:r>
      <w:r w:rsidR="00B76AB3">
        <w:rPr>
          <w:rFonts w:ascii="Arial" w:hAnsi="Arial" w:cs="Arial"/>
          <w:sz w:val="24"/>
          <w:szCs w:val="24"/>
        </w:rPr>
        <w:t>%), szybkim Internetem</w:t>
      </w:r>
      <w:r w:rsidR="004B75FE">
        <w:rPr>
          <w:rFonts w:ascii="Arial" w:hAnsi="Arial" w:cs="Arial"/>
          <w:sz w:val="24"/>
          <w:szCs w:val="24"/>
        </w:rPr>
        <w:t xml:space="preserve"> (60%)</w:t>
      </w:r>
      <w:r w:rsidR="00B76AB3">
        <w:rPr>
          <w:rFonts w:ascii="Arial" w:hAnsi="Arial" w:cs="Arial"/>
          <w:sz w:val="24"/>
          <w:szCs w:val="24"/>
        </w:rPr>
        <w:t xml:space="preserve"> i rybactwem (61%)</w:t>
      </w:r>
      <w:r w:rsidRPr="0028226B">
        <w:rPr>
          <w:rFonts w:ascii="Arial" w:hAnsi="Arial" w:cs="Arial"/>
          <w:sz w:val="24"/>
          <w:szCs w:val="24"/>
        </w:rPr>
        <w:t>.</w:t>
      </w:r>
    </w:p>
    <w:p w14:paraId="3167361F" w14:textId="77777777" w:rsidR="00FB7E0C" w:rsidRPr="0028226B" w:rsidRDefault="5E76B8A3" w:rsidP="00696C0B">
      <w:pPr>
        <w:spacing w:line="360" w:lineRule="auto"/>
        <w:rPr>
          <w:rFonts w:ascii="Arial" w:hAnsi="Arial" w:cs="Arial"/>
          <w:sz w:val="24"/>
          <w:szCs w:val="24"/>
        </w:rPr>
      </w:pPr>
      <w:r w:rsidRPr="0028226B">
        <w:rPr>
          <w:rFonts w:ascii="Arial" w:hAnsi="Arial" w:cs="Arial"/>
          <w:sz w:val="24"/>
          <w:szCs w:val="24"/>
        </w:rPr>
        <w:t>Dane pokazują, że ogólna świadomość obszarów finansowanych ze środków UE jest wysoka, a respondenci najczęściej łączą Fundusze Europejskie z dużymi inwestycjami oraz transformacją środowiskowo-energetyczną.</w:t>
      </w:r>
    </w:p>
    <w:p w14:paraId="4D16C3AE" w14:textId="77777777" w:rsidR="00FB7E0C" w:rsidRPr="0028226B" w:rsidRDefault="5E76B8A3" w:rsidP="00696C0B">
      <w:pPr>
        <w:spacing w:line="360" w:lineRule="auto"/>
        <w:rPr>
          <w:rFonts w:ascii="Arial" w:hAnsi="Arial" w:cs="Arial"/>
          <w:sz w:val="24"/>
          <w:szCs w:val="24"/>
        </w:rPr>
      </w:pPr>
      <w:r w:rsidRPr="0028226B">
        <w:rPr>
          <w:rFonts w:ascii="Arial" w:hAnsi="Arial" w:cs="Arial"/>
          <w:sz w:val="24"/>
          <w:szCs w:val="24"/>
        </w:rPr>
        <w:t>Znacznie wyraźniej widać zróżnicowanie odpowiedzi wraz z wiekiem. Najmłodsi respondenci (15–19 lat) i młodzi dorośli (20–24 lata) częściej niż pozostałe grupy kojarzą Fundusze Europejskie z nowoczesnymi, rozwojowymi obszarami: transportem, zielonymi technologiami, innowacyjnymi przedsiębiorstwami, pracami badawczo-rozwojowymi, transformacją energetyczną czy ochroną środowiska. Młodzi dorośli w wieku 20–24 lata szczególnie mocno wyróżniają się także bardzo wysoką świadomością roli funduszy w ochronie zdrowia – zdecydowanie częściej niż starsze grupy wiekowe wskazują ten obszar jako beneficjenta wsparcia. W grupach w wieku 25–54 lata odsetki odpowiedzi są przeważnie zbliżone do średniej dla całej próby, natomiast wśród osób starszych (55+) widać lekkie osłabienie skojarzeń z transformacją energetyczną i adaptacją do zmian klimatu przy jednocześnie utrzymującej się wysokiej świadomości znaczenia rolnictwa i ochrony środowiska.</w:t>
      </w:r>
    </w:p>
    <w:p w14:paraId="7D5DD85A" w14:textId="77777777" w:rsidR="00FB7E0C" w:rsidRPr="0028226B" w:rsidRDefault="5E76B8A3" w:rsidP="00696C0B">
      <w:pPr>
        <w:spacing w:line="360" w:lineRule="auto"/>
        <w:rPr>
          <w:rFonts w:ascii="Arial" w:hAnsi="Arial" w:cs="Arial"/>
          <w:sz w:val="24"/>
          <w:szCs w:val="24"/>
        </w:rPr>
      </w:pPr>
      <w:r w:rsidRPr="0028226B">
        <w:rPr>
          <w:rFonts w:ascii="Arial" w:hAnsi="Arial" w:cs="Arial"/>
          <w:sz w:val="24"/>
          <w:szCs w:val="24"/>
        </w:rPr>
        <w:lastRenderedPageBreak/>
        <w:t>Silnym czynnikiem różnicującym okazuje się poziom wykształcenia. Osoby z wykształceniem wyższym znacznie częściej niż badani ze średnim i podstawowym są przekonane, że Fundusze Europejskie wspierają transformację energetyczną, rolnictwo, rynek pracy, opiekę nad dziećmi oraz różne formy cyfryzacji. Wykształcenie średnie stosunkowo często charakteryzuje się najniższymi odsetkami wskazań w wielu obszarach – zarówno tradycyjnych (transport, rolnictwo), jak i nowoczesnych (transformacja energetyczna, wsparcie rynku pracy). W przypadku wykształcenia podstawowego szczególnie widoczne są niższe wskazania dla przystosowania do zmian klimatu, rozwoju szkolnictwa wyższego oraz cyfryzacji usług publicznych, co może sugerować większy dystans wobec bardziej złożonych, „systemowych” obszarów wsparcia.</w:t>
      </w:r>
    </w:p>
    <w:p w14:paraId="1441F55A" w14:textId="77777777" w:rsidR="00FB7E0C" w:rsidRPr="0028226B" w:rsidRDefault="5E76B8A3" w:rsidP="00696C0B">
      <w:pPr>
        <w:spacing w:line="360" w:lineRule="auto"/>
        <w:rPr>
          <w:rFonts w:ascii="Arial" w:hAnsi="Arial" w:cs="Arial"/>
          <w:sz w:val="24"/>
          <w:szCs w:val="24"/>
        </w:rPr>
      </w:pPr>
      <w:r w:rsidRPr="0028226B">
        <w:rPr>
          <w:rFonts w:ascii="Arial" w:hAnsi="Arial" w:cs="Arial"/>
          <w:sz w:val="24"/>
          <w:szCs w:val="24"/>
        </w:rPr>
        <w:t xml:space="preserve">Istotne różnice pojawiają się także w zależności od wielkości miejscowości zamieszkania. Mieszkańcy dużych miast – zwłaszcza o liczbie ludności powyżej 200 tys., a w szczególności powyżej 500 tys. – znacznie częściej niż mieszkańcy wsi i małych miast postrzegają Fundusze Europejskie jako źródło finansowania szybkiego Internetu, kompetencji cyfrowych, cyfrowego dostępu do zasobów nauki i kultury, </w:t>
      </w:r>
      <w:proofErr w:type="spellStart"/>
      <w:r w:rsidRPr="0028226B">
        <w:rPr>
          <w:rFonts w:ascii="Arial" w:hAnsi="Arial" w:cs="Arial"/>
          <w:sz w:val="24"/>
          <w:szCs w:val="24"/>
        </w:rPr>
        <w:t>cyberbezpieczeństwa</w:t>
      </w:r>
      <w:proofErr w:type="spellEnd"/>
      <w:r w:rsidRPr="0028226B">
        <w:rPr>
          <w:rFonts w:ascii="Arial" w:hAnsi="Arial" w:cs="Arial"/>
          <w:sz w:val="24"/>
          <w:szCs w:val="24"/>
        </w:rPr>
        <w:t xml:space="preserve"> oraz wsparcia branży turystycznej. Z kolei w miastach średniej wielkości (zwłaszcza 20–49 tys. mieszkańców) wyniki w tych nowocześniejszych kategoriach są często wyraźnie niższe, co wskazuje na słabsze powiązanie funduszy z obszarami cyfrowymi. Mieszkańcy wsi utrzymują relatywnie wysoką świadomość w odniesieniu do obszarów klasycznych – przede wszystkim rolnictwa, ochrony środowiska oraz szkoleń i rozwoju kompetencji pracowników – choć w sferze cyfryzacji odsetki ich wskazań są już zbliżone do średniej lub nieco niższe.</w:t>
      </w:r>
    </w:p>
    <w:p w14:paraId="3AAEFEAD" w14:textId="1B44DDA4" w:rsidR="00FB7E0C" w:rsidRPr="0028226B" w:rsidRDefault="00FB7E0C" w:rsidP="004B75FE">
      <w:pPr>
        <w:pStyle w:val="Legenda"/>
        <w:keepNext/>
        <w:spacing w:after="0"/>
        <w:rPr>
          <w:rFonts w:ascii="Arial" w:hAnsi="Arial" w:cs="Arial"/>
          <w:b/>
          <w:bCs/>
          <w:i w:val="0"/>
          <w:iCs w:val="0"/>
          <w:color w:val="auto"/>
          <w:sz w:val="24"/>
          <w:szCs w:val="24"/>
        </w:rPr>
      </w:pPr>
      <w:bookmarkStart w:id="29" w:name="_Toc219369243"/>
      <w:bookmarkStart w:id="30" w:name="_Hlk217920405"/>
      <w:r w:rsidRPr="0028226B">
        <w:rPr>
          <w:rFonts w:ascii="Arial" w:hAnsi="Arial" w:cs="Arial"/>
          <w:b/>
          <w:bCs/>
          <w:i w:val="0"/>
          <w:iCs w:val="0"/>
          <w:color w:val="auto"/>
          <w:sz w:val="24"/>
          <w:szCs w:val="24"/>
        </w:rPr>
        <w:lastRenderedPageBreak/>
        <w:t xml:space="preserve">Wykres </w:t>
      </w:r>
      <w:r w:rsidRPr="0028226B">
        <w:rPr>
          <w:rFonts w:ascii="Arial" w:hAnsi="Arial" w:cs="Arial"/>
          <w:b/>
          <w:bCs/>
          <w:i w:val="0"/>
          <w:iCs w:val="0"/>
          <w:color w:val="auto"/>
          <w:sz w:val="24"/>
          <w:szCs w:val="24"/>
        </w:rPr>
        <w:fldChar w:fldCharType="begin"/>
      </w:r>
      <w:r w:rsidRPr="0028226B">
        <w:rPr>
          <w:rFonts w:ascii="Arial" w:hAnsi="Arial" w:cs="Arial"/>
          <w:b/>
          <w:bCs/>
          <w:i w:val="0"/>
          <w:iCs w:val="0"/>
          <w:color w:val="auto"/>
          <w:sz w:val="24"/>
          <w:szCs w:val="24"/>
        </w:rPr>
        <w:instrText xml:space="preserve"> SEQ Wykres \* ARABIC </w:instrText>
      </w:r>
      <w:r w:rsidRPr="0028226B">
        <w:rPr>
          <w:rFonts w:ascii="Arial" w:hAnsi="Arial" w:cs="Arial"/>
          <w:b/>
          <w:bCs/>
          <w:i w:val="0"/>
          <w:iCs w:val="0"/>
          <w:color w:val="auto"/>
          <w:sz w:val="24"/>
          <w:szCs w:val="24"/>
        </w:rPr>
        <w:fldChar w:fldCharType="separate"/>
      </w:r>
      <w:r w:rsidR="0055789E">
        <w:rPr>
          <w:rFonts w:ascii="Arial" w:hAnsi="Arial" w:cs="Arial"/>
          <w:b/>
          <w:bCs/>
          <w:i w:val="0"/>
          <w:iCs w:val="0"/>
          <w:noProof/>
          <w:color w:val="auto"/>
          <w:sz w:val="24"/>
          <w:szCs w:val="24"/>
        </w:rPr>
        <w:t>17</w:t>
      </w:r>
      <w:r w:rsidRPr="0028226B">
        <w:rPr>
          <w:rFonts w:ascii="Arial" w:hAnsi="Arial" w:cs="Arial"/>
          <w:b/>
          <w:bCs/>
          <w:i w:val="0"/>
          <w:iCs w:val="0"/>
          <w:color w:val="auto"/>
          <w:sz w:val="24"/>
          <w:szCs w:val="24"/>
        </w:rPr>
        <w:fldChar w:fldCharType="end"/>
      </w:r>
      <w:r w:rsidRPr="0028226B">
        <w:rPr>
          <w:rFonts w:ascii="Arial" w:hAnsi="Arial" w:cs="Arial"/>
          <w:b/>
          <w:bCs/>
          <w:i w:val="0"/>
          <w:iCs w:val="0"/>
          <w:color w:val="auto"/>
          <w:sz w:val="24"/>
          <w:szCs w:val="24"/>
        </w:rPr>
        <w:t xml:space="preserve">. </w:t>
      </w:r>
      <w:r w:rsidR="00B76AB3" w:rsidRPr="00B76AB3">
        <w:rPr>
          <w:rFonts w:ascii="Arial" w:hAnsi="Arial" w:cs="Arial"/>
          <w:b/>
          <w:bCs/>
          <w:i w:val="0"/>
          <w:iCs w:val="0"/>
          <w:color w:val="auto"/>
          <w:sz w:val="24"/>
          <w:szCs w:val="24"/>
        </w:rPr>
        <w:t>P12N. Jak się Panu/i wydaje, na które poniżej wypisane cele, obszary lub na jakie działania są przeznaczane Fundusze Europejskie w Polsce?</w:t>
      </w:r>
      <w:r w:rsidR="005007D6">
        <w:rPr>
          <w:rFonts w:ascii="Arial" w:hAnsi="Arial" w:cs="Arial"/>
          <w:b/>
          <w:bCs/>
          <w:i w:val="0"/>
          <w:iCs w:val="0"/>
          <w:color w:val="auto"/>
          <w:sz w:val="24"/>
          <w:szCs w:val="24"/>
        </w:rPr>
        <w:t xml:space="preserve"> – wiedza wspomagana [N=955]</w:t>
      </w:r>
      <w:bookmarkEnd w:id="29"/>
    </w:p>
    <w:bookmarkEnd w:id="30"/>
    <w:p w14:paraId="666CFF33" w14:textId="77777777" w:rsidR="00FB7E0C" w:rsidRPr="0028226B" w:rsidRDefault="00FB7E0C" w:rsidP="009C6900">
      <w:pPr>
        <w:spacing w:after="0"/>
        <w:rPr>
          <w:rFonts w:ascii="Arial" w:hAnsi="Arial" w:cs="Arial"/>
          <w:sz w:val="24"/>
          <w:szCs w:val="24"/>
        </w:rPr>
      </w:pPr>
      <w:r w:rsidRPr="0028226B">
        <w:rPr>
          <w:rFonts w:ascii="Arial" w:hAnsi="Arial" w:cs="Arial"/>
          <w:noProof/>
          <w:sz w:val="24"/>
          <w:szCs w:val="24"/>
        </w:rPr>
        <w:drawing>
          <wp:inline distT="0" distB="0" distL="0" distR="0" wp14:anchorId="6461EBD6" wp14:editId="72650E65">
            <wp:extent cx="5760720" cy="8130540"/>
            <wp:effectExtent l="0" t="0" r="0" b="3810"/>
            <wp:docPr id="7214202" name="Wykres 1" descr="Wykres przedstawia odpowiedzi na pytanie:&#10;„Na jakie cele, obszary lub jakie działania, Pana(i) zdaniem, powinny być przeznaczane Fundusze Europejskie w Polsce?” – odpowiedź wspomagana.&#10;&#10;Najczęściej wskazywane obszary to:&#10;– transport (budowa i unowocześnianie dróg) – 91%,&#10;– rolnictwo – 84%,&#10;– zielone technologie i ekoinnowacje – 82%,&#10;– transformacja energetyczna – 80%,&#10;– ochrona środowiska – 78%.&#10;&#10;Kolejne wskazania obejmują:&#10;– innowacyjne przedsiębiorstwa / nowe technologie – 77%,&#10;– ochrona zdrowia – 77%,&#10;– wsparcie na rynku pracy – 75%,&#10;– szkolenia i rozwój kompetencji pracowników – 71%,&#10;– przystosowanie do zmian klimatu – 71%,&#10;– prace badawczo-rozwojowe (B+R) – 70%,&#10;– cyberbezpieczeństwo – 70%,&#10;– pomoc dla osób z niepełnosprawnościami – 69%,&#10;– rozwój szkolnictwa wyższego – 68%,&#10;– opieka nad najmłodszymi dziećmi – 68%,&#10;– cyfrowy dostęp do zasobów nauki i kultury – 68%,&#10;– rozwój cyfrowy przedsiębiorstw – 67%,&#10;– wsparcie branży turystycznej – 66%,&#10;– kompetencje cyfrowe – 66%,&#10;– nowe lub ulepszone produkty i usługi – 65%,&#10;– kultura – 64%,&#10;– rybactwo – 61%,&#10;– szybki internet – 61%,&#10;– cyfryzacja usług publicznych (e-usługi) – 60%."/>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0BEE5015" w14:textId="34D9955A" w:rsidR="00A11B52" w:rsidRDefault="009A6DB1" w:rsidP="006523E1">
      <w:pPr>
        <w:rPr>
          <w:rFonts w:ascii="Arial" w:hAnsi="Arial" w:cs="Arial"/>
          <w:sz w:val="24"/>
          <w:szCs w:val="24"/>
        </w:rPr>
      </w:pPr>
      <w:r>
        <w:rPr>
          <w:rFonts w:ascii="Arial" w:hAnsi="Arial" w:cs="Arial"/>
          <w:sz w:val="24"/>
          <w:szCs w:val="24"/>
        </w:rPr>
        <w:t>Źródło: Badanie CAPI</w:t>
      </w:r>
      <w:r w:rsidR="00995031">
        <w:rPr>
          <w:rFonts w:ascii="Arial" w:hAnsi="Arial" w:cs="Arial"/>
          <w:sz w:val="24"/>
          <w:szCs w:val="24"/>
        </w:rPr>
        <w:t>; odpowiadający: znający określenie FE lub FU</w:t>
      </w:r>
    </w:p>
    <w:p w14:paraId="41C40AE8" w14:textId="2BAEA61B" w:rsidR="00E64555" w:rsidRDefault="00E64555" w:rsidP="00696C0B">
      <w:pPr>
        <w:spacing w:line="360" w:lineRule="auto"/>
        <w:rPr>
          <w:rFonts w:ascii="Arial" w:hAnsi="Arial" w:cs="Arial"/>
          <w:sz w:val="24"/>
          <w:szCs w:val="24"/>
        </w:rPr>
      </w:pPr>
      <w:r>
        <w:rPr>
          <w:rFonts w:ascii="Arial" w:hAnsi="Arial" w:cs="Arial"/>
          <w:sz w:val="24"/>
          <w:szCs w:val="24"/>
        </w:rPr>
        <w:lastRenderedPageBreak/>
        <w:t>Kolejnym analizowanym aspektem były cele, na które powinny być przeznaczane środki z Funduszy Europejskich</w:t>
      </w:r>
    </w:p>
    <w:p w14:paraId="2693DE88" w14:textId="687A57F9" w:rsidR="00225770" w:rsidRPr="00672A70" w:rsidRDefault="00225770" w:rsidP="00696C0B">
      <w:pPr>
        <w:spacing w:line="360" w:lineRule="auto"/>
        <w:rPr>
          <w:rFonts w:ascii="Arial" w:hAnsi="Arial" w:cs="Arial"/>
          <w:sz w:val="24"/>
          <w:szCs w:val="24"/>
        </w:rPr>
      </w:pPr>
      <w:r w:rsidRPr="00672A70">
        <w:rPr>
          <w:rFonts w:ascii="Arial" w:hAnsi="Arial" w:cs="Arial"/>
          <w:sz w:val="24"/>
          <w:szCs w:val="24"/>
        </w:rPr>
        <w:t>Ponad połowa badanych (52%) potrafiła wskazać konkretne cele lub obszary, na które ich zdaniem powinny być przeznaczane Fundusze Europejskie w Polsce</w:t>
      </w:r>
      <w:r w:rsidR="00A11B52">
        <w:rPr>
          <w:rFonts w:ascii="Arial" w:hAnsi="Arial" w:cs="Arial"/>
          <w:sz w:val="24"/>
          <w:szCs w:val="24"/>
        </w:rPr>
        <w:t xml:space="preserve">, </w:t>
      </w:r>
      <w:r w:rsidRPr="00672A70">
        <w:rPr>
          <w:rFonts w:ascii="Arial" w:hAnsi="Arial" w:cs="Arial"/>
          <w:sz w:val="24"/>
          <w:szCs w:val="24"/>
        </w:rPr>
        <w:t>co pokazuje, że dla znacznej części społeczeństwa</w:t>
      </w:r>
      <w:r w:rsidR="00A11B52">
        <w:rPr>
          <w:rFonts w:ascii="Arial" w:hAnsi="Arial" w:cs="Arial"/>
          <w:sz w:val="24"/>
          <w:szCs w:val="24"/>
        </w:rPr>
        <w:t xml:space="preserve"> (4</w:t>
      </w:r>
      <w:r w:rsidR="005B39F7">
        <w:rPr>
          <w:rFonts w:ascii="Arial" w:hAnsi="Arial" w:cs="Arial"/>
          <w:sz w:val="24"/>
          <w:szCs w:val="24"/>
        </w:rPr>
        <w:t>8</w:t>
      </w:r>
      <w:r w:rsidR="00A11B52">
        <w:rPr>
          <w:rFonts w:ascii="Arial" w:hAnsi="Arial" w:cs="Arial"/>
          <w:sz w:val="24"/>
          <w:szCs w:val="24"/>
        </w:rPr>
        <w:t>%)</w:t>
      </w:r>
      <w:r w:rsidRPr="00672A70">
        <w:rPr>
          <w:rFonts w:ascii="Arial" w:hAnsi="Arial" w:cs="Arial"/>
          <w:sz w:val="24"/>
          <w:szCs w:val="24"/>
        </w:rPr>
        <w:t xml:space="preserve"> temat</w:t>
      </w:r>
      <w:r w:rsidR="00603A06">
        <w:rPr>
          <w:rFonts w:ascii="Arial" w:hAnsi="Arial" w:cs="Arial"/>
          <w:sz w:val="24"/>
          <w:szCs w:val="24"/>
        </w:rPr>
        <w:t xml:space="preserve"> nadal</w:t>
      </w:r>
      <w:r w:rsidRPr="00672A70">
        <w:rPr>
          <w:rFonts w:ascii="Arial" w:hAnsi="Arial" w:cs="Arial"/>
          <w:sz w:val="24"/>
          <w:szCs w:val="24"/>
        </w:rPr>
        <w:t xml:space="preserve"> pozostaje mało sprecyzowany lub zbyt ogólny.</w:t>
      </w:r>
    </w:p>
    <w:p w14:paraId="6A9707BD" w14:textId="6E2D4F78" w:rsidR="00225770" w:rsidRPr="0028226B" w:rsidRDefault="0B65B7FD" w:rsidP="00696C0B">
      <w:pPr>
        <w:spacing w:line="360" w:lineRule="auto"/>
        <w:rPr>
          <w:rFonts w:ascii="Arial" w:hAnsi="Arial" w:cs="Arial"/>
          <w:sz w:val="24"/>
          <w:szCs w:val="24"/>
        </w:rPr>
      </w:pPr>
      <w:r w:rsidRPr="0028226B">
        <w:rPr>
          <w:rFonts w:ascii="Arial" w:hAnsi="Arial" w:cs="Arial"/>
          <w:sz w:val="24"/>
          <w:szCs w:val="24"/>
        </w:rPr>
        <w:t xml:space="preserve">Struktura spontanicznych odpowiedzi dotyczących obszarów, na które – zdaniem badanych – </w:t>
      </w:r>
      <w:r w:rsidRPr="00672A70">
        <w:rPr>
          <w:rFonts w:ascii="Arial" w:hAnsi="Arial" w:cs="Arial"/>
          <w:sz w:val="24"/>
          <w:szCs w:val="24"/>
          <w:u w:val="single"/>
        </w:rPr>
        <w:t>powinny być</w:t>
      </w:r>
      <w:r w:rsidRPr="0028226B">
        <w:rPr>
          <w:rFonts w:ascii="Arial" w:hAnsi="Arial" w:cs="Arial"/>
          <w:sz w:val="24"/>
          <w:szCs w:val="24"/>
        </w:rPr>
        <w:t xml:space="preserve"> przeznaczane Fundusze Europejskie, wskazuje na wyraźne priorytety społeczne wynikające z pierwszych skojarzeń i najbardziej intuicyjnych potrzeb. Najczęściej spontanicznie wymieniano bezpieczeństwo i obronność (20%), co pokazuje silną obecność tego tematu w świadomości publicznej. Na kolejnych miejscach znalazły się obszary bliskie codziennym doświadczeniom: młodzi i rodziny (16%) oraz zdrowie (14%).</w:t>
      </w:r>
    </w:p>
    <w:p w14:paraId="3F10D4DF" w14:textId="280F818D" w:rsidR="00225770" w:rsidRPr="0028226B" w:rsidRDefault="0B65B7FD" w:rsidP="00696C0B">
      <w:pPr>
        <w:spacing w:line="360" w:lineRule="auto"/>
        <w:rPr>
          <w:rFonts w:ascii="Arial" w:hAnsi="Arial" w:cs="Arial"/>
          <w:sz w:val="24"/>
          <w:szCs w:val="24"/>
        </w:rPr>
      </w:pPr>
      <w:r w:rsidRPr="0028226B">
        <w:rPr>
          <w:rFonts w:ascii="Arial" w:hAnsi="Arial" w:cs="Arial"/>
          <w:sz w:val="24"/>
          <w:szCs w:val="24"/>
        </w:rPr>
        <w:t>W dalszej kolejności pojawiały się kwestie związane z przedsiębiorczością i gospodarką (12%), pomocą społeczną i grupami wrażliwymi (11%) oraz transportem i rozwojem lokalnym (11%) – czyli obszary, które badani kojarzą z poprawą warunków życia i rozwojem lokalnym. Rzadziej wskazywano edukację i szkolenia (5%)</w:t>
      </w:r>
      <w:r w:rsidR="00A11B52">
        <w:rPr>
          <w:rFonts w:ascii="Arial" w:hAnsi="Arial" w:cs="Arial"/>
          <w:sz w:val="24"/>
          <w:szCs w:val="24"/>
        </w:rPr>
        <w:t xml:space="preserve"> oraz</w:t>
      </w:r>
      <w:r w:rsidRPr="0028226B">
        <w:rPr>
          <w:rFonts w:ascii="Arial" w:hAnsi="Arial" w:cs="Arial"/>
          <w:sz w:val="24"/>
          <w:szCs w:val="24"/>
        </w:rPr>
        <w:t xml:space="preserve"> środowisko i klimat (</w:t>
      </w:r>
      <w:r w:rsidR="005B39F7">
        <w:rPr>
          <w:rFonts w:ascii="Arial" w:hAnsi="Arial" w:cs="Arial"/>
          <w:sz w:val="24"/>
          <w:szCs w:val="24"/>
        </w:rPr>
        <w:t>5</w:t>
      </w:r>
      <w:r w:rsidRPr="0028226B">
        <w:rPr>
          <w:rFonts w:ascii="Arial" w:hAnsi="Arial" w:cs="Arial"/>
          <w:sz w:val="24"/>
          <w:szCs w:val="24"/>
        </w:rPr>
        <w:t>%). Najrzadziej pojawiały się spontaniczne odniesienia do rolnictwa (0,2%</w:t>
      </w:r>
      <w:proofErr w:type="gramStart"/>
      <w:r w:rsidRPr="0028226B">
        <w:rPr>
          <w:rFonts w:ascii="Arial" w:hAnsi="Arial" w:cs="Arial"/>
          <w:sz w:val="24"/>
          <w:szCs w:val="24"/>
        </w:rPr>
        <w:t>)</w:t>
      </w:r>
      <w:r w:rsidR="00A11B52">
        <w:rPr>
          <w:rFonts w:ascii="Arial" w:hAnsi="Arial" w:cs="Arial"/>
          <w:sz w:val="24"/>
          <w:szCs w:val="24"/>
        </w:rPr>
        <w:t>,</w:t>
      </w:r>
      <w:r w:rsidRPr="0028226B">
        <w:rPr>
          <w:rFonts w:ascii="Arial" w:hAnsi="Arial" w:cs="Arial"/>
          <w:sz w:val="24"/>
          <w:szCs w:val="24"/>
        </w:rPr>
        <w:t xml:space="preserve">  mieszkalnictwa</w:t>
      </w:r>
      <w:proofErr w:type="gramEnd"/>
      <w:r w:rsidRPr="0028226B">
        <w:rPr>
          <w:rFonts w:ascii="Arial" w:hAnsi="Arial" w:cs="Arial"/>
          <w:sz w:val="24"/>
          <w:szCs w:val="24"/>
        </w:rPr>
        <w:t xml:space="preserve"> i termomodernizacji (</w:t>
      </w:r>
      <w:r w:rsidR="005B39F7">
        <w:rPr>
          <w:rFonts w:ascii="Arial" w:hAnsi="Arial" w:cs="Arial"/>
          <w:sz w:val="24"/>
          <w:szCs w:val="24"/>
        </w:rPr>
        <w:t>3</w:t>
      </w:r>
      <w:r w:rsidRPr="0028226B">
        <w:rPr>
          <w:rFonts w:ascii="Arial" w:hAnsi="Arial" w:cs="Arial"/>
          <w:sz w:val="24"/>
          <w:szCs w:val="24"/>
        </w:rPr>
        <w:t>%)</w:t>
      </w:r>
      <w:r w:rsidR="00A11B52">
        <w:rPr>
          <w:rFonts w:ascii="Arial" w:hAnsi="Arial" w:cs="Arial"/>
          <w:sz w:val="24"/>
          <w:szCs w:val="24"/>
        </w:rPr>
        <w:t xml:space="preserve"> oraz bezrobocia i rynku pracy (</w:t>
      </w:r>
      <w:r w:rsidR="005B39F7">
        <w:rPr>
          <w:rFonts w:ascii="Arial" w:hAnsi="Arial" w:cs="Arial"/>
          <w:sz w:val="24"/>
          <w:szCs w:val="24"/>
        </w:rPr>
        <w:t>3</w:t>
      </w:r>
      <w:r w:rsidR="00A11B52">
        <w:rPr>
          <w:rFonts w:ascii="Arial" w:hAnsi="Arial" w:cs="Arial"/>
          <w:sz w:val="24"/>
          <w:szCs w:val="24"/>
        </w:rPr>
        <w:t>%)</w:t>
      </w:r>
      <w:r w:rsidRPr="0028226B">
        <w:rPr>
          <w:rFonts w:ascii="Arial" w:hAnsi="Arial" w:cs="Arial"/>
          <w:sz w:val="24"/>
          <w:szCs w:val="24"/>
        </w:rPr>
        <w:t>.</w:t>
      </w:r>
    </w:p>
    <w:p w14:paraId="03C3487B" w14:textId="31606056" w:rsidR="00225770" w:rsidRPr="0028226B" w:rsidRDefault="0B65B7FD" w:rsidP="00696C0B">
      <w:pPr>
        <w:spacing w:line="360" w:lineRule="auto"/>
        <w:rPr>
          <w:rFonts w:ascii="Arial" w:hAnsi="Arial" w:cs="Arial"/>
          <w:sz w:val="24"/>
          <w:szCs w:val="24"/>
        </w:rPr>
      </w:pPr>
      <w:r w:rsidRPr="0028226B">
        <w:rPr>
          <w:rFonts w:ascii="Arial" w:hAnsi="Arial" w:cs="Arial"/>
          <w:sz w:val="24"/>
          <w:szCs w:val="24"/>
        </w:rPr>
        <w:t>Układ odpowiedzi spontanicznych pokazuje, które tematy są najwyraźniej obecne w świadomości społecznej i najczęściej pojawiają się jako pierwsze skojarzenia związane z Funduszami Europejskimi</w:t>
      </w:r>
      <w:r w:rsidR="00A11B52">
        <w:rPr>
          <w:rFonts w:ascii="Arial" w:hAnsi="Arial" w:cs="Arial"/>
          <w:sz w:val="24"/>
          <w:szCs w:val="24"/>
        </w:rPr>
        <w:t>. Są to</w:t>
      </w:r>
      <w:r w:rsidRPr="0028226B">
        <w:rPr>
          <w:rFonts w:ascii="Arial" w:hAnsi="Arial" w:cs="Arial"/>
          <w:sz w:val="24"/>
          <w:szCs w:val="24"/>
        </w:rPr>
        <w:t xml:space="preserve"> bezpieczeństwo, rodzina, zdrowie i gospodarka.</w:t>
      </w:r>
    </w:p>
    <w:p w14:paraId="7B82DE44" w14:textId="77777777" w:rsidR="00225770" w:rsidRPr="0028226B" w:rsidRDefault="00225770" w:rsidP="00225770">
      <w:pPr>
        <w:rPr>
          <w:rFonts w:ascii="Arial" w:hAnsi="Arial" w:cs="Arial"/>
          <w:sz w:val="24"/>
          <w:szCs w:val="24"/>
        </w:rPr>
      </w:pPr>
    </w:p>
    <w:p w14:paraId="1EAB3980" w14:textId="39DBF4A6" w:rsidR="00225770" w:rsidRPr="0028226B" w:rsidRDefault="00225770" w:rsidP="00225770">
      <w:pPr>
        <w:pStyle w:val="Legenda"/>
        <w:keepNext/>
        <w:rPr>
          <w:rFonts w:ascii="Arial" w:hAnsi="Arial" w:cs="Arial"/>
          <w:b/>
          <w:bCs/>
          <w:i w:val="0"/>
          <w:iCs w:val="0"/>
          <w:color w:val="auto"/>
          <w:sz w:val="24"/>
          <w:szCs w:val="24"/>
        </w:rPr>
      </w:pPr>
      <w:bookmarkStart w:id="31" w:name="_Toc219369244"/>
      <w:r w:rsidRPr="0028226B">
        <w:rPr>
          <w:rFonts w:ascii="Arial" w:hAnsi="Arial" w:cs="Arial"/>
          <w:b/>
          <w:bCs/>
          <w:i w:val="0"/>
          <w:iCs w:val="0"/>
          <w:color w:val="auto"/>
          <w:sz w:val="24"/>
          <w:szCs w:val="24"/>
        </w:rPr>
        <w:lastRenderedPageBreak/>
        <w:t xml:space="preserve">Wykres </w:t>
      </w:r>
      <w:r w:rsidRPr="0028226B">
        <w:rPr>
          <w:rFonts w:ascii="Arial" w:hAnsi="Arial" w:cs="Arial"/>
          <w:b/>
          <w:bCs/>
          <w:i w:val="0"/>
          <w:iCs w:val="0"/>
          <w:color w:val="auto"/>
          <w:sz w:val="24"/>
          <w:szCs w:val="24"/>
        </w:rPr>
        <w:fldChar w:fldCharType="begin"/>
      </w:r>
      <w:r w:rsidRPr="0028226B">
        <w:rPr>
          <w:rFonts w:ascii="Arial" w:hAnsi="Arial" w:cs="Arial"/>
          <w:b/>
          <w:bCs/>
          <w:i w:val="0"/>
          <w:iCs w:val="0"/>
          <w:color w:val="auto"/>
          <w:sz w:val="24"/>
          <w:szCs w:val="24"/>
        </w:rPr>
        <w:instrText xml:space="preserve"> SEQ Wykres \* ARABIC </w:instrText>
      </w:r>
      <w:r w:rsidRPr="0028226B">
        <w:rPr>
          <w:rFonts w:ascii="Arial" w:hAnsi="Arial" w:cs="Arial"/>
          <w:b/>
          <w:bCs/>
          <w:i w:val="0"/>
          <w:iCs w:val="0"/>
          <w:color w:val="auto"/>
          <w:sz w:val="24"/>
          <w:szCs w:val="24"/>
        </w:rPr>
        <w:fldChar w:fldCharType="separate"/>
      </w:r>
      <w:r w:rsidR="0055789E">
        <w:rPr>
          <w:rFonts w:ascii="Arial" w:hAnsi="Arial" w:cs="Arial"/>
          <w:b/>
          <w:bCs/>
          <w:i w:val="0"/>
          <w:iCs w:val="0"/>
          <w:noProof/>
          <w:color w:val="auto"/>
          <w:sz w:val="24"/>
          <w:szCs w:val="24"/>
        </w:rPr>
        <w:t>18</w:t>
      </w:r>
      <w:r w:rsidRPr="0028226B">
        <w:rPr>
          <w:rFonts w:ascii="Arial" w:hAnsi="Arial" w:cs="Arial"/>
          <w:b/>
          <w:bCs/>
          <w:i w:val="0"/>
          <w:iCs w:val="0"/>
          <w:color w:val="auto"/>
          <w:sz w:val="24"/>
          <w:szCs w:val="24"/>
        </w:rPr>
        <w:fldChar w:fldCharType="end"/>
      </w:r>
      <w:r w:rsidRPr="0028226B">
        <w:rPr>
          <w:rFonts w:ascii="Arial" w:hAnsi="Arial" w:cs="Arial"/>
          <w:b/>
          <w:bCs/>
          <w:i w:val="0"/>
          <w:iCs w:val="0"/>
          <w:color w:val="auto"/>
          <w:sz w:val="24"/>
          <w:szCs w:val="24"/>
        </w:rPr>
        <w:t xml:space="preserve">. </w:t>
      </w:r>
      <w:r w:rsidR="0014047D" w:rsidRPr="0028226B">
        <w:rPr>
          <w:rFonts w:ascii="Arial" w:hAnsi="Arial" w:cs="Arial"/>
          <w:b/>
          <w:bCs/>
          <w:i w:val="0"/>
          <w:iCs w:val="0"/>
          <w:color w:val="auto"/>
          <w:sz w:val="24"/>
          <w:szCs w:val="24"/>
        </w:rPr>
        <w:t>P11. Na jakie cele, obszary lub na jakie działania, Pana(i) zdaniem powinny być przeznaczane Fundusze Europejskie w Polsce?</w:t>
      </w:r>
      <w:r w:rsidRPr="0028226B">
        <w:rPr>
          <w:rFonts w:ascii="Arial" w:hAnsi="Arial" w:cs="Arial"/>
          <w:b/>
          <w:bCs/>
          <w:i w:val="0"/>
          <w:iCs w:val="0"/>
          <w:color w:val="auto"/>
          <w:sz w:val="24"/>
          <w:szCs w:val="24"/>
        </w:rPr>
        <w:t xml:space="preserve"> (N=511)</w:t>
      </w:r>
      <w:bookmarkEnd w:id="31"/>
    </w:p>
    <w:p w14:paraId="575EBD2F" w14:textId="1CCA4925" w:rsidR="00225770" w:rsidRPr="0028226B" w:rsidRDefault="00225770" w:rsidP="00225770">
      <w:pPr>
        <w:rPr>
          <w:rFonts w:ascii="Arial" w:hAnsi="Arial" w:cs="Arial"/>
          <w:sz w:val="24"/>
          <w:szCs w:val="24"/>
        </w:rPr>
      </w:pPr>
      <w:r w:rsidRPr="0028226B">
        <w:rPr>
          <w:rFonts w:ascii="Arial" w:hAnsi="Arial" w:cs="Arial"/>
          <w:noProof/>
          <w:sz w:val="24"/>
          <w:szCs w:val="24"/>
        </w:rPr>
        <w:drawing>
          <wp:inline distT="0" distB="0" distL="0" distR="0" wp14:anchorId="04EF339A" wp14:editId="13947DA0">
            <wp:extent cx="5760720" cy="4947920"/>
            <wp:effectExtent l="0" t="0" r="0" b="5080"/>
            <wp:docPr id="2015990755" name="Wykres 1" descr="Wykres przedstawia odpowiedzi na pytanie:&#10;„Na jakie cele, obszary lub jakie działania, Pana(i) zdaniem, powinny być przeznaczane Fundusze Europejskie w Polsce?” (N=511).&#10;&#10;Najczęściej wskazywane obszary to:&#10;– bezpieczeństwo i obronność – 20%,&#10;– młodzi i rodziny – 16%,&#10;– zdrowie – 14%.&#10;&#10;Kolejne wskazania obejmują:&#10;– przedsiębiorczość i gospodarka – 12%,&#10;– pomoc społeczna i grupy wrażliwe – 11%,&#10;– transport i rozwój lokalny – 11%,&#10;– edukacja i szkolenia – 5%,&#10;– środowisko i klimat – 5%,&#10;– mieszkania, budownictwo i termomodernizacja – 3%,&#10;– rynek pracy i bezrobotni – 3%,&#10;– rolnictwo – 0%.&#10;&#10;Źródło: opracowano na podstawie badania CAPI."/>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r w:rsidRPr="0028226B">
        <w:rPr>
          <w:rFonts w:ascii="Arial" w:hAnsi="Arial" w:cs="Arial"/>
          <w:sz w:val="24"/>
          <w:szCs w:val="24"/>
        </w:rPr>
        <w:br/>
      </w:r>
      <w:r w:rsidR="0B65B7FD" w:rsidRPr="0028226B">
        <w:rPr>
          <w:rFonts w:ascii="Arial" w:hAnsi="Arial" w:cs="Arial"/>
          <w:sz w:val="24"/>
          <w:szCs w:val="24"/>
        </w:rPr>
        <w:t>Źródło: Opracowano na podstawie badania CAPI</w:t>
      </w:r>
      <w:r w:rsidR="00995031">
        <w:rPr>
          <w:rFonts w:ascii="Arial" w:hAnsi="Arial" w:cs="Arial"/>
          <w:sz w:val="24"/>
          <w:szCs w:val="24"/>
        </w:rPr>
        <w:t>; odpowiadający: znający określenie FE lub FU potrafiący wymienić przykłady</w:t>
      </w:r>
    </w:p>
    <w:p w14:paraId="7F4AE24D" w14:textId="7FD68B93" w:rsidR="00225770" w:rsidRPr="0028226B" w:rsidRDefault="00F143B2" w:rsidP="00080581">
      <w:pPr>
        <w:pStyle w:val="Nagwek1"/>
        <w:shd w:val="clear" w:color="auto" w:fill="061A3D"/>
        <w:rPr>
          <w:rFonts w:ascii="Arial" w:hAnsi="Arial" w:cs="Arial"/>
          <w:b/>
          <w:bCs/>
          <w:color w:val="FFFFFF" w:themeColor="background1"/>
          <w:sz w:val="24"/>
          <w:szCs w:val="24"/>
        </w:rPr>
      </w:pPr>
      <w:bookmarkStart w:id="32" w:name="_Toc219375242"/>
      <w:r w:rsidRPr="0028226B">
        <w:rPr>
          <w:rFonts w:ascii="Arial" w:hAnsi="Arial" w:cs="Arial"/>
          <w:b/>
          <w:bCs/>
          <w:color w:val="FFFFFF" w:themeColor="background1"/>
          <w:sz w:val="24"/>
          <w:szCs w:val="24"/>
        </w:rPr>
        <w:t>Znajomość podmiotów, które mogą ubiegać się o środki pozyskiwane z FE</w:t>
      </w:r>
      <w:bookmarkEnd w:id="32"/>
    </w:p>
    <w:p w14:paraId="11FB8B45" w14:textId="77777777" w:rsidR="000A12E0" w:rsidRDefault="000A12E0" w:rsidP="006B6B99">
      <w:pPr>
        <w:pStyle w:val="Legenda"/>
        <w:keepNext/>
        <w:rPr>
          <w:rFonts w:ascii="Arial" w:hAnsi="Arial" w:cs="Arial"/>
          <w:b/>
          <w:bCs/>
          <w:i w:val="0"/>
          <w:iCs w:val="0"/>
          <w:color w:val="auto"/>
          <w:sz w:val="24"/>
          <w:szCs w:val="24"/>
        </w:rPr>
      </w:pPr>
    </w:p>
    <w:p w14:paraId="5793DCEB" w14:textId="77777777" w:rsidR="005D2FE2" w:rsidRDefault="000A12E0" w:rsidP="00687EF7">
      <w:pPr>
        <w:pStyle w:val="Legenda"/>
        <w:keepNext/>
        <w:spacing w:line="360" w:lineRule="auto"/>
        <w:rPr>
          <w:rFonts w:ascii="Arial" w:hAnsi="Arial" w:cs="Arial"/>
          <w:i w:val="0"/>
          <w:iCs w:val="0"/>
          <w:color w:val="auto"/>
          <w:sz w:val="24"/>
          <w:szCs w:val="24"/>
        </w:rPr>
      </w:pPr>
      <w:r w:rsidRPr="00687EF7">
        <w:rPr>
          <w:rFonts w:ascii="Arial" w:hAnsi="Arial" w:cs="Arial"/>
          <w:i w:val="0"/>
          <w:iCs w:val="0"/>
          <w:color w:val="auto"/>
          <w:sz w:val="24"/>
          <w:szCs w:val="24"/>
        </w:rPr>
        <w:t xml:space="preserve">W 2025 roku łącznie 64% badanych uważa, że może ubiegać się o środki z Funduszy Europejskich (24% „zdecydowanie tak” oraz 40% „raczej tak”). Odmiennego zdania jest 17% respondentów (6% „raczej nie” oraz 11% „zdecydowanie nie”), natomiast łącznie 20% badanych zajmuje postawę neutralną, wskazując odpowiedź „ani tak, ani nie” (9%) oraz „nie wiem / trudno powiedzieć” </w:t>
      </w:r>
      <w:r w:rsidRPr="00687EF7">
        <w:rPr>
          <w:rFonts w:ascii="Arial" w:hAnsi="Arial" w:cs="Arial"/>
          <w:i w:val="0"/>
          <w:iCs w:val="0"/>
          <w:color w:val="auto"/>
          <w:sz w:val="24"/>
          <w:szCs w:val="24"/>
        </w:rPr>
        <w:lastRenderedPageBreak/>
        <w:t xml:space="preserve">(11%). W latach 2018–2025 widoczna jest wyraźna zmiana w postrzeganiu możliwości ubiegania się o środki z Funduszy Europejskich. </w:t>
      </w:r>
    </w:p>
    <w:p w14:paraId="2EB470DE" w14:textId="77777777" w:rsidR="005D2FE2" w:rsidRDefault="000A12E0" w:rsidP="00687EF7">
      <w:pPr>
        <w:pStyle w:val="Legenda"/>
        <w:keepNext/>
        <w:spacing w:line="360" w:lineRule="auto"/>
        <w:rPr>
          <w:rFonts w:ascii="Arial" w:hAnsi="Arial" w:cs="Arial"/>
          <w:i w:val="0"/>
          <w:iCs w:val="0"/>
          <w:color w:val="auto"/>
          <w:sz w:val="24"/>
          <w:szCs w:val="24"/>
        </w:rPr>
      </w:pPr>
      <w:r w:rsidRPr="00687EF7">
        <w:rPr>
          <w:rFonts w:ascii="Arial" w:hAnsi="Arial" w:cs="Arial"/>
          <w:i w:val="0"/>
          <w:iCs w:val="0"/>
          <w:color w:val="auto"/>
          <w:sz w:val="24"/>
          <w:szCs w:val="24"/>
        </w:rPr>
        <w:t xml:space="preserve">Najbardziej zauważalny wzrost dotyczy odpowiedzi zdecydowanie tak, która przez większość lat utrzymywała się na poziomie od 9% do 18%, natomiast w 2025 roku wzrosła do 24%. Oznacza to, że coraz większa część badanych dostrzega realną możliwość skorzystania z dostępnego finansowania. Stabilnie wysokie pozostają wskazania raczej tak – dominujące w całym analizowanym okresie. Wartości te oscylują wokół 37–41%, co pokazuje, że dla większości społeczeństwa środki europejskie pozostają potencjalnie osiągalne, choć często z pewnymi zastrzeżeniami co do formalności lub własnych kwalifikacji. W 2025 roku odsetek ten wyniósł 40%, czyli jest zbliżony do wyników z wcześniejszych lat. Odpowiedzi neutralne (ani tak, ani nie) trzymają się zbliżonego poziomu – około 9–11% (z wyjątkiem 2021 roku, w którym „ani tak, ani nie” wyniosło 0%) – co sugeruje, że istnieje stała grupa osób nieposiadających jednoznacznej opinii w tym obszarze. </w:t>
      </w:r>
    </w:p>
    <w:p w14:paraId="4493CFE3" w14:textId="77777777" w:rsidR="005D2FE2" w:rsidRDefault="000A12E0" w:rsidP="00687EF7">
      <w:pPr>
        <w:pStyle w:val="Legenda"/>
        <w:keepNext/>
        <w:spacing w:line="360" w:lineRule="auto"/>
        <w:rPr>
          <w:rFonts w:ascii="Arial" w:hAnsi="Arial" w:cs="Arial"/>
          <w:i w:val="0"/>
          <w:iCs w:val="0"/>
          <w:color w:val="auto"/>
          <w:sz w:val="24"/>
          <w:szCs w:val="24"/>
        </w:rPr>
      </w:pPr>
      <w:r w:rsidRPr="00687EF7">
        <w:rPr>
          <w:rFonts w:ascii="Arial" w:hAnsi="Arial" w:cs="Arial"/>
          <w:i w:val="0"/>
          <w:iCs w:val="0"/>
          <w:color w:val="auto"/>
          <w:sz w:val="24"/>
          <w:szCs w:val="24"/>
        </w:rPr>
        <w:t xml:space="preserve">Spadły natomiast wskazania raczej nie oraz zdecydowanie nie, co świadczy o stopniowym zmniejszaniu się liczby osób przekonanych, że środki unijne są poza ich zasięgiem; jednocześnie w 2021 roku (po korekcie wykresu) odsetek odpowiedzi „raczej nie” wyniósł 25%. W 2025 roku sumaryczny odsetek odpowiedzi negatywnych wyniósł 16%, podczas gdy jeszcze w latach 2018–2020 wynosił on nawet około 25–30%. Zmniejsza się również udział osób odpowiadających nie wiem / trudno powiedzieć – w 2025 roku odsetek ten spadł do 110,5%, co jest najniższym wynikiem od kilku lat. Może to świadczyć o lepszej orientacji społecznej w zasadach funkcjonowania funduszy lub intensyfikacji przekazów informacyjnych w tym zakresie. </w:t>
      </w:r>
    </w:p>
    <w:p w14:paraId="56C8E7F7" w14:textId="77777777" w:rsidR="005D2FE2" w:rsidRDefault="000A12E0" w:rsidP="00687EF7">
      <w:pPr>
        <w:pStyle w:val="Legenda"/>
        <w:keepNext/>
        <w:spacing w:line="360" w:lineRule="auto"/>
        <w:rPr>
          <w:rFonts w:ascii="Arial" w:hAnsi="Arial" w:cs="Arial"/>
          <w:i w:val="0"/>
          <w:iCs w:val="0"/>
          <w:color w:val="auto"/>
          <w:sz w:val="24"/>
          <w:szCs w:val="24"/>
        </w:rPr>
      </w:pPr>
      <w:r w:rsidRPr="00687EF7">
        <w:rPr>
          <w:rFonts w:ascii="Arial" w:hAnsi="Arial" w:cs="Arial"/>
          <w:i w:val="0"/>
          <w:iCs w:val="0"/>
          <w:color w:val="auto"/>
          <w:sz w:val="24"/>
          <w:szCs w:val="24"/>
        </w:rPr>
        <w:t xml:space="preserve">Ogólny obraz odpowiedzi wskazuje, że wiedza o własnych możliwościach ubiegania się o środki europejskie stopniowo się poprawia, a społeczeństwo coraz częściej postrzega Fundusze Europejskie jako dostępne również dla osób indywidualnych, nie tylko dla instytucji czy przedsiębiorstw. Ocena możliwości ubiegania się o środki z Funduszy Europejskich jest w 2025 roku stosunkowo stabilna i wyrównana w przekroju społeczno-demograficznym, jednak widoczne są pewne różnice między grupami. Najwyższy poziom pozytywnych deklaracji, obejmujący odpowiedzi zdecydowanie tak i raczej tak, utrzymuje się w okolicach 64% w całej populacji. </w:t>
      </w:r>
      <w:r w:rsidRPr="00687EF7">
        <w:rPr>
          <w:rFonts w:ascii="Arial" w:hAnsi="Arial" w:cs="Arial"/>
          <w:i w:val="0"/>
          <w:iCs w:val="0"/>
          <w:color w:val="auto"/>
          <w:sz w:val="24"/>
          <w:szCs w:val="24"/>
        </w:rPr>
        <w:lastRenderedPageBreak/>
        <w:t xml:space="preserve">Oznacza to, że większość badanych postrzega siebie jako potencjalnych beneficjentów funduszy, choć wciąż około jedna piąta ma w tej kwestii wątpliwości lub deklaruje, że nie potrafi tego ocenić. W przekroju płci odpowiedzi badanych są bardzo zbliżone. Kobiety częściej niż mężczyźni wybierają odpowiedzi zdecydowanie tak, natomiast mężczyźni częściej wskazują kategorię nie wiem, trudno powiedzieć. W obu grupach przeważają odpowiedzi raczej tak, które stanowią ponad 40% wskazań. Różnice płciowe nie tworzą więc wyraźnych wzorców i mają charakter bardziej odcieni niż istotnych rozbieżności. </w:t>
      </w:r>
    </w:p>
    <w:p w14:paraId="367DEADC" w14:textId="77777777" w:rsidR="005D2FE2" w:rsidRDefault="000A12E0" w:rsidP="00687EF7">
      <w:pPr>
        <w:pStyle w:val="Legenda"/>
        <w:keepNext/>
        <w:spacing w:line="360" w:lineRule="auto"/>
        <w:rPr>
          <w:rFonts w:ascii="Arial" w:hAnsi="Arial" w:cs="Arial"/>
          <w:i w:val="0"/>
          <w:iCs w:val="0"/>
          <w:color w:val="auto"/>
          <w:sz w:val="24"/>
          <w:szCs w:val="24"/>
        </w:rPr>
      </w:pPr>
      <w:r w:rsidRPr="00687EF7">
        <w:rPr>
          <w:rFonts w:ascii="Arial" w:hAnsi="Arial" w:cs="Arial"/>
          <w:i w:val="0"/>
          <w:iCs w:val="0"/>
          <w:color w:val="auto"/>
          <w:sz w:val="24"/>
          <w:szCs w:val="24"/>
        </w:rPr>
        <w:t xml:space="preserve">Znacznie większe różnice widoczne są między grupami wiekowymi. Najmłodsze osoby w wieku 15–19 lat częściej niż pozostałe deklarują brak zdecydowania lub odpowiedź nie wiem, co sugeruje mniejsze obycie z tematyką funduszy oraz brak wcześniejszych doświadczeń. Najwyższy odsetek przekonanych o możliwości aplikowania występuje w grupach w wieku 45–64 lata, gdzie częściej wybierane są odpowiedzi zdecydowanie tak i raczej tak. Może to wynikać z większego doświadczenia zawodowego oraz częstszej styczności z projektami finansowanymi ze środków unijnych. Osoby najstarsze częściej niż pozostałe grupy wybierają odpowiedzi ani tak, ani nie lub nie wiem, co może sugerować ograniczony dostęp do informacji lub mniejszą świadomość dotyczącą zasad finansowania. </w:t>
      </w:r>
    </w:p>
    <w:p w14:paraId="15E48DD8" w14:textId="77777777" w:rsidR="005D2FE2" w:rsidRDefault="000A12E0" w:rsidP="00687EF7">
      <w:pPr>
        <w:pStyle w:val="Legenda"/>
        <w:keepNext/>
        <w:spacing w:line="360" w:lineRule="auto"/>
        <w:rPr>
          <w:rFonts w:ascii="Arial" w:hAnsi="Arial" w:cs="Arial"/>
          <w:i w:val="0"/>
          <w:iCs w:val="0"/>
          <w:color w:val="auto"/>
          <w:sz w:val="24"/>
          <w:szCs w:val="24"/>
        </w:rPr>
      </w:pPr>
      <w:r w:rsidRPr="00687EF7">
        <w:rPr>
          <w:rFonts w:ascii="Arial" w:hAnsi="Arial" w:cs="Arial"/>
          <w:i w:val="0"/>
          <w:iCs w:val="0"/>
          <w:color w:val="auto"/>
          <w:sz w:val="24"/>
          <w:szCs w:val="24"/>
        </w:rPr>
        <w:t xml:space="preserve">Wykształcenie różnicuje wyniki, ale również w umiarkowany sposób. Osoby z wykształceniem wyższym i średnim częściej udzielają odpowiedzi zdecydowanie tak lub raczej tak, co może wynikać z większej wiedzy o mechanizmach otrzymywania środków oraz częstszych kontaktów z instytucjami wdrażającymi programy unijne. Wśród osób z wykształceniem podstawowym i zawodowym częściej pojawia się odpowiedź nie wiem, trudno powiedzieć, co potwierdza istniejące dysproporcje informacyjne. </w:t>
      </w:r>
    </w:p>
    <w:p w14:paraId="652F6CF1" w14:textId="720DC8FD" w:rsidR="000A12E0" w:rsidRPr="00687EF7" w:rsidRDefault="000A12E0" w:rsidP="00687EF7">
      <w:pPr>
        <w:pStyle w:val="Legenda"/>
        <w:keepNext/>
        <w:spacing w:line="360" w:lineRule="auto"/>
        <w:rPr>
          <w:rFonts w:ascii="Arial" w:hAnsi="Arial" w:cs="Arial"/>
          <w:i w:val="0"/>
          <w:iCs w:val="0"/>
          <w:color w:val="auto"/>
          <w:sz w:val="24"/>
          <w:szCs w:val="24"/>
        </w:rPr>
      </w:pPr>
      <w:r w:rsidRPr="00687EF7">
        <w:rPr>
          <w:rFonts w:ascii="Arial" w:hAnsi="Arial" w:cs="Arial"/>
          <w:i w:val="0"/>
          <w:iCs w:val="0"/>
          <w:color w:val="auto"/>
          <w:sz w:val="24"/>
          <w:szCs w:val="24"/>
        </w:rPr>
        <w:t xml:space="preserve">Wielkość miejscowości zamieszkania wpływa na postrzeganie możliwości ubiegania się o środki z Funduszy Europejskich, choć również nie w sposób jednoznaczny. Mieszkańcy najmniejszych miejscowości i wsi częściej wybierają odpowiedzi wskazujące na niepewność, a także raczej nie, co może świadczyć o mniejszym poczuciu dostępności instytucji wspierających. Z kolei osoby z miast średnich i dużych częściej deklarują możliwość aplikowania, szczególnie w zakresie odpowiedzi raczej tak. Najwyższy odsetek odpowiedzi zdecydowanie tak występuje </w:t>
      </w:r>
      <w:r w:rsidRPr="00687EF7">
        <w:rPr>
          <w:rFonts w:ascii="Arial" w:hAnsi="Arial" w:cs="Arial"/>
          <w:i w:val="0"/>
          <w:iCs w:val="0"/>
          <w:color w:val="auto"/>
          <w:sz w:val="24"/>
          <w:szCs w:val="24"/>
        </w:rPr>
        <w:lastRenderedPageBreak/>
        <w:t>w małych miastach do 20 tysięcy mieszkańców, co może wiązać się z</w:t>
      </w:r>
      <w:r>
        <w:rPr>
          <w:rFonts w:ascii="Arial" w:hAnsi="Arial" w:cs="Arial"/>
          <w:i w:val="0"/>
          <w:iCs w:val="0"/>
          <w:color w:val="auto"/>
          <w:sz w:val="24"/>
          <w:szCs w:val="24"/>
        </w:rPr>
        <w:t xml:space="preserve"> </w:t>
      </w:r>
      <w:r w:rsidRPr="00687EF7">
        <w:rPr>
          <w:rFonts w:ascii="Arial" w:hAnsi="Arial" w:cs="Arial"/>
          <w:i w:val="0"/>
          <w:iCs w:val="0"/>
          <w:color w:val="auto"/>
          <w:sz w:val="24"/>
          <w:szCs w:val="24"/>
        </w:rPr>
        <w:t>większą aktywnością lokalnych programów rozwojowych lub lepszymi doświadczeniami z projektami realizowanymi na poziomie gmin.</w:t>
      </w:r>
    </w:p>
    <w:p w14:paraId="4895B2CC" w14:textId="38C13DED" w:rsidR="006B6B99" w:rsidRPr="0028226B" w:rsidRDefault="006B6B99" w:rsidP="006B6B99">
      <w:pPr>
        <w:pStyle w:val="Legenda"/>
        <w:keepNext/>
        <w:rPr>
          <w:rFonts w:ascii="Arial" w:hAnsi="Arial" w:cs="Arial"/>
          <w:b/>
          <w:bCs/>
          <w:i w:val="0"/>
          <w:iCs w:val="0"/>
          <w:color w:val="auto"/>
          <w:sz w:val="24"/>
          <w:szCs w:val="24"/>
        </w:rPr>
      </w:pPr>
      <w:bookmarkStart w:id="33" w:name="_Toc219369245"/>
      <w:r w:rsidRPr="0028226B">
        <w:rPr>
          <w:rFonts w:ascii="Arial" w:hAnsi="Arial" w:cs="Arial"/>
          <w:b/>
          <w:bCs/>
          <w:i w:val="0"/>
          <w:iCs w:val="0"/>
          <w:color w:val="auto"/>
          <w:sz w:val="24"/>
          <w:szCs w:val="24"/>
        </w:rPr>
        <w:t xml:space="preserve">Wykres </w:t>
      </w:r>
      <w:r w:rsidRPr="0028226B">
        <w:rPr>
          <w:rFonts w:ascii="Arial" w:hAnsi="Arial" w:cs="Arial"/>
          <w:b/>
          <w:bCs/>
          <w:i w:val="0"/>
          <w:iCs w:val="0"/>
          <w:color w:val="auto"/>
          <w:sz w:val="24"/>
          <w:szCs w:val="24"/>
        </w:rPr>
        <w:fldChar w:fldCharType="begin"/>
      </w:r>
      <w:r w:rsidRPr="0028226B">
        <w:rPr>
          <w:rFonts w:ascii="Arial" w:hAnsi="Arial" w:cs="Arial"/>
          <w:b/>
          <w:bCs/>
          <w:i w:val="0"/>
          <w:iCs w:val="0"/>
          <w:color w:val="auto"/>
          <w:sz w:val="24"/>
          <w:szCs w:val="24"/>
        </w:rPr>
        <w:instrText xml:space="preserve"> SEQ Wykres \* ARABIC </w:instrText>
      </w:r>
      <w:r w:rsidRPr="0028226B">
        <w:rPr>
          <w:rFonts w:ascii="Arial" w:hAnsi="Arial" w:cs="Arial"/>
          <w:b/>
          <w:bCs/>
          <w:i w:val="0"/>
          <w:iCs w:val="0"/>
          <w:color w:val="auto"/>
          <w:sz w:val="24"/>
          <w:szCs w:val="24"/>
        </w:rPr>
        <w:fldChar w:fldCharType="separate"/>
      </w:r>
      <w:r w:rsidR="0055789E">
        <w:rPr>
          <w:rFonts w:ascii="Arial" w:hAnsi="Arial" w:cs="Arial"/>
          <w:b/>
          <w:bCs/>
          <w:i w:val="0"/>
          <w:iCs w:val="0"/>
          <w:noProof/>
          <w:color w:val="auto"/>
          <w:sz w:val="24"/>
          <w:szCs w:val="24"/>
        </w:rPr>
        <w:t>19</w:t>
      </w:r>
      <w:r w:rsidRPr="0028226B">
        <w:rPr>
          <w:rFonts w:ascii="Arial" w:hAnsi="Arial" w:cs="Arial"/>
          <w:b/>
          <w:bCs/>
          <w:i w:val="0"/>
          <w:iCs w:val="0"/>
          <w:color w:val="auto"/>
          <w:sz w:val="24"/>
          <w:szCs w:val="24"/>
        </w:rPr>
        <w:fldChar w:fldCharType="end"/>
      </w:r>
      <w:r w:rsidRPr="0028226B">
        <w:rPr>
          <w:rFonts w:ascii="Arial" w:hAnsi="Arial" w:cs="Arial"/>
          <w:b/>
          <w:bCs/>
          <w:i w:val="0"/>
          <w:iCs w:val="0"/>
          <w:color w:val="auto"/>
          <w:sz w:val="24"/>
          <w:szCs w:val="24"/>
        </w:rPr>
        <w:t xml:space="preserve">. </w:t>
      </w:r>
      <w:r w:rsidR="00A57405" w:rsidRPr="0028226B">
        <w:rPr>
          <w:rFonts w:ascii="Arial" w:hAnsi="Arial" w:cs="Arial"/>
          <w:b/>
          <w:bCs/>
          <w:i w:val="0"/>
          <w:iCs w:val="0"/>
          <w:color w:val="auto"/>
          <w:sz w:val="24"/>
          <w:szCs w:val="24"/>
        </w:rPr>
        <w:t xml:space="preserve">P16. Czy Pana(i) zdaniem może Pan(i) ubiegać się o środki z Funduszy </w:t>
      </w:r>
      <w:proofErr w:type="gramStart"/>
      <w:r w:rsidR="00A57405" w:rsidRPr="0028226B">
        <w:rPr>
          <w:rFonts w:ascii="Arial" w:hAnsi="Arial" w:cs="Arial"/>
          <w:b/>
          <w:bCs/>
          <w:i w:val="0"/>
          <w:iCs w:val="0"/>
          <w:color w:val="auto"/>
          <w:sz w:val="24"/>
          <w:szCs w:val="24"/>
        </w:rPr>
        <w:t>Europejskich?-</w:t>
      </w:r>
      <w:proofErr w:type="gramEnd"/>
      <w:r w:rsidR="00A57405" w:rsidRPr="0028226B">
        <w:rPr>
          <w:rFonts w:ascii="Arial" w:hAnsi="Arial" w:cs="Arial"/>
          <w:b/>
          <w:bCs/>
          <w:i w:val="0"/>
          <w:iCs w:val="0"/>
          <w:color w:val="auto"/>
          <w:sz w:val="24"/>
          <w:szCs w:val="24"/>
        </w:rPr>
        <w:t xml:space="preserve"> </w:t>
      </w:r>
      <w:r w:rsidRPr="0028226B">
        <w:rPr>
          <w:rFonts w:ascii="Arial" w:hAnsi="Arial" w:cs="Arial"/>
          <w:b/>
          <w:bCs/>
          <w:i w:val="0"/>
          <w:iCs w:val="0"/>
          <w:color w:val="auto"/>
          <w:sz w:val="24"/>
          <w:szCs w:val="24"/>
        </w:rPr>
        <w:t>w latach 2018–2025.</w:t>
      </w:r>
      <w:bookmarkEnd w:id="33"/>
    </w:p>
    <w:p w14:paraId="0FCDBEE2" w14:textId="6320B001" w:rsidR="006B6B99" w:rsidRPr="0028226B" w:rsidRDefault="006B6B99" w:rsidP="00F143B2">
      <w:pPr>
        <w:rPr>
          <w:rFonts w:ascii="Arial" w:hAnsi="Arial" w:cs="Arial"/>
          <w:sz w:val="24"/>
          <w:szCs w:val="24"/>
        </w:rPr>
      </w:pPr>
      <w:r w:rsidRPr="0028226B">
        <w:rPr>
          <w:rFonts w:ascii="Arial" w:hAnsi="Arial" w:cs="Arial"/>
          <w:noProof/>
          <w:sz w:val="24"/>
          <w:szCs w:val="24"/>
        </w:rPr>
        <w:drawing>
          <wp:inline distT="0" distB="0" distL="0" distR="0" wp14:anchorId="780CF046" wp14:editId="2A625072">
            <wp:extent cx="5486400" cy="5135880"/>
            <wp:effectExtent l="0" t="0" r="0" b="0"/>
            <wp:docPr id="62157684" name="Wykres 5" descr="Wykres przedstawia rozkład odpowiedzi na pytanie:&#10;„Czy Pana(i) zdaniem może Pan(i) ubiegać się o środki z Funduszy Europejskich?”&#10;w latach 2018–2025. Odpowiedzi podano w sześciu kategoriach: „zdecydowanie tak”, „raczej tak”, „ani tak, ani nie”, „raczej nie”, „zdecydowanie nie” oraz „nie wiem / trudno powiedzieć”.&#10;&#10;2018: 14% zdecydowanie tak, 38% raczej tak, 9% ani tak, ani nie, 18% raczej nie, 8% zdecydowanie nie, 13% nie wiem.&#10;2019: 9% zdecydowanie tak, 29% raczej tak, 16% ani tak, ani nie, 20% raczej nie, 9% zdecydowanie nie, 17% nie wiem.&#10;2020: 13% zdecydowanie tak, 34% raczej tak, 11% ani tak, ani nie, 17% raczej nie, 14% zdecydowanie nie, 11% nie wiem.&#10;2021: 18% zdecydowanie tak, 37% raczej tak, 25% ani tak, ani nie, 6% raczej nie, 15% zdecydowanie nie, brak wartości nie wiem.&#10;2022: 16% zdecydowanie tak, 37% raczej tak, 11% ani tak, ani nie, 14% raczej nie, 10% zdecydowanie nie, 12% nie wiem.&#10;2023: 13% zdecydowanie tak, 40% raczej tak, 9% ani tak, ani nie, 18% raczej nie, 8% zdecydowanie nie, 14% nie wiem.&#10;2024: 17% zdecydowanie tak, 41% raczej tak, 9% ani tak, ani nie, 13% raczej nie, 6% zdecydowanie nie, 15% nie wiem.&#10;2025: 24% zdecydowanie tak, 40% raczej tak, 9% ani tak, ani nie, 11% raczej nie, 6% zdecydowanie nie, 11% nie wiem."/>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40E113F9" w14:textId="1A6D066D" w:rsidR="0090292C" w:rsidRPr="00672A70" w:rsidRDefault="0090292C" w:rsidP="00F143B2">
      <w:pPr>
        <w:rPr>
          <w:rFonts w:ascii="Arial" w:hAnsi="Arial" w:cs="Arial"/>
          <w:sz w:val="24"/>
          <w:szCs w:val="24"/>
        </w:rPr>
      </w:pPr>
      <w:r w:rsidRPr="00672A70">
        <w:rPr>
          <w:rFonts w:ascii="Arial" w:hAnsi="Arial" w:cs="Arial"/>
          <w:sz w:val="24"/>
          <w:szCs w:val="24"/>
        </w:rPr>
        <w:t>Źródło: Opracowano na podstawie badania CAPI</w:t>
      </w:r>
      <w:r w:rsidR="00995031">
        <w:rPr>
          <w:rFonts w:ascii="Arial" w:hAnsi="Arial" w:cs="Arial"/>
          <w:sz w:val="24"/>
          <w:szCs w:val="24"/>
        </w:rPr>
        <w:t>; odpowiadający: znający określenie FE lub FU</w:t>
      </w:r>
    </w:p>
    <w:p w14:paraId="2F778023" w14:textId="595C967C" w:rsidR="00532390" w:rsidRDefault="007C064D" w:rsidP="00C0187D">
      <w:pPr>
        <w:spacing w:line="360" w:lineRule="auto"/>
        <w:rPr>
          <w:rFonts w:ascii="Arial" w:hAnsi="Arial" w:cs="Arial"/>
          <w:sz w:val="24"/>
          <w:szCs w:val="24"/>
        </w:rPr>
      </w:pPr>
      <w:r w:rsidRPr="007C064D">
        <w:rPr>
          <w:rFonts w:ascii="Arial" w:hAnsi="Arial" w:cs="Arial"/>
          <w:sz w:val="24"/>
          <w:szCs w:val="24"/>
        </w:rPr>
        <w:t>Dane</w:t>
      </w:r>
      <w:r w:rsidR="00281735">
        <w:rPr>
          <w:rFonts w:ascii="Arial" w:hAnsi="Arial" w:cs="Arial"/>
          <w:sz w:val="24"/>
          <w:szCs w:val="24"/>
        </w:rPr>
        <w:t xml:space="preserve"> odnoszące się do odsetka Polaków </w:t>
      </w:r>
      <w:r w:rsidR="00281735" w:rsidRPr="00281735">
        <w:rPr>
          <w:rFonts w:ascii="Arial" w:hAnsi="Arial" w:cs="Arial"/>
          <w:sz w:val="24"/>
          <w:szCs w:val="24"/>
        </w:rPr>
        <w:t>potrafiących wskazać co najmniej trzy przykładowe grupy potencjalnych beneficjentów Funduszy Europejskich</w:t>
      </w:r>
      <w:r w:rsidRPr="007C064D">
        <w:rPr>
          <w:rFonts w:ascii="Arial" w:hAnsi="Arial" w:cs="Arial"/>
          <w:sz w:val="24"/>
          <w:szCs w:val="24"/>
        </w:rPr>
        <w:t xml:space="preserve"> pokazują wyraźnie rosnącą znajomość grup potencjalnych beneficjentów Funduszy Europejskich wśród mieszkańców Polski. Od początkowego poziomu 29% w 2016 roku odsetek ten gwałtownie wzrósł do 65% w 2017, a następnie przez kilka lat utrzymywał się na relatywnie stabilnym, choć zmiennym poziomie 49–71%. W 2021 roku odnotowano wartość 71%, po czym nastąpił spadek do 66% w 2022 roku. W </w:t>
      </w:r>
      <w:r w:rsidRPr="007C064D">
        <w:rPr>
          <w:rFonts w:ascii="Arial" w:hAnsi="Arial" w:cs="Arial"/>
          <w:sz w:val="24"/>
          <w:szCs w:val="24"/>
        </w:rPr>
        <w:lastRenderedPageBreak/>
        <w:t xml:space="preserve">kolejnych latach ponownie widoczny jest wzrost: do 69% w 2023 roku, 72% w 2024 roku oraz 78% w 2025 roku. Oznacza to, że obecnie rekordowo wysoki odsetek Polaków potrafi wskazać przynajmniej trzy grupy, które mogą korzystać ze wsparcia polityki spójności, co świadczy o rosnącej świadomości społecznej </w:t>
      </w:r>
      <w:r w:rsidR="00532390">
        <w:rPr>
          <w:rFonts w:ascii="Arial" w:hAnsi="Arial" w:cs="Arial"/>
          <w:sz w:val="24"/>
          <w:szCs w:val="24"/>
        </w:rPr>
        <w:t>na temat</w:t>
      </w:r>
      <w:r w:rsidR="00532390" w:rsidRPr="007C064D">
        <w:rPr>
          <w:rFonts w:ascii="Arial" w:hAnsi="Arial" w:cs="Arial"/>
          <w:sz w:val="24"/>
          <w:szCs w:val="24"/>
        </w:rPr>
        <w:t xml:space="preserve"> </w:t>
      </w:r>
      <w:r w:rsidRPr="007C064D">
        <w:rPr>
          <w:rFonts w:ascii="Arial" w:hAnsi="Arial" w:cs="Arial"/>
          <w:sz w:val="24"/>
          <w:szCs w:val="24"/>
        </w:rPr>
        <w:t>przeznaczenia Funduszy Europejskich i ich odbiorców.</w:t>
      </w:r>
      <w:r w:rsidR="00532390">
        <w:rPr>
          <w:rFonts w:ascii="Arial" w:hAnsi="Arial" w:cs="Arial"/>
          <w:sz w:val="24"/>
          <w:szCs w:val="24"/>
        </w:rPr>
        <w:t xml:space="preserve"> </w:t>
      </w:r>
    </w:p>
    <w:p w14:paraId="3645EC3E" w14:textId="04E645DE" w:rsidR="0090292C" w:rsidRPr="0028226B" w:rsidRDefault="0090292C" w:rsidP="0090292C">
      <w:pPr>
        <w:pStyle w:val="Legenda"/>
        <w:keepNext/>
        <w:rPr>
          <w:rFonts w:ascii="Arial" w:hAnsi="Arial" w:cs="Arial"/>
          <w:b/>
          <w:bCs/>
          <w:i w:val="0"/>
          <w:iCs w:val="0"/>
          <w:color w:val="auto"/>
          <w:sz w:val="24"/>
          <w:szCs w:val="24"/>
        </w:rPr>
      </w:pPr>
      <w:bookmarkStart w:id="34" w:name="_Toc219369246"/>
      <w:r w:rsidRPr="0028226B">
        <w:rPr>
          <w:rFonts w:ascii="Arial" w:hAnsi="Arial" w:cs="Arial"/>
          <w:b/>
          <w:bCs/>
          <w:i w:val="0"/>
          <w:iCs w:val="0"/>
          <w:color w:val="auto"/>
          <w:sz w:val="24"/>
          <w:szCs w:val="24"/>
        </w:rPr>
        <w:t xml:space="preserve">Wykres </w:t>
      </w:r>
      <w:r w:rsidRPr="0028226B">
        <w:rPr>
          <w:rFonts w:ascii="Arial" w:hAnsi="Arial" w:cs="Arial"/>
          <w:b/>
          <w:bCs/>
          <w:i w:val="0"/>
          <w:iCs w:val="0"/>
          <w:color w:val="auto"/>
          <w:sz w:val="24"/>
          <w:szCs w:val="24"/>
        </w:rPr>
        <w:fldChar w:fldCharType="begin"/>
      </w:r>
      <w:r w:rsidRPr="0028226B">
        <w:rPr>
          <w:rFonts w:ascii="Arial" w:hAnsi="Arial" w:cs="Arial"/>
          <w:b/>
          <w:bCs/>
          <w:i w:val="0"/>
          <w:iCs w:val="0"/>
          <w:color w:val="auto"/>
          <w:sz w:val="24"/>
          <w:szCs w:val="24"/>
        </w:rPr>
        <w:instrText xml:space="preserve"> SEQ Wykres \* ARABIC </w:instrText>
      </w:r>
      <w:r w:rsidRPr="0028226B">
        <w:rPr>
          <w:rFonts w:ascii="Arial" w:hAnsi="Arial" w:cs="Arial"/>
          <w:b/>
          <w:bCs/>
          <w:i w:val="0"/>
          <w:iCs w:val="0"/>
          <w:color w:val="auto"/>
          <w:sz w:val="24"/>
          <w:szCs w:val="24"/>
        </w:rPr>
        <w:fldChar w:fldCharType="separate"/>
      </w:r>
      <w:r w:rsidR="0055789E">
        <w:rPr>
          <w:rFonts w:ascii="Arial" w:hAnsi="Arial" w:cs="Arial"/>
          <w:b/>
          <w:bCs/>
          <w:i w:val="0"/>
          <w:iCs w:val="0"/>
          <w:noProof/>
          <w:color w:val="auto"/>
          <w:sz w:val="24"/>
          <w:szCs w:val="24"/>
        </w:rPr>
        <w:t>20</w:t>
      </w:r>
      <w:r w:rsidRPr="0028226B">
        <w:rPr>
          <w:rFonts w:ascii="Arial" w:hAnsi="Arial" w:cs="Arial"/>
          <w:b/>
          <w:bCs/>
          <w:i w:val="0"/>
          <w:iCs w:val="0"/>
          <w:color w:val="auto"/>
          <w:sz w:val="24"/>
          <w:szCs w:val="24"/>
        </w:rPr>
        <w:fldChar w:fldCharType="end"/>
      </w:r>
      <w:r w:rsidRPr="0028226B">
        <w:rPr>
          <w:rFonts w:ascii="Arial" w:hAnsi="Arial" w:cs="Arial"/>
          <w:b/>
          <w:bCs/>
          <w:i w:val="0"/>
          <w:iCs w:val="0"/>
          <w:color w:val="auto"/>
          <w:sz w:val="24"/>
          <w:szCs w:val="24"/>
        </w:rPr>
        <w:t xml:space="preserve">. </w:t>
      </w:r>
      <w:r w:rsidR="00EE3FDC">
        <w:rPr>
          <w:rFonts w:ascii="Arial" w:hAnsi="Arial" w:cs="Arial"/>
          <w:b/>
          <w:bCs/>
          <w:i w:val="0"/>
          <w:iCs w:val="0"/>
          <w:color w:val="auto"/>
          <w:sz w:val="24"/>
          <w:szCs w:val="24"/>
        </w:rPr>
        <w:t xml:space="preserve">P28 </w:t>
      </w:r>
      <w:r w:rsidRPr="0028226B">
        <w:rPr>
          <w:rFonts w:ascii="Arial" w:hAnsi="Arial" w:cs="Arial"/>
          <w:b/>
          <w:bCs/>
          <w:i w:val="0"/>
          <w:iCs w:val="0"/>
          <w:color w:val="auto"/>
          <w:sz w:val="24"/>
          <w:szCs w:val="24"/>
        </w:rPr>
        <w:t>Odsetek Polaków potrafiących wskazać co najmniej trzy przykładowe grupy potencjalnych beneficjentów Funduszy Europejskich (porównanie między latami)</w:t>
      </w:r>
      <w:bookmarkEnd w:id="34"/>
    </w:p>
    <w:p w14:paraId="34ABC08B" w14:textId="1B5288AF" w:rsidR="0090292C" w:rsidRPr="0028226B" w:rsidRDefault="0090292C" w:rsidP="00F143B2">
      <w:pPr>
        <w:rPr>
          <w:rFonts w:ascii="Arial" w:hAnsi="Arial" w:cs="Arial"/>
          <w:sz w:val="24"/>
          <w:szCs w:val="24"/>
        </w:rPr>
      </w:pPr>
      <w:r w:rsidRPr="0028226B">
        <w:rPr>
          <w:rFonts w:ascii="Arial" w:hAnsi="Arial" w:cs="Arial"/>
          <w:noProof/>
          <w:sz w:val="24"/>
          <w:szCs w:val="24"/>
        </w:rPr>
        <w:drawing>
          <wp:inline distT="0" distB="0" distL="0" distR="0" wp14:anchorId="5E7BA2A3" wp14:editId="1B952D1D">
            <wp:extent cx="5730240" cy="3200400"/>
            <wp:effectExtent l="0" t="0" r="0" b="0"/>
            <wp:docPr id="1765175676" name="Wykres 3" descr="Wykres przedstawia odsetek Polaków potrafiących wskazać co najmniej trzy przykładowe grupy potencjalnych beneficjentów Funduszy Europejskich w latach 2016–2025.&#10;&#10;Wyniki dla poszczególnych lat są następujące:&#10;&#10;– 2016: 29%&#10;– 2017: 65%&#10;– 2018: 57%&#10;– 2019: 49%&#10;– 2020: 60%&#10;– 2021: 71%&#10;– 2022: 66%&#10;– 2023: 69%&#10;– 2024: 72%&#10;– 2025: 78%&#10;&#10;Na wykresie wyróżniono najniższe wartości (29%, 57%, 49%) kolorem niebieskim oraz najwyższe wartości (71%, 78%) kolorem czerwonym."/>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r w:rsidR="07F061B4" w:rsidRPr="0028226B">
        <w:rPr>
          <w:rFonts w:ascii="Arial" w:hAnsi="Arial" w:cs="Arial"/>
          <w:sz w:val="24"/>
          <w:szCs w:val="24"/>
        </w:rPr>
        <w:t xml:space="preserve"> Źródło: Opracowano na podstawie badania CAPI</w:t>
      </w:r>
      <w:r w:rsidR="00995031">
        <w:rPr>
          <w:rFonts w:ascii="Arial" w:hAnsi="Arial" w:cs="Arial"/>
          <w:sz w:val="24"/>
          <w:szCs w:val="24"/>
        </w:rPr>
        <w:t>; odpowiadający: znający określenie FE lub FU</w:t>
      </w:r>
    </w:p>
    <w:p w14:paraId="17D8D2B2" w14:textId="77777777" w:rsidR="009420DD" w:rsidRDefault="005A7F01" w:rsidP="00C0187D">
      <w:pPr>
        <w:spacing w:line="360" w:lineRule="auto"/>
        <w:rPr>
          <w:rFonts w:ascii="Arial" w:hAnsi="Arial" w:cs="Arial"/>
          <w:sz w:val="24"/>
          <w:szCs w:val="24"/>
        </w:rPr>
      </w:pPr>
      <w:r w:rsidRPr="005A7F01">
        <w:rPr>
          <w:rFonts w:ascii="Arial" w:hAnsi="Arial" w:cs="Arial"/>
          <w:sz w:val="24"/>
          <w:szCs w:val="24"/>
        </w:rPr>
        <w:t>W odpowiedziach spontanicznych respondenci najczęściej wskazywali, że środki z Funduszy Europejskich mogą ubiegać się przedsiębiorstwa – takiej odpowiedzi udzieliło 75% badanych. Kolejne miejsca zajmowały: placówki służby zdrowia (57%), placówki edukacyjne (53%) oraz władze samorządowe (50%). Rzadziej wymieniano organizacje pozarządowe (4</w:t>
      </w:r>
      <w:r w:rsidR="002F5B21">
        <w:rPr>
          <w:rFonts w:ascii="Arial" w:hAnsi="Arial" w:cs="Arial"/>
          <w:sz w:val="24"/>
          <w:szCs w:val="24"/>
        </w:rPr>
        <w:t>3</w:t>
      </w:r>
      <w:r w:rsidRPr="005A7F01">
        <w:rPr>
          <w:rFonts w:ascii="Arial" w:hAnsi="Arial" w:cs="Arial"/>
          <w:sz w:val="24"/>
          <w:szCs w:val="24"/>
        </w:rPr>
        <w:t>%) oraz mieszkańców jako osoby indywidualne (40%). W dalszej kolejności pojawiały się: rolnicy (36%), osoby planujące rozpoczęcie działalności gospodarczej (2</w:t>
      </w:r>
      <w:r w:rsidR="002F5B21">
        <w:rPr>
          <w:rFonts w:ascii="Arial" w:hAnsi="Arial" w:cs="Arial"/>
          <w:sz w:val="24"/>
          <w:szCs w:val="24"/>
        </w:rPr>
        <w:t>6</w:t>
      </w:r>
      <w:r w:rsidRPr="005A7F01">
        <w:rPr>
          <w:rFonts w:ascii="Arial" w:hAnsi="Arial" w:cs="Arial"/>
          <w:sz w:val="24"/>
          <w:szCs w:val="24"/>
        </w:rPr>
        <w:t>%) oraz osoby bezrobotne (25%). Najrzadziej wskazywano osoby młode (17%) oraz osoby z niepełnosprawnością (1</w:t>
      </w:r>
      <w:r w:rsidR="002F5B21">
        <w:rPr>
          <w:rFonts w:ascii="Arial" w:hAnsi="Arial" w:cs="Arial"/>
          <w:sz w:val="24"/>
          <w:szCs w:val="24"/>
        </w:rPr>
        <w:t>4</w:t>
      </w:r>
      <w:r w:rsidRPr="005A7F01">
        <w:rPr>
          <w:rFonts w:ascii="Arial" w:hAnsi="Arial" w:cs="Arial"/>
          <w:sz w:val="24"/>
          <w:szCs w:val="24"/>
        </w:rPr>
        <w:t xml:space="preserve">%). Jedynie </w:t>
      </w:r>
      <w:r w:rsidR="002F5B21">
        <w:rPr>
          <w:rFonts w:ascii="Arial" w:hAnsi="Arial" w:cs="Arial"/>
          <w:sz w:val="24"/>
          <w:szCs w:val="24"/>
        </w:rPr>
        <w:t>3</w:t>
      </w:r>
      <w:r w:rsidRPr="005A7F01">
        <w:rPr>
          <w:rFonts w:ascii="Arial" w:hAnsi="Arial" w:cs="Arial"/>
          <w:sz w:val="24"/>
          <w:szCs w:val="24"/>
        </w:rPr>
        <w:t>% badanych przyznało, że nie potrafi wskazać żadnej grupy beneficjentów.</w:t>
      </w:r>
      <w:r w:rsidR="009420DD">
        <w:rPr>
          <w:rFonts w:ascii="Arial" w:hAnsi="Arial" w:cs="Arial"/>
          <w:sz w:val="24"/>
          <w:szCs w:val="24"/>
        </w:rPr>
        <w:t xml:space="preserve"> </w:t>
      </w:r>
    </w:p>
    <w:p w14:paraId="3960AA8D" w14:textId="49DAD74C" w:rsidR="00C70816" w:rsidRPr="0028226B" w:rsidRDefault="00C70816" w:rsidP="00A7163A">
      <w:pPr>
        <w:pStyle w:val="Legenda"/>
        <w:keepNext/>
        <w:rPr>
          <w:rFonts w:ascii="Arial" w:hAnsi="Arial" w:cs="Arial"/>
          <w:b/>
          <w:bCs/>
          <w:i w:val="0"/>
          <w:iCs w:val="0"/>
          <w:color w:val="000000" w:themeColor="text1"/>
          <w:sz w:val="24"/>
          <w:szCs w:val="24"/>
        </w:rPr>
      </w:pPr>
      <w:bookmarkStart w:id="35" w:name="_Toc219369247"/>
      <w:r w:rsidRPr="0028226B">
        <w:rPr>
          <w:rFonts w:ascii="Arial" w:hAnsi="Arial" w:cs="Arial"/>
          <w:b/>
          <w:bCs/>
          <w:i w:val="0"/>
          <w:iCs w:val="0"/>
          <w:color w:val="000000" w:themeColor="text1"/>
          <w:sz w:val="24"/>
          <w:szCs w:val="24"/>
        </w:rPr>
        <w:lastRenderedPageBreak/>
        <w:t xml:space="preserve">Wykres </w:t>
      </w:r>
      <w:r w:rsidRPr="0028226B">
        <w:rPr>
          <w:rFonts w:ascii="Arial" w:hAnsi="Arial" w:cs="Arial"/>
          <w:b/>
          <w:bCs/>
          <w:i w:val="0"/>
          <w:iCs w:val="0"/>
          <w:color w:val="000000" w:themeColor="text1"/>
          <w:sz w:val="24"/>
          <w:szCs w:val="24"/>
        </w:rPr>
        <w:fldChar w:fldCharType="begin"/>
      </w:r>
      <w:r w:rsidRPr="0028226B">
        <w:rPr>
          <w:rFonts w:ascii="Arial" w:hAnsi="Arial" w:cs="Arial"/>
          <w:b/>
          <w:bCs/>
          <w:i w:val="0"/>
          <w:iCs w:val="0"/>
          <w:color w:val="000000" w:themeColor="text1"/>
          <w:sz w:val="24"/>
          <w:szCs w:val="24"/>
        </w:rPr>
        <w:instrText xml:space="preserve"> SEQ Wykres \* ARABIC </w:instrText>
      </w:r>
      <w:r w:rsidRPr="0028226B">
        <w:rPr>
          <w:rFonts w:ascii="Arial" w:hAnsi="Arial" w:cs="Arial"/>
          <w:b/>
          <w:bCs/>
          <w:i w:val="0"/>
          <w:iCs w:val="0"/>
          <w:color w:val="000000" w:themeColor="text1"/>
          <w:sz w:val="24"/>
          <w:szCs w:val="24"/>
        </w:rPr>
        <w:fldChar w:fldCharType="separate"/>
      </w:r>
      <w:r w:rsidR="0055789E">
        <w:rPr>
          <w:rFonts w:ascii="Arial" w:hAnsi="Arial" w:cs="Arial"/>
          <w:b/>
          <w:bCs/>
          <w:i w:val="0"/>
          <w:iCs w:val="0"/>
          <w:noProof/>
          <w:color w:val="000000" w:themeColor="text1"/>
          <w:sz w:val="24"/>
          <w:szCs w:val="24"/>
        </w:rPr>
        <w:t>21</w:t>
      </w:r>
      <w:r w:rsidRPr="0028226B">
        <w:rPr>
          <w:rFonts w:ascii="Arial" w:hAnsi="Arial" w:cs="Arial"/>
          <w:b/>
          <w:bCs/>
          <w:i w:val="0"/>
          <w:iCs w:val="0"/>
          <w:color w:val="000000" w:themeColor="text1"/>
          <w:sz w:val="24"/>
          <w:szCs w:val="24"/>
        </w:rPr>
        <w:fldChar w:fldCharType="end"/>
      </w:r>
      <w:r w:rsidRPr="0028226B">
        <w:rPr>
          <w:rFonts w:ascii="Arial" w:hAnsi="Arial" w:cs="Arial"/>
          <w:b/>
          <w:bCs/>
          <w:i w:val="0"/>
          <w:iCs w:val="0"/>
          <w:color w:val="000000" w:themeColor="text1"/>
          <w:sz w:val="24"/>
          <w:szCs w:val="24"/>
        </w:rPr>
        <w:t xml:space="preserve">. </w:t>
      </w:r>
      <w:r w:rsidR="00281735">
        <w:rPr>
          <w:rFonts w:ascii="Arial" w:hAnsi="Arial" w:cs="Arial"/>
          <w:b/>
          <w:bCs/>
          <w:i w:val="0"/>
          <w:iCs w:val="0"/>
          <w:color w:val="000000" w:themeColor="text1"/>
          <w:sz w:val="24"/>
          <w:szCs w:val="24"/>
        </w:rPr>
        <w:t>P28</w:t>
      </w:r>
      <w:r w:rsidR="009420DD">
        <w:rPr>
          <w:rFonts w:ascii="Arial" w:hAnsi="Arial" w:cs="Arial"/>
          <w:b/>
          <w:bCs/>
          <w:i w:val="0"/>
          <w:iCs w:val="0"/>
          <w:color w:val="000000" w:themeColor="text1"/>
          <w:sz w:val="24"/>
          <w:szCs w:val="24"/>
        </w:rPr>
        <w:t>.</w:t>
      </w:r>
      <w:r w:rsidR="00281735">
        <w:rPr>
          <w:rFonts w:ascii="Arial" w:hAnsi="Arial" w:cs="Arial"/>
          <w:b/>
          <w:bCs/>
          <w:i w:val="0"/>
          <w:iCs w:val="0"/>
          <w:color w:val="000000" w:themeColor="text1"/>
          <w:sz w:val="24"/>
          <w:szCs w:val="24"/>
        </w:rPr>
        <w:t xml:space="preserve"> </w:t>
      </w:r>
      <w:r w:rsidR="00A7163A" w:rsidRPr="0028226B">
        <w:rPr>
          <w:rFonts w:ascii="Arial" w:hAnsi="Arial" w:cs="Arial"/>
          <w:b/>
          <w:bCs/>
          <w:i w:val="0"/>
          <w:iCs w:val="0"/>
          <w:color w:val="000000" w:themeColor="text1"/>
          <w:sz w:val="24"/>
          <w:szCs w:val="24"/>
        </w:rPr>
        <w:t>Jakie grupy osób lub podmiotów mogą ubiegać się o dotację z Funduszy Europejskich?</w:t>
      </w:r>
      <w:r w:rsidR="00025F7C">
        <w:rPr>
          <w:rFonts w:ascii="Arial" w:hAnsi="Arial" w:cs="Arial"/>
          <w:b/>
          <w:bCs/>
          <w:i w:val="0"/>
          <w:iCs w:val="0"/>
          <w:color w:val="000000" w:themeColor="text1"/>
          <w:sz w:val="24"/>
          <w:szCs w:val="24"/>
        </w:rPr>
        <w:t xml:space="preserve"> (N=955)</w:t>
      </w:r>
      <w:bookmarkEnd w:id="35"/>
    </w:p>
    <w:p w14:paraId="7B8025E0" w14:textId="7E39FF21" w:rsidR="00C70816" w:rsidRPr="0028226B" w:rsidRDefault="00C70816" w:rsidP="00F143B2">
      <w:pPr>
        <w:rPr>
          <w:rFonts w:ascii="Arial" w:hAnsi="Arial" w:cs="Arial"/>
          <w:sz w:val="24"/>
          <w:szCs w:val="24"/>
        </w:rPr>
      </w:pPr>
      <w:r w:rsidRPr="0028226B">
        <w:rPr>
          <w:rFonts w:ascii="Arial" w:hAnsi="Arial" w:cs="Arial"/>
          <w:noProof/>
          <w:sz w:val="24"/>
          <w:szCs w:val="24"/>
        </w:rPr>
        <w:drawing>
          <wp:inline distT="0" distB="0" distL="0" distR="0" wp14:anchorId="11FD7F77" wp14:editId="290E3BEE">
            <wp:extent cx="5760720" cy="5353050"/>
            <wp:effectExtent l="0" t="0" r="0" b="0"/>
            <wp:docPr id="593404577" name="Wykres 1" descr="Wykres przedstawia odpowiedzi na pytanie:&#10;„Jakie grupy osób lub podmiotów mogą ubiegać się o dotację z Funduszy Europejskich?”&#10;&#10;Respondenci najczęściej wskazywali następujące grupy:&#10;&#10;– firmy i przedsiębiorstwa prywatne lub państwowe – 75,0%,&#10;– placówki służby zdrowia (przychodnie, szpitale) – 57,1%,&#10;– placówki edukacyjne (przedszkola, szkoły, uczelnie) – 53,4%,&#10;– władze samorządowe (gminy, powiaty) – 50,4%,&#10;– organizacje pozarządowe (fundacje, stowarzyszenia) – 42,5%,&#10;– mieszkańcy (osoby indywidualne) – 40,1%,&#10;– rolnicy – 36,3%,&#10;– osoby planujące rozpocząć działalność gospodarczą – 25,7%,&#10;– osoby bezrobotne – 25,1%,&#10;– osoby młode – 17,2%,&#10;– osoby z niepełnosprawnością – 13,9%.&#10;&#10;Dodatkowo 2,6% respondentów zadeklarowało, że nie wie, kto może ubiegać się o dotację z Funduszy Europejskich."/>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13A5EE0A" w14:textId="604CCF04" w:rsidR="00C70816" w:rsidRPr="00672A70" w:rsidRDefault="00C70816" w:rsidP="00F143B2">
      <w:pPr>
        <w:rPr>
          <w:rFonts w:ascii="Arial" w:hAnsi="Arial" w:cs="Arial"/>
          <w:sz w:val="24"/>
          <w:szCs w:val="24"/>
        </w:rPr>
      </w:pPr>
      <w:r w:rsidRPr="00672A70">
        <w:rPr>
          <w:rFonts w:ascii="Arial" w:hAnsi="Arial" w:cs="Arial"/>
          <w:sz w:val="24"/>
          <w:szCs w:val="24"/>
        </w:rPr>
        <w:t>Źródło: Opracowano na podstawie badania CAPI</w:t>
      </w:r>
      <w:r w:rsidR="00995031">
        <w:rPr>
          <w:rFonts w:ascii="Arial" w:hAnsi="Arial" w:cs="Arial"/>
          <w:sz w:val="24"/>
          <w:szCs w:val="24"/>
        </w:rPr>
        <w:t>; odpowiadający: znający określenie FE lub FU</w:t>
      </w:r>
    </w:p>
    <w:p w14:paraId="5D409EF2" w14:textId="40BE48C7" w:rsidR="00C70816" w:rsidRPr="0028226B" w:rsidRDefault="00C70816" w:rsidP="00C70816">
      <w:pPr>
        <w:shd w:val="clear" w:color="auto" w:fill="061A3D"/>
        <w:rPr>
          <w:rFonts w:ascii="Arial" w:hAnsi="Arial" w:cs="Arial"/>
          <w:b/>
          <w:bCs/>
          <w:sz w:val="24"/>
          <w:szCs w:val="24"/>
        </w:rPr>
      </w:pPr>
      <w:r w:rsidRPr="0028226B">
        <w:rPr>
          <w:rFonts w:ascii="Arial" w:hAnsi="Arial" w:cs="Arial"/>
          <w:b/>
          <w:bCs/>
          <w:sz w:val="24"/>
          <w:szCs w:val="24"/>
        </w:rPr>
        <w:t>Ocena wpływu Funduszy Europejskich na rozwój Polski</w:t>
      </w:r>
    </w:p>
    <w:p w14:paraId="7D2D7DE4" w14:textId="37462D31" w:rsidR="00C70816" w:rsidRPr="0028226B" w:rsidRDefault="5292FB2B" w:rsidP="00C0187D">
      <w:pPr>
        <w:spacing w:line="360" w:lineRule="auto"/>
        <w:rPr>
          <w:rFonts w:ascii="Arial" w:hAnsi="Arial" w:cs="Arial"/>
          <w:sz w:val="24"/>
          <w:szCs w:val="24"/>
        </w:rPr>
      </w:pPr>
      <w:r w:rsidRPr="0028226B">
        <w:rPr>
          <w:rFonts w:ascii="Arial" w:hAnsi="Arial" w:cs="Arial"/>
          <w:sz w:val="24"/>
          <w:szCs w:val="24"/>
        </w:rPr>
        <w:t xml:space="preserve">Ocena wpływu Funduszy Europejskich na rozwój Polski pozostaje bardzo wysoka i w 2025 roku osiąga najwyższy poziom w całej analizowanej serii pomiarów. Łącznie </w:t>
      </w:r>
      <w:r w:rsidR="005A7F01" w:rsidRPr="0028226B">
        <w:rPr>
          <w:rFonts w:ascii="Arial" w:hAnsi="Arial" w:cs="Arial"/>
          <w:sz w:val="24"/>
          <w:szCs w:val="24"/>
        </w:rPr>
        <w:t>9</w:t>
      </w:r>
      <w:r w:rsidR="005A7F01">
        <w:rPr>
          <w:rFonts w:ascii="Arial" w:hAnsi="Arial" w:cs="Arial"/>
          <w:sz w:val="24"/>
          <w:szCs w:val="24"/>
        </w:rPr>
        <w:t>1</w:t>
      </w:r>
      <w:r w:rsidRPr="0028226B">
        <w:rPr>
          <w:rFonts w:ascii="Arial" w:hAnsi="Arial" w:cs="Arial"/>
          <w:sz w:val="24"/>
          <w:szCs w:val="24"/>
        </w:rPr>
        <w:t>% respondentów uważa, że środki unijne przyczyniają się do rozwoju kraju, w tym 35% odpowiada „zdecydowanie tak”, a 56% – „raczej tak”. To wyraźny</w:t>
      </w:r>
      <w:r w:rsidR="00025F7C">
        <w:rPr>
          <w:rFonts w:ascii="Arial" w:hAnsi="Arial" w:cs="Arial"/>
          <w:sz w:val="24"/>
          <w:szCs w:val="24"/>
        </w:rPr>
        <w:t>,</w:t>
      </w:r>
      <w:r w:rsidR="005A7F01">
        <w:rPr>
          <w:rFonts w:ascii="Arial" w:hAnsi="Arial" w:cs="Arial"/>
          <w:sz w:val="24"/>
          <w:szCs w:val="24"/>
        </w:rPr>
        <w:t xml:space="preserve"> istotny statystycznie</w:t>
      </w:r>
      <w:r w:rsidRPr="0028226B">
        <w:rPr>
          <w:rFonts w:ascii="Arial" w:hAnsi="Arial" w:cs="Arial"/>
          <w:sz w:val="24"/>
          <w:szCs w:val="24"/>
        </w:rPr>
        <w:t xml:space="preserve"> wzrost wobec roku 2024, kiedy suma ocen pozytywnych wynosiła </w:t>
      </w:r>
      <w:r w:rsidR="00025F7C" w:rsidRPr="0028226B">
        <w:rPr>
          <w:rFonts w:ascii="Arial" w:hAnsi="Arial" w:cs="Arial"/>
          <w:sz w:val="24"/>
          <w:szCs w:val="24"/>
        </w:rPr>
        <w:t>8</w:t>
      </w:r>
      <w:r w:rsidR="00025F7C">
        <w:rPr>
          <w:rFonts w:ascii="Arial" w:hAnsi="Arial" w:cs="Arial"/>
          <w:sz w:val="24"/>
          <w:szCs w:val="24"/>
        </w:rPr>
        <w:t>7</w:t>
      </w:r>
      <w:r w:rsidRPr="0028226B">
        <w:rPr>
          <w:rFonts w:ascii="Arial" w:hAnsi="Arial" w:cs="Arial"/>
          <w:sz w:val="24"/>
          <w:szCs w:val="24"/>
        </w:rPr>
        <w:t>%.</w:t>
      </w:r>
    </w:p>
    <w:p w14:paraId="55437DA0" w14:textId="454F2690" w:rsidR="00C70816" w:rsidRPr="0028226B" w:rsidRDefault="5292FB2B" w:rsidP="00C0187D">
      <w:pPr>
        <w:spacing w:line="360" w:lineRule="auto"/>
        <w:rPr>
          <w:rFonts w:ascii="Arial" w:hAnsi="Arial" w:cs="Arial"/>
          <w:sz w:val="24"/>
          <w:szCs w:val="24"/>
        </w:rPr>
      </w:pPr>
      <w:r w:rsidRPr="0028226B">
        <w:rPr>
          <w:rFonts w:ascii="Arial" w:hAnsi="Arial" w:cs="Arial"/>
          <w:sz w:val="24"/>
          <w:szCs w:val="24"/>
        </w:rPr>
        <w:t xml:space="preserve">W poprzednich latach (2015–2023) odsetek osób dostrzegających pozytywny wpływ Funduszy Europejskich utrzymywał się na poziomie 79–88%, co wskazuje na </w:t>
      </w:r>
      <w:r w:rsidRPr="0028226B">
        <w:rPr>
          <w:rFonts w:ascii="Arial" w:hAnsi="Arial" w:cs="Arial"/>
          <w:sz w:val="24"/>
          <w:szCs w:val="24"/>
        </w:rPr>
        <w:lastRenderedPageBreak/>
        <w:t>stabilnie wysokie poparcie społeczne. Tegoroczny wynik – 91% – jest najwyższy w całej serii i świadczy o rosnącym przekonaniu o znaczeniu środków unijnych.</w:t>
      </w:r>
    </w:p>
    <w:p w14:paraId="19374F40" w14:textId="77777777" w:rsidR="00C70816" w:rsidRPr="0028226B" w:rsidRDefault="5292FB2B" w:rsidP="00C0187D">
      <w:pPr>
        <w:spacing w:line="360" w:lineRule="auto"/>
        <w:rPr>
          <w:rFonts w:ascii="Arial" w:hAnsi="Arial" w:cs="Arial"/>
          <w:sz w:val="24"/>
          <w:szCs w:val="24"/>
        </w:rPr>
      </w:pPr>
      <w:r w:rsidRPr="0028226B">
        <w:rPr>
          <w:rFonts w:ascii="Arial" w:hAnsi="Arial" w:cs="Arial"/>
          <w:sz w:val="24"/>
          <w:szCs w:val="24"/>
        </w:rPr>
        <w:t>Odpowiedzi neutralne stanowią 6%, natomiast opinie sceptyczne („raczej nie”, „zdecydowanie nie”) łącznie jedynie 1%. Niewiedzę deklaruje 2% badanych.</w:t>
      </w:r>
    </w:p>
    <w:p w14:paraId="58D1DD63" w14:textId="34D736B7" w:rsidR="009420DD" w:rsidRPr="0028226B" w:rsidRDefault="5292FB2B" w:rsidP="00C0187D">
      <w:pPr>
        <w:spacing w:line="360" w:lineRule="auto"/>
        <w:rPr>
          <w:rFonts w:ascii="Arial" w:hAnsi="Arial" w:cs="Arial"/>
          <w:sz w:val="24"/>
          <w:szCs w:val="24"/>
        </w:rPr>
      </w:pPr>
      <w:r w:rsidRPr="0028226B">
        <w:rPr>
          <w:rFonts w:ascii="Arial" w:hAnsi="Arial" w:cs="Arial"/>
          <w:sz w:val="24"/>
          <w:szCs w:val="24"/>
        </w:rPr>
        <w:t>Wyniki jednoznacznie pokazują, że Fundusze Europejskie są postrzegane jako kluczowy element rozwoju Polski, a pozytywne oceny w ostatnim roku dodatkowo się umocniły.</w:t>
      </w:r>
    </w:p>
    <w:p w14:paraId="25FB75C5" w14:textId="741E577B" w:rsidR="00996996" w:rsidRPr="009420DD" w:rsidRDefault="00996996" w:rsidP="00996996">
      <w:pPr>
        <w:pStyle w:val="Legenda"/>
        <w:keepNext/>
        <w:rPr>
          <w:rFonts w:ascii="Arial" w:hAnsi="Arial" w:cs="Arial"/>
          <w:b/>
          <w:bCs/>
          <w:i w:val="0"/>
          <w:iCs w:val="0"/>
          <w:color w:val="000000" w:themeColor="text1"/>
          <w:sz w:val="24"/>
          <w:szCs w:val="24"/>
        </w:rPr>
      </w:pPr>
      <w:bookmarkStart w:id="36" w:name="_Toc219369248"/>
      <w:r w:rsidRPr="009420DD">
        <w:rPr>
          <w:rFonts w:ascii="Arial" w:hAnsi="Arial" w:cs="Arial"/>
          <w:b/>
          <w:bCs/>
          <w:i w:val="0"/>
          <w:iCs w:val="0"/>
          <w:color w:val="000000" w:themeColor="text1"/>
          <w:sz w:val="24"/>
          <w:szCs w:val="24"/>
        </w:rPr>
        <w:t xml:space="preserve">Wykres </w:t>
      </w:r>
      <w:r w:rsidRPr="004B75FE">
        <w:rPr>
          <w:rFonts w:ascii="Arial" w:hAnsi="Arial" w:cs="Arial"/>
          <w:b/>
          <w:bCs/>
          <w:i w:val="0"/>
          <w:iCs w:val="0"/>
          <w:color w:val="000000" w:themeColor="text1"/>
          <w:sz w:val="24"/>
          <w:szCs w:val="24"/>
        </w:rPr>
        <w:fldChar w:fldCharType="begin"/>
      </w:r>
      <w:r w:rsidRPr="009420DD">
        <w:rPr>
          <w:rFonts w:ascii="Arial" w:hAnsi="Arial" w:cs="Arial"/>
          <w:b/>
          <w:bCs/>
          <w:i w:val="0"/>
          <w:iCs w:val="0"/>
          <w:color w:val="000000" w:themeColor="text1"/>
          <w:sz w:val="24"/>
          <w:szCs w:val="24"/>
        </w:rPr>
        <w:instrText xml:space="preserve"> SEQ Wykres \* ARABIC </w:instrText>
      </w:r>
      <w:r w:rsidRPr="004B75FE">
        <w:rPr>
          <w:rFonts w:ascii="Arial" w:hAnsi="Arial" w:cs="Arial"/>
          <w:b/>
          <w:bCs/>
          <w:i w:val="0"/>
          <w:iCs w:val="0"/>
          <w:color w:val="000000" w:themeColor="text1"/>
          <w:sz w:val="24"/>
          <w:szCs w:val="24"/>
        </w:rPr>
        <w:fldChar w:fldCharType="separate"/>
      </w:r>
      <w:r w:rsidR="0055789E">
        <w:rPr>
          <w:rFonts w:ascii="Arial" w:hAnsi="Arial" w:cs="Arial"/>
          <w:b/>
          <w:bCs/>
          <w:i w:val="0"/>
          <w:iCs w:val="0"/>
          <w:noProof/>
          <w:color w:val="000000" w:themeColor="text1"/>
          <w:sz w:val="24"/>
          <w:szCs w:val="24"/>
        </w:rPr>
        <w:t>22</w:t>
      </w:r>
      <w:r w:rsidRPr="004B75FE">
        <w:rPr>
          <w:rFonts w:ascii="Arial" w:hAnsi="Arial" w:cs="Arial"/>
          <w:b/>
          <w:bCs/>
          <w:i w:val="0"/>
          <w:iCs w:val="0"/>
          <w:color w:val="000000" w:themeColor="text1"/>
          <w:sz w:val="24"/>
          <w:szCs w:val="24"/>
        </w:rPr>
        <w:fldChar w:fldCharType="end"/>
      </w:r>
      <w:r w:rsidRPr="009420DD">
        <w:rPr>
          <w:rFonts w:ascii="Arial" w:hAnsi="Arial" w:cs="Arial"/>
          <w:b/>
          <w:bCs/>
          <w:i w:val="0"/>
          <w:iCs w:val="0"/>
          <w:color w:val="000000" w:themeColor="text1"/>
          <w:sz w:val="24"/>
          <w:szCs w:val="24"/>
        </w:rPr>
        <w:t xml:space="preserve">. </w:t>
      </w:r>
      <w:r w:rsidR="00A7163A" w:rsidRPr="009420DD">
        <w:rPr>
          <w:rFonts w:ascii="Arial" w:hAnsi="Arial" w:cs="Arial"/>
          <w:b/>
          <w:bCs/>
          <w:i w:val="0"/>
          <w:iCs w:val="0"/>
          <w:color w:val="000000" w:themeColor="text1"/>
          <w:sz w:val="24"/>
          <w:szCs w:val="24"/>
        </w:rPr>
        <w:t>P9. Jak Pan(i) sądzi, czy Fundusze Europejskie przyczyniają się do rozwoju Polski? (suma odpowiedzi zdecydowanie tak i raczej tak) – porównanie w latach 2015-2025</w:t>
      </w:r>
      <w:bookmarkEnd w:id="36"/>
    </w:p>
    <w:p w14:paraId="10BB3647" w14:textId="42165424" w:rsidR="00C70816" w:rsidRPr="0028226B" w:rsidRDefault="00C70816" w:rsidP="00C70816">
      <w:pPr>
        <w:rPr>
          <w:rFonts w:ascii="Arial" w:hAnsi="Arial" w:cs="Arial"/>
          <w:sz w:val="24"/>
          <w:szCs w:val="24"/>
        </w:rPr>
      </w:pPr>
      <w:r w:rsidRPr="0028226B">
        <w:rPr>
          <w:rFonts w:ascii="Arial" w:hAnsi="Arial" w:cs="Arial"/>
          <w:noProof/>
          <w:sz w:val="24"/>
          <w:szCs w:val="24"/>
        </w:rPr>
        <w:drawing>
          <wp:inline distT="0" distB="0" distL="0" distR="0" wp14:anchorId="791E01C7" wp14:editId="2A5D1DD3">
            <wp:extent cx="6156960" cy="3200400"/>
            <wp:effectExtent l="0" t="0" r="0" b="0"/>
            <wp:docPr id="779868238" name="Wykres 3" descr="Wykres przedstawia odsetek osób uważających, że Fundusze Europejskie przyczyniają się do rozwoju Polski. Zaprezentowano sumę odpowiedzi „zdecydowanie tak” i „raczej tak” w latach 2015–2025.&#10;&#10;Wartości w kolejnych latach wynoszą:&#10;– 2015: 79%&#10;– 2016: 86%&#10;– 2017: 88%&#10;– 2018: 87%&#10;– 2019: 84%&#10;– 2020: 85%&#10;– 2021: 83%&#10;– 2022: 85%&#10;– 2023: 85%&#10;– 2024: 87%&#10;– 2025: 91%&#10;&#10;Trend pokazuje utrzymujący się przez dekadę bardzo wysoki poziom poparcia, z niewielkimi wahaniami między 83% a 88% oraz wyraźnym wzrostem w 2025 roku do poziomu najwyższego w całym badanym okresie – 91%."/>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r w:rsidR="5292FB2B" w:rsidRPr="0028226B">
        <w:rPr>
          <w:rFonts w:ascii="Arial" w:hAnsi="Arial" w:cs="Arial"/>
          <w:sz w:val="24"/>
          <w:szCs w:val="24"/>
        </w:rPr>
        <w:t xml:space="preserve"> </w:t>
      </w:r>
      <w:r w:rsidR="5292FB2B" w:rsidRPr="00672A70">
        <w:rPr>
          <w:rFonts w:ascii="Arial" w:hAnsi="Arial" w:cs="Arial"/>
          <w:sz w:val="24"/>
          <w:szCs w:val="24"/>
        </w:rPr>
        <w:t>Źródło: Opracowano na podstawie badania CAPI</w:t>
      </w:r>
      <w:r w:rsidR="00995031">
        <w:rPr>
          <w:rFonts w:ascii="Arial" w:hAnsi="Arial" w:cs="Arial"/>
          <w:sz w:val="24"/>
          <w:szCs w:val="24"/>
        </w:rPr>
        <w:t>; odpowiadający: znający określenie FE lub FU</w:t>
      </w:r>
    </w:p>
    <w:p w14:paraId="1976BE7A" w14:textId="77777777" w:rsidR="00B61ECA" w:rsidRPr="0028226B" w:rsidRDefault="4D4BA03D" w:rsidP="00C0187D">
      <w:pPr>
        <w:spacing w:line="360" w:lineRule="auto"/>
        <w:rPr>
          <w:rFonts w:ascii="Arial" w:hAnsi="Arial" w:cs="Arial"/>
          <w:sz w:val="24"/>
          <w:szCs w:val="24"/>
        </w:rPr>
      </w:pPr>
      <w:r w:rsidRPr="0028226B">
        <w:rPr>
          <w:rFonts w:ascii="Arial" w:hAnsi="Arial" w:cs="Arial"/>
          <w:sz w:val="24"/>
          <w:szCs w:val="24"/>
        </w:rPr>
        <w:t>W 2025 roku we wszystkich analizowanych grupach społeczno-demograficznych dominuje przekonanie, że Fundusze Europejskie przyczyniają się do rozwoju Polski. Najczęściej wybierano odpowiedź „raczej tak”, która utrzymuje się na poziomie około 56% w ujęciu ogólnym. Odpowiedź „zdecydowanie tak” wskazało średnio 35%, przy czym wyższe odsetki pojawiają się m.in. wśród osób w wieku 45–54 lata, mieszkańców największych miast oraz osób z wykształceniem zawodowym.</w:t>
      </w:r>
    </w:p>
    <w:p w14:paraId="7B761367" w14:textId="70570940" w:rsidR="00B61ECA" w:rsidRPr="0028226B" w:rsidRDefault="4D4BA03D" w:rsidP="00C0187D">
      <w:pPr>
        <w:spacing w:line="360" w:lineRule="auto"/>
        <w:rPr>
          <w:rFonts w:ascii="Arial" w:hAnsi="Arial" w:cs="Arial"/>
          <w:sz w:val="24"/>
          <w:szCs w:val="24"/>
        </w:rPr>
      </w:pPr>
      <w:r w:rsidRPr="0028226B">
        <w:rPr>
          <w:rFonts w:ascii="Arial" w:hAnsi="Arial" w:cs="Arial"/>
          <w:sz w:val="24"/>
          <w:szCs w:val="24"/>
        </w:rPr>
        <w:t xml:space="preserve">Oceny neutralne („ani tak, ani nie”) pozostają marginalne i nie przekraczają zazwyczaj kilku procent, choć są nieco częstsze w grupie 65+ oraz w małych i średnich miastach. Odpowiedzi negatywne („raczej nie”, „zdecydowanie nie”) </w:t>
      </w:r>
      <w:r w:rsidRPr="0028226B">
        <w:rPr>
          <w:rFonts w:ascii="Arial" w:hAnsi="Arial" w:cs="Arial"/>
          <w:sz w:val="24"/>
          <w:szCs w:val="24"/>
        </w:rPr>
        <w:lastRenderedPageBreak/>
        <w:t>pojawiają się sporadycznie – zwykle poniżej 1–2%. Odsetek osób, które nie potrafią określić swojego zdania, oscyluje wokół 2% i nie jest istotnie zróżnicowany między grupami.</w:t>
      </w:r>
    </w:p>
    <w:p w14:paraId="7BD34263" w14:textId="77777777" w:rsidR="00B61ECA" w:rsidRPr="0028226B" w:rsidRDefault="4D4BA03D" w:rsidP="00C0187D">
      <w:pPr>
        <w:spacing w:line="360" w:lineRule="auto"/>
        <w:rPr>
          <w:rFonts w:ascii="Arial" w:hAnsi="Arial" w:cs="Arial"/>
          <w:sz w:val="24"/>
          <w:szCs w:val="24"/>
        </w:rPr>
      </w:pPr>
      <w:r w:rsidRPr="0028226B">
        <w:rPr>
          <w:rFonts w:ascii="Arial" w:hAnsi="Arial" w:cs="Arial"/>
          <w:sz w:val="24"/>
          <w:szCs w:val="24"/>
        </w:rPr>
        <w:t>Ogólny obraz wskazuje na bardzo wysoką akceptację i powszechne przekonanie o pozytywnym wpływie Funduszy Europejskich na rozwój kraju, niezależnie od płci, wieku, wykształcenia czy wielkości miejscowości zamieszkania.</w:t>
      </w:r>
    </w:p>
    <w:p w14:paraId="016EFBA7" w14:textId="6B5B61EC" w:rsidR="00B61ECA" w:rsidRPr="004B75FE" w:rsidRDefault="00B61ECA" w:rsidP="00B61ECA">
      <w:pPr>
        <w:pStyle w:val="Legenda"/>
        <w:keepNext/>
        <w:rPr>
          <w:rFonts w:ascii="Arial" w:hAnsi="Arial" w:cs="Arial"/>
          <w:b/>
          <w:bCs/>
          <w:i w:val="0"/>
          <w:iCs w:val="0"/>
          <w:color w:val="000000" w:themeColor="text1"/>
          <w:sz w:val="24"/>
          <w:szCs w:val="24"/>
        </w:rPr>
      </w:pPr>
      <w:bookmarkStart w:id="37" w:name="_Toc219369249"/>
      <w:r w:rsidRPr="004B75FE">
        <w:rPr>
          <w:rFonts w:ascii="Arial" w:hAnsi="Arial" w:cs="Arial"/>
          <w:b/>
          <w:bCs/>
          <w:i w:val="0"/>
          <w:iCs w:val="0"/>
          <w:color w:val="000000" w:themeColor="text1"/>
          <w:sz w:val="24"/>
          <w:szCs w:val="24"/>
        </w:rPr>
        <w:t xml:space="preserve">Wykres </w:t>
      </w:r>
      <w:r w:rsidRPr="004B75FE">
        <w:rPr>
          <w:rFonts w:ascii="Arial" w:hAnsi="Arial" w:cs="Arial"/>
          <w:b/>
          <w:bCs/>
          <w:i w:val="0"/>
          <w:iCs w:val="0"/>
          <w:color w:val="000000" w:themeColor="text1"/>
          <w:sz w:val="24"/>
          <w:szCs w:val="24"/>
        </w:rPr>
        <w:fldChar w:fldCharType="begin"/>
      </w:r>
      <w:r w:rsidRPr="004B75FE">
        <w:rPr>
          <w:rFonts w:ascii="Arial" w:hAnsi="Arial" w:cs="Arial"/>
          <w:b/>
          <w:bCs/>
          <w:i w:val="0"/>
          <w:iCs w:val="0"/>
          <w:color w:val="000000" w:themeColor="text1"/>
          <w:sz w:val="24"/>
          <w:szCs w:val="24"/>
        </w:rPr>
        <w:instrText xml:space="preserve"> SEQ Wykres \* ARABIC </w:instrText>
      </w:r>
      <w:r w:rsidRPr="004B75FE">
        <w:rPr>
          <w:rFonts w:ascii="Arial" w:hAnsi="Arial" w:cs="Arial"/>
          <w:b/>
          <w:bCs/>
          <w:i w:val="0"/>
          <w:iCs w:val="0"/>
          <w:color w:val="000000" w:themeColor="text1"/>
          <w:sz w:val="24"/>
          <w:szCs w:val="24"/>
        </w:rPr>
        <w:fldChar w:fldCharType="separate"/>
      </w:r>
      <w:r w:rsidR="0055789E">
        <w:rPr>
          <w:rFonts w:ascii="Arial" w:hAnsi="Arial" w:cs="Arial"/>
          <w:b/>
          <w:bCs/>
          <w:i w:val="0"/>
          <w:iCs w:val="0"/>
          <w:noProof/>
          <w:color w:val="000000" w:themeColor="text1"/>
          <w:sz w:val="24"/>
          <w:szCs w:val="24"/>
        </w:rPr>
        <w:t>23</w:t>
      </w:r>
      <w:r w:rsidRPr="004B75FE">
        <w:rPr>
          <w:rFonts w:ascii="Arial" w:hAnsi="Arial" w:cs="Arial"/>
          <w:b/>
          <w:bCs/>
          <w:i w:val="0"/>
          <w:iCs w:val="0"/>
          <w:color w:val="000000" w:themeColor="text1"/>
          <w:sz w:val="24"/>
          <w:szCs w:val="24"/>
        </w:rPr>
        <w:fldChar w:fldCharType="end"/>
      </w:r>
      <w:r w:rsidRPr="004B75FE">
        <w:rPr>
          <w:rFonts w:ascii="Arial" w:hAnsi="Arial" w:cs="Arial"/>
          <w:b/>
          <w:bCs/>
          <w:i w:val="0"/>
          <w:iCs w:val="0"/>
          <w:color w:val="000000" w:themeColor="text1"/>
          <w:sz w:val="24"/>
          <w:szCs w:val="24"/>
        </w:rPr>
        <w:t xml:space="preserve">. </w:t>
      </w:r>
      <w:r w:rsidR="00B51620" w:rsidRPr="004B75FE">
        <w:rPr>
          <w:rFonts w:ascii="Arial" w:hAnsi="Arial" w:cs="Arial"/>
          <w:b/>
          <w:bCs/>
          <w:i w:val="0"/>
          <w:iCs w:val="0"/>
          <w:color w:val="000000" w:themeColor="text1"/>
          <w:sz w:val="24"/>
          <w:szCs w:val="24"/>
        </w:rPr>
        <w:t xml:space="preserve">P9. Jak Pan(i) sądzi, czy Fundusze Europejskie przyczyniają się do rozwoju </w:t>
      </w:r>
      <w:proofErr w:type="gramStart"/>
      <w:r w:rsidR="00B51620" w:rsidRPr="004B75FE">
        <w:rPr>
          <w:rFonts w:ascii="Arial" w:hAnsi="Arial" w:cs="Arial"/>
          <w:b/>
          <w:bCs/>
          <w:i w:val="0"/>
          <w:iCs w:val="0"/>
          <w:color w:val="000000" w:themeColor="text1"/>
          <w:sz w:val="24"/>
          <w:szCs w:val="24"/>
        </w:rPr>
        <w:t>Polski?</w:t>
      </w:r>
      <w:r w:rsidRPr="004B75FE">
        <w:rPr>
          <w:rFonts w:ascii="Arial" w:hAnsi="Arial" w:cs="Arial"/>
          <w:b/>
          <w:bCs/>
          <w:i w:val="0"/>
          <w:iCs w:val="0"/>
          <w:color w:val="000000" w:themeColor="text1"/>
          <w:sz w:val="24"/>
          <w:szCs w:val="24"/>
        </w:rPr>
        <w:t>–</w:t>
      </w:r>
      <w:proofErr w:type="gramEnd"/>
      <w:r w:rsidRPr="004B75FE">
        <w:rPr>
          <w:rFonts w:ascii="Arial" w:hAnsi="Arial" w:cs="Arial"/>
          <w:b/>
          <w:bCs/>
          <w:i w:val="0"/>
          <w:iCs w:val="0"/>
          <w:color w:val="000000" w:themeColor="text1"/>
          <w:sz w:val="24"/>
          <w:szCs w:val="24"/>
        </w:rPr>
        <w:t xml:space="preserve"> wyniki według grup społeczno-demograficznych</w:t>
      </w:r>
      <w:r w:rsidR="007873B7">
        <w:rPr>
          <w:rFonts w:ascii="Arial" w:hAnsi="Arial" w:cs="Arial"/>
          <w:b/>
          <w:bCs/>
          <w:i w:val="0"/>
          <w:iCs w:val="0"/>
          <w:color w:val="000000" w:themeColor="text1"/>
          <w:sz w:val="24"/>
          <w:szCs w:val="24"/>
        </w:rPr>
        <w:t xml:space="preserve"> (N=955)</w:t>
      </w:r>
      <w:bookmarkEnd w:id="37"/>
    </w:p>
    <w:p w14:paraId="129F95A6" w14:textId="0F3CBEC0" w:rsidR="00996996" w:rsidRPr="0028226B" w:rsidRDefault="00996996" w:rsidP="00F143B2">
      <w:pPr>
        <w:rPr>
          <w:rFonts w:ascii="Arial" w:hAnsi="Arial" w:cs="Arial"/>
          <w:sz w:val="24"/>
          <w:szCs w:val="24"/>
        </w:rPr>
      </w:pPr>
      <w:r w:rsidRPr="0028226B">
        <w:rPr>
          <w:rFonts w:ascii="Arial" w:hAnsi="Arial" w:cs="Arial"/>
          <w:noProof/>
          <w:sz w:val="24"/>
          <w:szCs w:val="24"/>
        </w:rPr>
        <w:drawing>
          <wp:inline distT="0" distB="0" distL="0" distR="0" wp14:anchorId="286E7D21" wp14:editId="331D8220">
            <wp:extent cx="5806440" cy="5135880"/>
            <wp:effectExtent l="0" t="0" r="3810" b="0"/>
            <wp:docPr id="340271342" name="Wykres 5" descr="Wykres przedstawia rozkład odpowiedzi na pytanie:&#10;„Czy Fundusze Europejskie przyczyniają się do rozwoju Polski?”&#10;Wyniki podano ogółem oraz według płci, wieku, wykształcenia i wielkości miejsca zamieszkania. Kategorie odpowiedzi to: „zdecydowanie tak”, „raczej tak”, „ani tak, ani nie”, „raczej nie”, „zdecydowanie nie” oraz „nie wiem / trudno powiedzieć”.&#10;&#10;Wyniki ogółem&#10;&#10;– zdecydowanie tak: 35%&#10;– raczej tak: 56%&#10;– ani tak, ani nie: 6%&#10;– raczej nie: 2%&#10;– zdecydowanie nie: 1%&#10;– nie wiem: 1%&#10;&#10;Płeć&#10;&#10;Kobiety: 35% zdecydowanie tak, 55% raczej tak, 6% ani tak, ani nie, 2% raczej nie, 1% zdecydowanie nie, 1% nie wiem.&#10;Mężczyźni: 36% zdecydowanie tak, 55% raczej tak, 6% ani tak, ani nie, 2% raczej nie, 1% zdecydowanie nie, 1% nie wiem.&#10;&#10;Wiek&#10;&#10;– 15–19 lat: 41% zdecydowanie tak, 54% raczej tak, 2% ani tak, ani nie, 3% raczej nie, &lt;1% nie wiem.&#10;– 20–24 lata: 39% zdecydowanie tak, 54% raczej tak, 6% ani tak, ani nie, 1% raczej nie.&#10;– 25–34 lata: 36% zdecydowanie tak, 60% raczej tak, 4% ani tak, ani nie.&#10;– 35–44 lata: 34% zdecydowanie tak, 60% raczej tak, 4% ani tak, ani nie, 1% raczej nie.&#10;– 45–54 lata: 30% zdecydowanie tak, 60% raczej tak, 6% ani tak, ani nie, 3% raczej nie, 1% nie wiem.&#10;– 55–64 lata: 43% zdecydowanie tak, 52% raczej tak, 3% ani tak, ani nie, 1% raczej nie, &lt;1% zdecydowanie nie.&#10;– 65+: 34% zdecydowanie tak, 59% raczej tak, 4% ani tak, ani nie, 1% raczej nie, 2% nie wiem.&#10;&#10;Wykształcenie&#10;&#10;– wyższe: 33% zdecydowanie tak, 58% raczej tak, 6% ani tak, ani nie, 2% raczej nie, 1% nie wiem.&#10;– średnie: 34% zdecydowanie tak, 60% raczej tak, 4% ani tak, ani nie, 1% raczej nie, 1% nie wiem.&#10;– zawodowe: 41% zdecydowanie tak, 51% raczej tak, 6% ani tak, ani nie, 1% raczej nie, 1% nie wiem.&#10;– podstawowe: 36% zdecydowanie tak, 56% raczej tak, 6% ani tak, ani nie, 2% raczej nie.&#10;&#10;Wielkość miejscowości&#10;&#10;– wieś: 34% zdecydowanie tak, 60% raczej tak, 4% ani tak, ani nie, 1% raczej nie, 1% nie wiem.&#10;– miasta do 20 tys.: 43% zdecydowanie tak, 52% raczej tak, 3% ani tak, ani nie, 1% raczej nie.&#10;– 20–49 tys.: 38% zdecydowanie tak, 57% raczej tak, 4% ani tak, ani nie, 1% raczej nie.&#10;– 50–199 tys.: 30% zdecydowanie tak, 61% raczej tak, 6% ani tak, ani nie, 1% raczej nie, 1% nie wiem.&#10;– 200–499 tys.: 43% zdecydowanie tak, 44% raczej tak, 7% ani tak, ani nie, 3% raczej nie, 2% nie wiem.&#10;– 500+ tys.: 40% zdecydowanie tak, 52% raczej tak, 5% ani tak, ani nie, 1% raczej nie, 1% nie wiem."/>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77832CBD" w14:textId="55C120F2" w:rsidR="00996996" w:rsidRPr="00672A70" w:rsidRDefault="00996996" w:rsidP="00F143B2">
      <w:pPr>
        <w:rPr>
          <w:rFonts w:ascii="Arial" w:hAnsi="Arial" w:cs="Arial"/>
          <w:sz w:val="24"/>
          <w:szCs w:val="24"/>
        </w:rPr>
      </w:pPr>
      <w:r w:rsidRPr="00672A70">
        <w:rPr>
          <w:rFonts w:ascii="Arial" w:hAnsi="Arial" w:cs="Arial"/>
          <w:sz w:val="24"/>
          <w:szCs w:val="24"/>
        </w:rPr>
        <w:t>Źródło: Opracowano na podstawie badania CAPI</w:t>
      </w:r>
      <w:r w:rsidR="00995031">
        <w:rPr>
          <w:rFonts w:ascii="Arial" w:hAnsi="Arial" w:cs="Arial"/>
          <w:sz w:val="24"/>
          <w:szCs w:val="24"/>
        </w:rPr>
        <w:t>; odpowiadający: znający określenie FE lub FU</w:t>
      </w:r>
    </w:p>
    <w:p w14:paraId="420E57F0" w14:textId="50D2D266" w:rsidR="00B61ECA" w:rsidRPr="0028226B" w:rsidRDefault="4D4BA03D" w:rsidP="00C0187D">
      <w:pPr>
        <w:spacing w:line="360" w:lineRule="auto"/>
        <w:rPr>
          <w:rFonts w:ascii="Arial" w:hAnsi="Arial" w:cs="Arial"/>
          <w:sz w:val="24"/>
          <w:szCs w:val="24"/>
        </w:rPr>
      </w:pPr>
      <w:r w:rsidRPr="0028226B">
        <w:rPr>
          <w:rFonts w:ascii="Arial" w:hAnsi="Arial" w:cs="Arial"/>
          <w:sz w:val="24"/>
          <w:szCs w:val="24"/>
        </w:rPr>
        <w:t>Poziom poparcia dla tezy, że Fundusze Europejskie są niezbędne do dalszego rozwoju Polski, utrzymuje się na umiarkowanie wysokim poziomie i wynosi 46%. Przeciwnego zdania jest 15% badanych, natomiast 3</w:t>
      </w:r>
      <w:r w:rsidR="002F5B21">
        <w:rPr>
          <w:rFonts w:ascii="Arial" w:hAnsi="Arial" w:cs="Arial"/>
          <w:sz w:val="24"/>
          <w:szCs w:val="24"/>
        </w:rPr>
        <w:t>9</w:t>
      </w:r>
      <w:r w:rsidRPr="0028226B">
        <w:rPr>
          <w:rFonts w:ascii="Arial" w:hAnsi="Arial" w:cs="Arial"/>
          <w:sz w:val="24"/>
          <w:szCs w:val="24"/>
        </w:rPr>
        <w:t xml:space="preserve">% nie potrafi jednoznacznie </w:t>
      </w:r>
      <w:r w:rsidRPr="0028226B">
        <w:rPr>
          <w:rFonts w:ascii="Arial" w:hAnsi="Arial" w:cs="Arial"/>
          <w:sz w:val="24"/>
          <w:szCs w:val="24"/>
        </w:rPr>
        <w:lastRenderedPageBreak/>
        <w:t>ocenić roli funduszy. Struktura odpowiedzi jest dość stabilna w większości analizowanych grup.</w:t>
      </w:r>
    </w:p>
    <w:p w14:paraId="3B50637C" w14:textId="399689B7" w:rsidR="00B61ECA" w:rsidRPr="0028226B" w:rsidRDefault="4D4BA03D" w:rsidP="00C0187D">
      <w:pPr>
        <w:spacing w:line="360" w:lineRule="auto"/>
        <w:rPr>
          <w:rFonts w:ascii="Arial" w:hAnsi="Arial" w:cs="Arial"/>
          <w:sz w:val="24"/>
          <w:szCs w:val="24"/>
        </w:rPr>
      </w:pPr>
      <w:r w:rsidRPr="0028226B">
        <w:rPr>
          <w:rFonts w:ascii="Arial" w:hAnsi="Arial" w:cs="Arial"/>
          <w:sz w:val="24"/>
          <w:szCs w:val="24"/>
        </w:rPr>
        <w:t>Z perspektywy płci wyniki kobiet i mężczyzn są bardzo zbliżone, co wskazuje, że postrzeganie znaczenia funduszy jest w tym przypadku niezależne od płci. Nie</w:t>
      </w:r>
      <w:r w:rsidR="00CB4C10">
        <w:rPr>
          <w:rFonts w:ascii="Arial" w:hAnsi="Arial" w:cs="Arial"/>
          <w:sz w:val="24"/>
          <w:szCs w:val="24"/>
        </w:rPr>
        <w:t>znacznie</w:t>
      </w:r>
      <w:r w:rsidRPr="0028226B">
        <w:rPr>
          <w:rFonts w:ascii="Arial" w:hAnsi="Arial" w:cs="Arial"/>
          <w:sz w:val="24"/>
          <w:szCs w:val="24"/>
        </w:rPr>
        <w:t xml:space="preserve"> większe różnice pojawiają się w podziale według wieku. W najmłodszej grupie (15–19 lat) częściej niż przeciętnie pojawia się odpowiedź „nie” (22%), co może wynikać z niższej wiedzy o mechanizmach finansowania publicznego. W grupie 20–24 lata wyraźnie rośnie odsetek osób niezdecydowanych (4</w:t>
      </w:r>
      <w:r w:rsidR="002F5B21">
        <w:rPr>
          <w:rFonts w:ascii="Arial" w:hAnsi="Arial" w:cs="Arial"/>
          <w:sz w:val="24"/>
          <w:szCs w:val="24"/>
        </w:rPr>
        <w:t>6</w:t>
      </w:r>
      <w:r w:rsidRPr="0028226B">
        <w:rPr>
          <w:rFonts w:ascii="Arial" w:hAnsi="Arial" w:cs="Arial"/>
          <w:sz w:val="24"/>
          <w:szCs w:val="24"/>
        </w:rPr>
        <w:t>%), co wskazuje na etap kształtowania opinii. W grupach średnich i starszych przeważa stabilny poziom odpowiedzi „tak”, mieszczący się w przedziale od 43% do 49%.</w:t>
      </w:r>
    </w:p>
    <w:p w14:paraId="160568F6" w14:textId="7B53F730" w:rsidR="00B61ECA" w:rsidRPr="0028226B" w:rsidRDefault="4D4BA03D" w:rsidP="00C0187D">
      <w:pPr>
        <w:spacing w:line="360" w:lineRule="auto"/>
        <w:rPr>
          <w:rFonts w:ascii="Arial" w:hAnsi="Arial" w:cs="Arial"/>
          <w:sz w:val="24"/>
          <w:szCs w:val="24"/>
        </w:rPr>
      </w:pPr>
      <w:r w:rsidRPr="0028226B">
        <w:rPr>
          <w:rFonts w:ascii="Arial" w:hAnsi="Arial" w:cs="Arial"/>
          <w:sz w:val="24"/>
          <w:szCs w:val="24"/>
        </w:rPr>
        <w:t>Wykształcenie nie generuje istotnych różnic — nawet wśród osób z wykształceniem wyższym udział odpowiedzi „tak” (4</w:t>
      </w:r>
      <w:r w:rsidR="002F5B21">
        <w:rPr>
          <w:rFonts w:ascii="Arial" w:hAnsi="Arial" w:cs="Arial"/>
          <w:sz w:val="24"/>
          <w:szCs w:val="24"/>
        </w:rPr>
        <w:t>3</w:t>
      </w:r>
      <w:r w:rsidRPr="0028226B">
        <w:rPr>
          <w:rFonts w:ascii="Arial" w:hAnsi="Arial" w:cs="Arial"/>
          <w:sz w:val="24"/>
          <w:szCs w:val="24"/>
        </w:rPr>
        <w:t>%) jest zbliżony do średniej. Najbardziej przekonane o niezbędności funduszy są osoby z wykształceniem zawodowym (54%), natomiast w grupie z wykształceniem podstawowym dominuje niepewność (4</w:t>
      </w:r>
      <w:r w:rsidR="002F5B21">
        <w:rPr>
          <w:rFonts w:ascii="Arial" w:hAnsi="Arial" w:cs="Arial"/>
          <w:sz w:val="24"/>
          <w:szCs w:val="24"/>
        </w:rPr>
        <w:t>4</w:t>
      </w:r>
      <w:r w:rsidRPr="0028226B">
        <w:rPr>
          <w:rFonts w:ascii="Arial" w:hAnsi="Arial" w:cs="Arial"/>
          <w:sz w:val="24"/>
          <w:szCs w:val="24"/>
        </w:rPr>
        <w:t>%).</w:t>
      </w:r>
    </w:p>
    <w:p w14:paraId="689861D5" w14:textId="14B75035" w:rsidR="00B61ECA" w:rsidRPr="0028226B" w:rsidRDefault="4D4BA03D" w:rsidP="00C0187D">
      <w:pPr>
        <w:spacing w:line="360" w:lineRule="auto"/>
        <w:rPr>
          <w:rFonts w:ascii="Arial" w:hAnsi="Arial" w:cs="Arial"/>
          <w:sz w:val="24"/>
          <w:szCs w:val="24"/>
        </w:rPr>
      </w:pPr>
      <w:r w:rsidRPr="0028226B">
        <w:rPr>
          <w:rFonts w:ascii="Arial" w:hAnsi="Arial" w:cs="Arial"/>
          <w:sz w:val="24"/>
          <w:szCs w:val="24"/>
        </w:rPr>
        <w:t>Wśród mieszkańców obszarów wiejskich oraz małych i średnich miast oceny funduszy mieszczą się w granicach średniej. Najbardziej przekonani są mieszkańcy najmniejszych ośrodków (do 20 tys. mieszkańców), gdzie odpowiedzi „tak” sięgają 5</w:t>
      </w:r>
      <w:r w:rsidR="009420DD">
        <w:rPr>
          <w:rFonts w:ascii="Arial" w:hAnsi="Arial" w:cs="Arial"/>
          <w:sz w:val="24"/>
          <w:szCs w:val="24"/>
        </w:rPr>
        <w:t>2</w:t>
      </w:r>
      <w:r w:rsidRPr="0028226B">
        <w:rPr>
          <w:rFonts w:ascii="Arial" w:hAnsi="Arial" w:cs="Arial"/>
          <w:sz w:val="24"/>
          <w:szCs w:val="24"/>
        </w:rPr>
        <w:t>%. Z kolei w miastach 200–499 tys. częściej niż gdzie indziej pojawiają się odpowiedzi „nie” (22%), co może wiązać się z inną perspektywą świadczeń i inwestycji lokalnych. Niezależnie jednak od miejsca zamieszkania, odsetek osób niezdecydowanych pozostaje wysoki i najczęściej mieści się w przedziale od 34% do 41%.</w:t>
      </w:r>
    </w:p>
    <w:p w14:paraId="38EE189F" w14:textId="77777777" w:rsidR="00B61ECA" w:rsidRPr="0028226B" w:rsidRDefault="4D4BA03D" w:rsidP="00C0187D">
      <w:pPr>
        <w:spacing w:line="360" w:lineRule="auto"/>
        <w:rPr>
          <w:rFonts w:ascii="Arial" w:hAnsi="Arial" w:cs="Arial"/>
          <w:sz w:val="24"/>
          <w:szCs w:val="24"/>
        </w:rPr>
      </w:pPr>
      <w:r w:rsidRPr="0028226B">
        <w:rPr>
          <w:rFonts w:ascii="Arial" w:hAnsi="Arial" w:cs="Arial"/>
          <w:sz w:val="24"/>
          <w:szCs w:val="24"/>
        </w:rPr>
        <w:t>Ogólny obraz wyników wskazuje, że choć prawie połowa respondentów uważa Fundusze Europejskie za niezbędne dla rozwoju kraju, równie istotna część badanych ma trudność z wyrażeniem jednoznacznej opinii, a zdecydowany sprzeciw jest stosunkowo rzadki.</w:t>
      </w:r>
    </w:p>
    <w:p w14:paraId="21336959" w14:textId="218DC264" w:rsidR="00B61ECA" w:rsidRPr="0028226B" w:rsidRDefault="00B61ECA" w:rsidP="00B61ECA">
      <w:pPr>
        <w:pStyle w:val="Legenda"/>
        <w:keepNext/>
        <w:rPr>
          <w:rFonts w:ascii="Arial" w:hAnsi="Arial" w:cs="Arial"/>
          <w:b/>
          <w:bCs/>
          <w:i w:val="0"/>
          <w:iCs w:val="0"/>
          <w:color w:val="auto"/>
          <w:sz w:val="24"/>
          <w:szCs w:val="24"/>
        </w:rPr>
      </w:pPr>
      <w:bookmarkStart w:id="38" w:name="_Toc219369250"/>
      <w:r w:rsidRPr="0028226B">
        <w:rPr>
          <w:rFonts w:ascii="Arial" w:hAnsi="Arial" w:cs="Arial"/>
          <w:b/>
          <w:bCs/>
          <w:i w:val="0"/>
          <w:iCs w:val="0"/>
          <w:color w:val="auto"/>
          <w:sz w:val="24"/>
          <w:szCs w:val="24"/>
        </w:rPr>
        <w:lastRenderedPageBreak/>
        <w:t xml:space="preserve">Wykres </w:t>
      </w:r>
      <w:r w:rsidRPr="0028226B">
        <w:rPr>
          <w:rFonts w:ascii="Arial" w:hAnsi="Arial" w:cs="Arial"/>
          <w:b/>
          <w:bCs/>
          <w:i w:val="0"/>
          <w:iCs w:val="0"/>
          <w:color w:val="auto"/>
          <w:sz w:val="24"/>
          <w:szCs w:val="24"/>
        </w:rPr>
        <w:fldChar w:fldCharType="begin"/>
      </w:r>
      <w:r w:rsidRPr="0028226B">
        <w:rPr>
          <w:rFonts w:ascii="Arial" w:hAnsi="Arial" w:cs="Arial"/>
          <w:b/>
          <w:bCs/>
          <w:i w:val="0"/>
          <w:iCs w:val="0"/>
          <w:color w:val="auto"/>
          <w:sz w:val="24"/>
          <w:szCs w:val="24"/>
        </w:rPr>
        <w:instrText xml:space="preserve"> SEQ Wykres \* ARABIC </w:instrText>
      </w:r>
      <w:r w:rsidRPr="0028226B">
        <w:rPr>
          <w:rFonts w:ascii="Arial" w:hAnsi="Arial" w:cs="Arial"/>
          <w:b/>
          <w:bCs/>
          <w:i w:val="0"/>
          <w:iCs w:val="0"/>
          <w:color w:val="auto"/>
          <w:sz w:val="24"/>
          <w:szCs w:val="24"/>
        </w:rPr>
        <w:fldChar w:fldCharType="separate"/>
      </w:r>
      <w:r w:rsidR="0055789E">
        <w:rPr>
          <w:rFonts w:ascii="Arial" w:hAnsi="Arial" w:cs="Arial"/>
          <w:b/>
          <w:bCs/>
          <w:i w:val="0"/>
          <w:iCs w:val="0"/>
          <w:noProof/>
          <w:color w:val="auto"/>
          <w:sz w:val="24"/>
          <w:szCs w:val="24"/>
        </w:rPr>
        <w:t>24</w:t>
      </w:r>
      <w:r w:rsidRPr="0028226B">
        <w:rPr>
          <w:rFonts w:ascii="Arial" w:hAnsi="Arial" w:cs="Arial"/>
          <w:b/>
          <w:bCs/>
          <w:i w:val="0"/>
          <w:iCs w:val="0"/>
          <w:color w:val="auto"/>
          <w:sz w:val="24"/>
          <w:szCs w:val="24"/>
        </w:rPr>
        <w:fldChar w:fldCharType="end"/>
      </w:r>
      <w:r w:rsidRPr="0028226B">
        <w:rPr>
          <w:rFonts w:ascii="Arial" w:hAnsi="Arial" w:cs="Arial"/>
          <w:b/>
          <w:bCs/>
          <w:i w:val="0"/>
          <w:iCs w:val="0"/>
          <w:color w:val="auto"/>
          <w:sz w:val="24"/>
          <w:szCs w:val="24"/>
        </w:rPr>
        <w:t xml:space="preserve">. </w:t>
      </w:r>
      <w:r w:rsidR="006D4E59" w:rsidRPr="0028226B">
        <w:rPr>
          <w:rFonts w:ascii="Arial" w:hAnsi="Arial" w:cs="Arial"/>
          <w:b/>
          <w:bCs/>
          <w:i w:val="0"/>
          <w:iCs w:val="0"/>
          <w:color w:val="auto"/>
          <w:sz w:val="24"/>
          <w:szCs w:val="24"/>
        </w:rPr>
        <w:t xml:space="preserve">P11N. Czy uważa Pan(i), że Fundusze Europejskie są niezbędne do dalszego rozwoju </w:t>
      </w:r>
      <w:proofErr w:type="gramStart"/>
      <w:r w:rsidR="006D4E59" w:rsidRPr="0028226B">
        <w:rPr>
          <w:rFonts w:ascii="Arial" w:hAnsi="Arial" w:cs="Arial"/>
          <w:b/>
          <w:bCs/>
          <w:i w:val="0"/>
          <w:iCs w:val="0"/>
          <w:color w:val="auto"/>
          <w:sz w:val="24"/>
          <w:szCs w:val="24"/>
        </w:rPr>
        <w:t>Polski?</w:t>
      </w:r>
      <w:r w:rsidRPr="0028226B">
        <w:rPr>
          <w:rFonts w:ascii="Arial" w:hAnsi="Arial" w:cs="Arial"/>
          <w:b/>
          <w:bCs/>
          <w:i w:val="0"/>
          <w:iCs w:val="0"/>
          <w:color w:val="auto"/>
          <w:sz w:val="24"/>
          <w:szCs w:val="24"/>
        </w:rPr>
        <w:t>–</w:t>
      </w:r>
      <w:proofErr w:type="gramEnd"/>
      <w:r w:rsidRPr="0028226B">
        <w:rPr>
          <w:rFonts w:ascii="Arial" w:hAnsi="Arial" w:cs="Arial"/>
          <w:b/>
          <w:bCs/>
          <w:i w:val="0"/>
          <w:iCs w:val="0"/>
          <w:color w:val="auto"/>
          <w:sz w:val="24"/>
          <w:szCs w:val="24"/>
        </w:rPr>
        <w:t xml:space="preserve"> według cech demograficznych</w:t>
      </w:r>
      <w:r w:rsidR="006D4E59" w:rsidRPr="0028226B">
        <w:rPr>
          <w:rFonts w:ascii="Arial" w:hAnsi="Arial" w:cs="Arial"/>
          <w:b/>
          <w:bCs/>
          <w:i w:val="0"/>
          <w:iCs w:val="0"/>
          <w:color w:val="auto"/>
          <w:sz w:val="24"/>
          <w:szCs w:val="24"/>
        </w:rPr>
        <w:t xml:space="preserve"> oraz ogółem</w:t>
      </w:r>
      <w:bookmarkEnd w:id="38"/>
    </w:p>
    <w:p w14:paraId="4C5D5027" w14:textId="77777777" w:rsidR="00B61ECA" w:rsidRPr="0028226B" w:rsidRDefault="00B61ECA" w:rsidP="00090479">
      <w:pPr>
        <w:spacing w:after="0"/>
        <w:rPr>
          <w:rFonts w:ascii="Arial" w:hAnsi="Arial" w:cs="Arial"/>
          <w:sz w:val="24"/>
          <w:szCs w:val="24"/>
        </w:rPr>
      </w:pPr>
      <w:r w:rsidRPr="0028226B">
        <w:rPr>
          <w:rFonts w:ascii="Arial" w:hAnsi="Arial" w:cs="Arial"/>
          <w:noProof/>
          <w:sz w:val="24"/>
          <w:szCs w:val="24"/>
        </w:rPr>
        <w:drawing>
          <wp:inline distT="0" distB="0" distL="0" distR="0" wp14:anchorId="3E6431BF" wp14:editId="75EA0D90">
            <wp:extent cx="5486400" cy="4625340"/>
            <wp:effectExtent l="0" t="0" r="0" b="0"/>
            <wp:docPr id="1373044316" name="Wykres 5" descr="Wykres przedstawia odpowiedzi na pytanie:&#10;„Czy uważa Pan(i), że Fundusze Europejskie są niezbędne do dalszego rozwoju Polski?”&#10;Dane zaprezentowano ogółem oraz według cech demograficznych: płci, wieku, wykształcenia i wielkości miejscowości zamieszkania. Odpowiedzi podano w trzech kategoriach: „tak”, „nie” oraz „nie wiem”.&#10;&#10;Wyniki ogółem&#10;&#10;– tak: 46,1%&#10;– nie: 15,3%&#10;– nie wiem: 38,6%&#10;&#10;Płeć&#10;&#10;Kobiety: tak 46,1%, nie 14,2%, nie wiem 39,7%&#10;Mężczyźni: tak 46,1%, nie 16,2%, nie wiem 37,6%&#10;&#10;Wiek&#10;&#10;– 15–19 lat: tak 47,5%, nie 6,6%, nie wiem 45,9%&#10;– 20–24 lata: tak 47,5%, nie 6,6%, nie wiem 45,9%&#10;– 25–34 lata: tak 44,2%, nie 17,0%, nie wiem 38,8%&#10;– 35–44 lata: tak 49,0%, nie 14,1%, nie wiem 37,0%&#10;– 45–54 lata: tak 46,3%, nie 13,4%, nie wiem 40,3%&#10;– 55–64 lata: tak 43,3%, nie 13,8%, nie wiem 43,0%&#10;– 65+: tak 46,9%, nie 14,9%, nie wiem 38,2%&#10;&#10;Wykształcenie&#10;&#10;– wyższe: tak 42,9%, nie 14,2%, nie wiem 42,9%&#10;– średnie: tak 43,2%, nie 18,5%, nie wiem 38,3%&#10;– zawodowe: tak 54,4%, nie 13,8%, nie wiem 31,8%&#10;– podstawowe: tak 44,5%, nie 11,8%, nie wiem 43,7%&#10;&#10;Miejsce zamieszkania&#10;&#10;– wieś: tak 45,1%, nie 16,0%, nie wiem 38,8%&#10;– miasta do 20 tys.: tak 51,6%, nie 12,3%, nie wiem 36,1%&#10;– 20–49 tys.: tak 48,7%, nie 14,0%, nie wiem 37,3%&#10;– 50–199 tys.: tak 44,8%, nie 14,0%, nie wiem 41,3%&#10;– 200–499 tys.: tak 43,2%, nie 22,2%, nie wiem 34,6%&#10;– 500+ tys.: tak 43,4%, nie 15,7%, nie wiem 40,0%&#10;&#10;Źródło: opracowano na podstawie badania CAPI."/>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32D8B352" w14:textId="5791B211" w:rsidR="00B61ECA" w:rsidRPr="00672A70" w:rsidRDefault="4D4BA03D" w:rsidP="00B61ECA">
      <w:pPr>
        <w:spacing w:before="240"/>
        <w:rPr>
          <w:rFonts w:ascii="Arial" w:hAnsi="Arial" w:cs="Arial"/>
          <w:sz w:val="24"/>
          <w:szCs w:val="24"/>
        </w:rPr>
      </w:pPr>
      <w:r w:rsidRPr="00672A70">
        <w:rPr>
          <w:rFonts w:ascii="Arial" w:hAnsi="Arial" w:cs="Arial"/>
          <w:sz w:val="24"/>
          <w:szCs w:val="24"/>
        </w:rPr>
        <w:t>Źródło: Opracowano na podstawie badania CAPI</w:t>
      </w:r>
      <w:r w:rsidR="00995031">
        <w:rPr>
          <w:rFonts w:ascii="Arial" w:hAnsi="Arial" w:cs="Arial"/>
          <w:sz w:val="24"/>
          <w:szCs w:val="24"/>
        </w:rPr>
        <w:t>; odpowiadający: znający określenie FE lub FU</w:t>
      </w:r>
    </w:p>
    <w:p w14:paraId="7BE105EC" w14:textId="429C1B1A" w:rsidR="005A7F01" w:rsidRPr="005A7F01" w:rsidRDefault="005A7F01" w:rsidP="00C0187D">
      <w:pPr>
        <w:spacing w:line="360" w:lineRule="auto"/>
        <w:rPr>
          <w:rFonts w:ascii="Arial" w:hAnsi="Arial" w:cs="Arial"/>
          <w:sz w:val="24"/>
          <w:szCs w:val="24"/>
        </w:rPr>
      </w:pPr>
      <w:r w:rsidRPr="005A7F01">
        <w:rPr>
          <w:rFonts w:ascii="Arial" w:hAnsi="Arial" w:cs="Arial"/>
          <w:sz w:val="24"/>
          <w:szCs w:val="24"/>
        </w:rPr>
        <w:t xml:space="preserve">Rozkład odpowiedzi w pytaniu spontanicznym pokazuje, </w:t>
      </w:r>
      <w:r w:rsidRPr="00852A90">
        <w:rPr>
          <w:rFonts w:ascii="Arial" w:hAnsi="Arial" w:cs="Arial"/>
          <w:sz w:val="24"/>
          <w:szCs w:val="24"/>
        </w:rPr>
        <w:t>jakie grupy społeczne respondenci najczęściej wskazywali jako te, które – ich zdaniem – najbardziej zyskały dzięki Funduszom Europejskim</w:t>
      </w:r>
      <w:r w:rsidRPr="005A7F01">
        <w:rPr>
          <w:rFonts w:ascii="Arial" w:hAnsi="Arial" w:cs="Arial"/>
          <w:sz w:val="24"/>
          <w:szCs w:val="24"/>
        </w:rPr>
        <w:t>. Najczęściej wymieniane były grupy związane z edukacją i rozwojem młodych osób. Uczniowie, dzieci, młodzież i studenci stanowią 15% wszystkich wskazań, co czyni ich najczęściej wskazywaną grupą beneficjentów Funduszy Europejskich. Na kolejnych miejscach pojawiają się przedsiębiorcy i firmy (12%) oraz samorządy i społeczności lokalne (11%), co odzwierciedla powszechne przekonanie o kluczowej roli funduszy w modernizacji infrastruktury i wsparciu gospodarki.</w:t>
      </w:r>
    </w:p>
    <w:p w14:paraId="02AD1B4F" w14:textId="77777777" w:rsidR="005A7F01" w:rsidRPr="005A7F01" w:rsidRDefault="005A7F01" w:rsidP="00C0187D">
      <w:pPr>
        <w:spacing w:line="360" w:lineRule="auto"/>
        <w:rPr>
          <w:rFonts w:ascii="Arial" w:hAnsi="Arial" w:cs="Arial"/>
          <w:sz w:val="24"/>
          <w:szCs w:val="24"/>
        </w:rPr>
      </w:pPr>
      <w:r w:rsidRPr="005A7F01">
        <w:rPr>
          <w:rFonts w:ascii="Arial" w:hAnsi="Arial" w:cs="Arial"/>
          <w:sz w:val="24"/>
          <w:szCs w:val="24"/>
        </w:rPr>
        <w:t xml:space="preserve">Niemal co dziesiąty respondent spontanicznie wskazuje ogólnie społeczeństwo lub „wszystkich po trochu”, co sugeruje postrzeganie funduszy jako korzyści o szerokim i </w:t>
      </w:r>
      <w:r w:rsidRPr="005A7F01">
        <w:rPr>
          <w:rFonts w:ascii="Arial" w:hAnsi="Arial" w:cs="Arial"/>
          <w:sz w:val="24"/>
          <w:szCs w:val="24"/>
        </w:rPr>
        <w:lastRenderedPageBreak/>
        <w:t>powszechnym zasięgu. Rzadziej wymieniano grupy takie jak seniorzy, osoby z niepełnosprawnościami czy bezrobotni, co wskazuje, że respondenci rzadziej kojarzą fundusze z działaniami społecznymi niż z inwestycjami infrastrukturalno-rozwojowymi.</w:t>
      </w:r>
    </w:p>
    <w:p w14:paraId="5DDBB95C" w14:textId="751FEC1B" w:rsidR="00D4709E" w:rsidRPr="0028226B" w:rsidRDefault="00D4709E" w:rsidP="00AA4EBE">
      <w:pPr>
        <w:pStyle w:val="Legenda"/>
        <w:keepNext/>
        <w:spacing w:after="0"/>
        <w:rPr>
          <w:rFonts w:ascii="Arial" w:hAnsi="Arial" w:cs="Arial"/>
          <w:b/>
          <w:bCs/>
          <w:i w:val="0"/>
          <w:iCs w:val="0"/>
          <w:color w:val="000000" w:themeColor="text1"/>
          <w:sz w:val="24"/>
          <w:szCs w:val="24"/>
        </w:rPr>
      </w:pPr>
      <w:bookmarkStart w:id="39" w:name="_Toc219369251"/>
      <w:r w:rsidRPr="0028226B">
        <w:rPr>
          <w:rFonts w:ascii="Arial" w:hAnsi="Arial" w:cs="Arial"/>
          <w:b/>
          <w:bCs/>
          <w:i w:val="0"/>
          <w:iCs w:val="0"/>
          <w:color w:val="000000" w:themeColor="text1"/>
          <w:sz w:val="24"/>
          <w:szCs w:val="24"/>
        </w:rPr>
        <w:t xml:space="preserve">Wykres </w:t>
      </w:r>
      <w:r w:rsidRPr="0028226B">
        <w:rPr>
          <w:rFonts w:ascii="Arial" w:hAnsi="Arial" w:cs="Arial"/>
          <w:b/>
          <w:bCs/>
          <w:i w:val="0"/>
          <w:iCs w:val="0"/>
          <w:color w:val="000000" w:themeColor="text1"/>
          <w:sz w:val="24"/>
          <w:szCs w:val="24"/>
        </w:rPr>
        <w:fldChar w:fldCharType="begin"/>
      </w:r>
      <w:r w:rsidRPr="0028226B">
        <w:rPr>
          <w:rFonts w:ascii="Arial" w:hAnsi="Arial" w:cs="Arial"/>
          <w:b/>
          <w:bCs/>
          <w:i w:val="0"/>
          <w:iCs w:val="0"/>
          <w:color w:val="000000" w:themeColor="text1"/>
          <w:sz w:val="24"/>
          <w:szCs w:val="24"/>
        </w:rPr>
        <w:instrText xml:space="preserve"> SEQ Wykres \* ARABIC </w:instrText>
      </w:r>
      <w:r w:rsidRPr="0028226B">
        <w:rPr>
          <w:rFonts w:ascii="Arial" w:hAnsi="Arial" w:cs="Arial"/>
          <w:b/>
          <w:bCs/>
          <w:i w:val="0"/>
          <w:iCs w:val="0"/>
          <w:color w:val="000000" w:themeColor="text1"/>
          <w:sz w:val="24"/>
          <w:szCs w:val="24"/>
        </w:rPr>
        <w:fldChar w:fldCharType="separate"/>
      </w:r>
      <w:r w:rsidR="0055789E">
        <w:rPr>
          <w:rFonts w:ascii="Arial" w:hAnsi="Arial" w:cs="Arial"/>
          <w:b/>
          <w:bCs/>
          <w:i w:val="0"/>
          <w:iCs w:val="0"/>
          <w:noProof/>
          <w:color w:val="000000" w:themeColor="text1"/>
          <w:sz w:val="24"/>
          <w:szCs w:val="24"/>
        </w:rPr>
        <w:t>25</w:t>
      </w:r>
      <w:r w:rsidRPr="0028226B">
        <w:rPr>
          <w:rFonts w:ascii="Arial" w:hAnsi="Arial" w:cs="Arial"/>
          <w:b/>
          <w:bCs/>
          <w:i w:val="0"/>
          <w:iCs w:val="0"/>
          <w:color w:val="000000" w:themeColor="text1"/>
          <w:sz w:val="24"/>
          <w:szCs w:val="24"/>
        </w:rPr>
        <w:fldChar w:fldCharType="end"/>
      </w:r>
      <w:r w:rsidRPr="0028226B">
        <w:rPr>
          <w:rFonts w:ascii="Arial" w:hAnsi="Arial" w:cs="Arial"/>
          <w:b/>
          <w:bCs/>
          <w:i w:val="0"/>
          <w:iCs w:val="0"/>
          <w:color w:val="000000" w:themeColor="text1"/>
          <w:sz w:val="24"/>
          <w:szCs w:val="24"/>
        </w:rPr>
        <w:t xml:space="preserve">. </w:t>
      </w:r>
      <w:r w:rsidR="00D2222C" w:rsidRPr="0028226B">
        <w:rPr>
          <w:rFonts w:ascii="Arial" w:hAnsi="Arial" w:cs="Arial"/>
          <w:b/>
          <w:bCs/>
          <w:i w:val="0"/>
          <w:iCs w:val="0"/>
          <w:color w:val="000000" w:themeColor="text1"/>
          <w:sz w:val="24"/>
          <w:szCs w:val="24"/>
        </w:rPr>
        <w:t>P8. Kto, jakie grupy społeczne Pana(i) zdaniem najbardziej zyskały dzięki Funduszom Europejskim?</w:t>
      </w:r>
      <w:r w:rsidR="00D2222C" w:rsidRPr="0028226B" w:rsidDel="00D2222C">
        <w:rPr>
          <w:rFonts w:ascii="Arial" w:hAnsi="Arial" w:cs="Arial"/>
          <w:b/>
          <w:bCs/>
          <w:i w:val="0"/>
          <w:iCs w:val="0"/>
          <w:color w:val="000000" w:themeColor="text1"/>
          <w:sz w:val="24"/>
          <w:szCs w:val="24"/>
        </w:rPr>
        <w:t xml:space="preserve"> </w:t>
      </w:r>
      <w:r w:rsidRPr="0028226B">
        <w:rPr>
          <w:rFonts w:ascii="Arial" w:hAnsi="Arial" w:cs="Arial"/>
          <w:b/>
          <w:bCs/>
          <w:i w:val="0"/>
          <w:iCs w:val="0"/>
          <w:color w:val="000000" w:themeColor="text1"/>
          <w:sz w:val="24"/>
          <w:szCs w:val="24"/>
        </w:rPr>
        <w:t>(odpowiedzi spontaniczne)</w:t>
      </w:r>
      <w:r w:rsidR="007873B7">
        <w:rPr>
          <w:rFonts w:ascii="Arial" w:hAnsi="Arial" w:cs="Arial"/>
          <w:b/>
          <w:bCs/>
          <w:i w:val="0"/>
          <w:iCs w:val="0"/>
          <w:color w:val="000000" w:themeColor="text1"/>
          <w:sz w:val="24"/>
          <w:szCs w:val="24"/>
        </w:rPr>
        <w:t xml:space="preserve"> (N=680)</w:t>
      </w:r>
      <w:bookmarkEnd w:id="39"/>
    </w:p>
    <w:p w14:paraId="72111F76" w14:textId="15F0E6AF" w:rsidR="00D4709E" w:rsidRPr="0028226B" w:rsidRDefault="00D4709E" w:rsidP="00AA4EBE">
      <w:pPr>
        <w:spacing w:after="0"/>
        <w:rPr>
          <w:rFonts w:ascii="Arial" w:hAnsi="Arial" w:cs="Arial"/>
          <w:sz w:val="24"/>
          <w:szCs w:val="24"/>
        </w:rPr>
      </w:pPr>
      <w:r w:rsidRPr="0028226B">
        <w:rPr>
          <w:rFonts w:ascii="Arial" w:hAnsi="Arial" w:cs="Arial"/>
          <w:noProof/>
          <w:sz w:val="24"/>
          <w:szCs w:val="24"/>
        </w:rPr>
        <w:drawing>
          <wp:inline distT="0" distB="0" distL="0" distR="0" wp14:anchorId="55CE81F1" wp14:editId="7E71E48E">
            <wp:extent cx="6012180" cy="7018020"/>
            <wp:effectExtent l="0" t="0" r="7620" b="0"/>
            <wp:docPr id="616289643" name="Wykres 1" descr="Wykres przedstawia odpowiedzi spontaniczne na pytanie:&#10;„Kto, jakie grupy społeczne Pana(i) zdaniem najbardziej zyskały dzięki Funduszom Europejskim?”&#10;&#10;Najczęściej wskazywanymi grupami byli:&#10;– uczniowie, dzieci, młodzież i studenci – 15,4%,&#10;– przedsiębiorcy, firmy oraz pracownicy sektora biznesowego – 12,1%,&#10;– samorządy, gminy i społeczności lokalne – 11,0%.&#10;&#10;Kolejne najczęściej wymieniane grupy to:&#10;– zwykli ludzie, obywatele, społeczeństwo – 8,2%,&#10;– wszyscy / każda grupa / każdy po trochu – 7,9%,&#10;– inne – 6,6%,&#10;– szpitale, przychodnie, służba zdrowia – 6,5%,&#10;– instytucje publiczne, urzędy i administracja – 6,0%,&#10;– przemysł, inwestorzy, duże przedsiębiorstwa – 3,6%,&#10;– szkoły i placówki oświatowe – 3,8%.&#10;&#10;Rzadziej wskazywano:&#10;– osoby starsze i seniorów – 3,7%,&#10;– polityków i władzę – 2,8%,&#10;– osoby z niepełnosprawnością – 2,2%,&#10;– nauczycieli i kadrę edukacyjną – 2,1%,&#10;– osoby zamoe, bogatsze – 1,9%,&#10;– osoby bezrobotne lub osoby szukające pracy – 1,8%,&#10;– pracowników nieskategoryzowanych – 1,5%,&#10;– rolników lub rolnictwo – 0,1%."/>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650B7A37" w14:textId="2AF4E669" w:rsidR="00D4709E" w:rsidRPr="00672A70" w:rsidRDefault="00D4709E" w:rsidP="00090479">
      <w:pPr>
        <w:rPr>
          <w:rFonts w:ascii="Arial" w:hAnsi="Arial" w:cs="Arial"/>
          <w:sz w:val="24"/>
          <w:szCs w:val="24"/>
        </w:rPr>
      </w:pPr>
      <w:r w:rsidRPr="00672A70">
        <w:rPr>
          <w:rFonts w:ascii="Arial" w:hAnsi="Arial" w:cs="Arial"/>
          <w:sz w:val="24"/>
          <w:szCs w:val="24"/>
        </w:rPr>
        <w:lastRenderedPageBreak/>
        <w:t>Źródło: Opracowano na podstawie badania CAPI</w:t>
      </w:r>
      <w:r w:rsidR="008911AA">
        <w:rPr>
          <w:rFonts w:ascii="Arial" w:hAnsi="Arial" w:cs="Arial"/>
          <w:sz w:val="24"/>
          <w:szCs w:val="24"/>
        </w:rPr>
        <w:t>; odpowiadający: znający określenie FE lub FU, potrafiący wymienić przykłady</w:t>
      </w:r>
    </w:p>
    <w:p w14:paraId="4100D29F" w14:textId="77777777" w:rsidR="005A7F01" w:rsidRPr="005A7F01" w:rsidRDefault="005A7F01" w:rsidP="00C0187D">
      <w:pPr>
        <w:spacing w:line="360" w:lineRule="auto"/>
        <w:rPr>
          <w:rFonts w:ascii="Arial" w:hAnsi="Arial" w:cs="Arial"/>
          <w:sz w:val="24"/>
          <w:szCs w:val="24"/>
        </w:rPr>
      </w:pPr>
      <w:r w:rsidRPr="005A7F01">
        <w:rPr>
          <w:rFonts w:ascii="Arial" w:hAnsi="Arial" w:cs="Arial"/>
          <w:sz w:val="24"/>
          <w:szCs w:val="24"/>
        </w:rPr>
        <w:t xml:space="preserve">Poniższy opis odnosi się do odpowiedzi udzielanych na pytanie o to, </w:t>
      </w:r>
      <w:r w:rsidRPr="004B75FE">
        <w:rPr>
          <w:rFonts w:ascii="Arial" w:hAnsi="Arial" w:cs="Arial"/>
          <w:sz w:val="24"/>
          <w:szCs w:val="24"/>
        </w:rPr>
        <w:t>jak respondenci oceniają sposób wykorzystania Funduszy Europejskich w Polsce</w:t>
      </w:r>
      <w:r w:rsidRPr="002F5B21">
        <w:rPr>
          <w:rFonts w:ascii="Arial" w:hAnsi="Arial" w:cs="Arial"/>
          <w:sz w:val="24"/>
          <w:szCs w:val="24"/>
        </w:rPr>
        <w:t>.</w:t>
      </w:r>
      <w:r w:rsidRPr="005A7F01">
        <w:rPr>
          <w:rFonts w:ascii="Arial" w:hAnsi="Arial" w:cs="Arial"/>
          <w:sz w:val="24"/>
          <w:szCs w:val="24"/>
        </w:rPr>
        <w:t xml:space="preserve"> Wyniki z kolejnych lat pokazują wyraźnie, że większość badanych konsekwentnie ocenia działania finansowane ze środków unijnych pozytywnie. Od 2016 roku odpowiedzi „zdecydowanie tak” oraz „raczej tak” utrzymują się łącznie na wysokim poziomie — w granicach od połowy do dwóch trzecich wszystkich wskazań. Najniższe poparcie odnotowano w 2019 roku, natomiast najwyższe w 2025 roku, kiedy sumaryczny odsetek ocen pozytywnych osiągnął 66%.</w:t>
      </w:r>
    </w:p>
    <w:p w14:paraId="579CE8EA" w14:textId="436690E0" w:rsidR="005A7F01" w:rsidRPr="005A7F01" w:rsidRDefault="005A7F01" w:rsidP="00C0187D">
      <w:pPr>
        <w:spacing w:line="360" w:lineRule="auto"/>
        <w:rPr>
          <w:rFonts w:ascii="Arial" w:hAnsi="Arial" w:cs="Arial"/>
          <w:sz w:val="24"/>
          <w:szCs w:val="24"/>
        </w:rPr>
      </w:pPr>
      <w:r w:rsidRPr="005A7F01">
        <w:rPr>
          <w:rFonts w:ascii="Arial" w:hAnsi="Arial" w:cs="Arial"/>
          <w:sz w:val="24"/>
          <w:szCs w:val="24"/>
        </w:rPr>
        <w:t>Stosunkowo stabilna jest też grupa respondentów, którzy wyrażają obojętność lub nie potrafią jednoznacznie ocenić sposobu wykorzystania środków. W większości lat odsetek odpowiedzi „ani tak, ani nie” pozostaje w okolicach 17–20%, natomiast deklaracje „nie wiem, trudno powiedzieć” zwykle mieszczą się między 6</w:t>
      </w:r>
      <w:r w:rsidR="009420DD">
        <w:rPr>
          <w:rFonts w:ascii="Arial" w:hAnsi="Arial" w:cs="Arial"/>
          <w:sz w:val="24"/>
          <w:szCs w:val="24"/>
        </w:rPr>
        <w:t>%</w:t>
      </w:r>
      <w:r w:rsidRPr="005A7F01">
        <w:rPr>
          <w:rFonts w:ascii="Arial" w:hAnsi="Arial" w:cs="Arial"/>
          <w:sz w:val="24"/>
          <w:szCs w:val="24"/>
        </w:rPr>
        <w:t xml:space="preserve"> a 17%. Oznacza to, że część społeczeństwa nadal nie ma wystarczającej wiedzy o sposobach realizacji projektów finansowanych ze źródeł unijnych.</w:t>
      </w:r>
    </w:p>
    <w:p w14:paraId="39A039F7" w14:textId="77777777" w:rsidR="005A7F01" w:rsidRPr="005A7F01" w:rsidRDefault="005A7F01" w:rsidP="00C0187D">
      <w:pPr>
        <w:spacing w:line="360" w:lineRule="auto"/>
        <w:rPr>
          <w:rFonts w:ascii="Arial" w:hAnsi="Arial" w:cs="Arial"/>
          <w:sz w:val="24"/>
          <w:szCs w:val="24"/>
        </w:rPr>
      </w:pPr>
      <w:r w:rsidRPr="005A7F01">
        <w:rPr>
          <w:rFonts w:ascii="Arial" w:hAnsi="Arial" w:cs="Arial"/>
          <w:sz w:val="24"/>
          <w:szCs w:val="24"/>
        </w:rPr>
        <w:t>Negatywne oceny są rzadkie i z biegiem lat pozostają na zbliżonym poziomie. Odpowiedzi „raczej nie” i „zdecydowanie nie” w większości lat nie przekraczają 10%. Jedynie w 2023 roku widoczny jest wyraźniejszy wzrost opinii krytycznych, co może wiązać się z ówczesną sytuacją społeczno-polityczną oraz dyskusją publiczną dotyczącą możliwości odblokowania części środków unijnych.</w:t>
      </w:r>
    </w:p>
    <w:p w14:paraId="52DC9438" w14:textId="77777777" w:rsidR="005A7F01" w:rsidRPr="005A7F01" w:rsidRDefault="005A7F01" w:rsidP="00C0187D">
      <w:pPr>
        <w:spacing w:line="360" w:lineRule="auto"/>
        <w:rPr>
          <w:rFonts w:ascii="Arial" w:hAnsi="Arial" w:cs="Arial"/>
          <w:sz w:val="24"/>
          <w:szCs w:val="24"/>
        </w:rPr>
      </w:pPr>
      <w:r w:rsidRPr="005A7F01">
        <w:rPr>
          <w:rFonts w:ascii="Arial" w:hAnsi="Arial" w:cs="Arial"/>
          <w:sz w:val="24"/>
          <w:szCs w:val="24"/>
        </w:rPr>
        <w:t>Całość danych wskazuje na trwałe postrzeganie Funduszy Europejskich jako narzędzia, które — w ocenie społeczeństwa — jest wykorzystywane w Polsce dobrze, choć nadal istotna część respondentów deklaruje brak wiedzy lub neutralność. To z kolei podkreśla potrzebę zwiększania dostępności informacji o efektach projektów realizowanych w kraju.</w:t>
      </w:r>
    </w:p>
    <w:p w14:paraId="2BEABC27" w14:textId="54659796" w:rsidR="0096366A" w:rsidRPr="0028226B" w:rsidRDefault="0096366A" w:rsidP="0096366A">
      <w:pPr>
        <w:pStyle w:val="Legenda"/>
        <w:keepNext/>
        <w:rPr>
          <w:rFonts w:ascii="Arial" w:hAnsi="Arial" w:cs="Arial"/>
          <w:b/>
          <w:bCs/>
          <w:i w:val="0"/>
          <w:iCs w:val="0"/>
          <w:color w:val="auto"/>
          <w:sz w:val="24"/>
          <w:szCs w:val="24"/>
        </w:rPr>
      </w:pPr>
      <w:bookmarkStart w:id="40" w:name="_Toc219369252"/>
      <w:r w:rsidRPr="0028226B">
        <w:rPr>
          <w:rFonts w:ascii="Arial" w:hAnsi="Arial" w:cs="Arial"/>
          <w:b/>
          <w:bCs/>
          <w:i w:val="0"/>
          <w:iCs w:val="0"/>
          <w:color w:val="auto"/>
          <w:sz w:val="24"/>
          <w:szCs w:val="24"/>
        </w:rPr>
        <w:lastRenderedPageBreak/>
        <w:t xml:space="preserve">Wykres </w:t>
      </w:r>
      <w:r w:rsidRPr="0028226B">
        <w:rPr>
          <w:rFonts w:ascii="Arial" w:hAnsi="Arial" w:cs="Arial"/>
          <w:b/>
          <w:bCs/>
          <w:i w:val="0"/>
          <w:iCs w:val="0"/>
          <w:color w:val="auto"/>
          <w:sz w:val="24"/>
          <w:szCs w:val="24"/>
        </w:rPr>
        <w:fldChar w:fldCharType="begin"/>
      </w:r>
      <w:r w:rsidRPr="0028226B">
        <w:rPr>
          <w:rFonts w:ascii="Arial" w:hAnsi="Arial" w:cs="Arial"/>
          <w:b/>
          <w:bCs/>
          <w:i w:val="0"/>
          <w:iCs w:val="0"/>
          <w:color w:val="auto"/>
          <w:sz w:val="24"/>
          <w:szCs w:val="24"/>
        </w:rPr>
        <w:instrText xml:space="preserve"> SEQ Wykres \* ARABIC </w:instrText>
      </w:r>
      <w:r w:rsidRPr="0028226B">
        <w:rPr>
          <w:rFonts w:ascii="Arial" w:hAnsi="Arial" w:cs="Arial"/>
          <w:b/>
          <w:bCs/>
          <w:i w:val="0"/>
          <w:iCs w:val="0"/>
          <w:color w:val="auto"/>
          <w:sz w:val="24"/>
          <w:szCs w:val="24"/>
        </w:rPr>
        <w:fldChar w:fldCharType="separate"/>
      </w:r>
      <w:r w:rsidR="0055789E">
        <w:rPr>
          <w:rFonts w:ascii="Arial" w:hAnsi="Arial" w:cs="Arial"/>
          <w:b/>
          <w:bCs/>
          <w:i w:val="0"/>
          <w:iCs w:val="0"/>
          <w:noProof/>
          <w:color w:val="auto"/>
          <w:sz w:val="24"/>
          <w:szCs w:val="24"/>
        </w:rPr>
        <w:t>26</w:t>
      </w:r>
      <w:r w:rsidRPr="0028226B">
        <w:rPr>
          <w:rFonts w:ascii="Arial" w:hAnsi="Arial" w:cs="Arial"/>
          <w:b/>
          <w:bCs/>
          <w:i w:val="0"/>
          <w:iCs w:val="0"/>
          <w:color w:val="auto"/>
          <w:sz w:val="24"/>
          <w:szCs w:val="24"/>
        </w:rPr>
        <w:fldChar w:fldCharType="end"/>
      </w:r>
      <w:r w:rsidRPr="0028226B">
        <w:rPr>
          <w:rFonts w:ascii="Arial" w:hAnsi="Arial" w:cs="Arial"/>
          <w:b/>
          <w:bCs/>
          <w:i w:val="0"/>
          <w:iCs w:val="0"/>
          <w:color w:val="auto"/>
          <w:sz w:val="24"/>
          <w:szCs w:val="24"/>
        </w:rPr>
        <w:t xml:space="preserve">. </w:t>
      </w:r>
      <w:r w:rsidR="00A1768B" w:rsidRPr="0028226B">
        <w:rPr>
          <w:rFonts w:ascii="Arial" w:hAnsi="Arial" w:cs="Arial"/>
          <w:b/>
          <w:bCs/>
          <w:i w:val="0"/>
          <w:iCs w:val="0"/>
          <w:color w:val="auto"/>
          <w:sz w:val="24"/>
          <w:szCs w:val="24"/>
        </w:rPr>
        <w:t xml:space="preserve">P33. Czy generalnie według Pana(i) Fundusze Europejskie są w Polsce dobrze wykorzystywane? - </w:t>
      </w:r>
      <w:r w:rsidRPr="0028226B">
        <w:rPr>
          <w:rFonts w:ascii="Arial" w:hAnsi="Arial" w:cs="Arial"/>
          <w:b/>
          <w:bCs/>
          <w:i w:val="0"/>
          <w:iCs w:val="0"/>
          <w:color w:val="auto"/>
          <w:sz w:val="24"/>
          <w:szCs w:val="24"/>
        </w:rPr>
        <w:t>w latach 2016–2025</w:t>
      </w:r>
      <w:bookmarkEnd w:id="40"/>
    </w:p>
    <w:p w14:paraId="43E5A6EE" w14:textId="77777777" w:rsidR="0096366A" w:rsidRPr="0028226B" w:rsidRDefault="0096366A" w:rsidP="0096366A">
      <w:pPr>
        <w:rPr>
          <w:rFonts w:ascii="Arial" w:hAnsi="Arial" w:cs="Arial"/>
          <w:sz w:val="24"/>
          <w:szCs w:val="24"/>
        </w:rPr>
      </w:pPr>
      <w:r w:rsidRPr="0028226B">
        <w:rPr>
          <w:rFonts w:ascii="Arial" w:hAnsi="Arial" w:cs="Arial"/>
          <w:noProof/>
          <w:sz w:val="24"/>
          <w:szCs w:val="24"/>
        </w:rPr>
        <w:drawing>
          <wp:inline distT="0" distB="0" distL="0" distR="0" wp14:anchorId="638CACE3" wp14:editId="79EF02AC">
            <wp:extent cx="5486400" cy="5135880"/>
            <wp:effectExtent l="0" t="0" r="0" b="0"/>
            <wp:docPr id="1355865880" name="Wykres 5" descr="Dane z lat 2014–2025 wskazują na wyraźny i systematyczny wzrost odsetka osób przekonanych, że Fundusze Europejskie przyczyniają się do poprawy jakości życia Polaków. W 2014 roku takiego zdania było 78% badanych, po czym w 2015 nastąpił spadek do 74%. Od 2016 roku wartości rosną i stabilizują się na wysokim poziomie: 82% w 2016, 87% w 2017 i 2018, po czym w latach 2019–2021 utrzymują się w przedziale 84–86%. W 2022 odnotowano wyraźny spadek do 75%, jednak już rok później wskaźnik wrócił do 86%, a w 2024 wzrósł do 88%. Najwyższy poziom zanotowano w 2025 roku – 91%.&#10;&#10;Jednocześnie dane dotyczące ogólnej oceny wykorzystania Funduszy Europejskich w Polsce (lata 2016–2025) pokazują, że odsetek pozytywnych odpowiedzi („zdecydowanie tak” oraz „raczej tak”) również pozostaje stabilnie wysoki, mieszcząc się w przedziale 55–66% w niemal całym analizowanym okresie. Najniższe wartości odnotowano w 2019 roku – 49%, a najwyższe w 2025 roku – 66%. Odpowiedzi neutralne („ani tak, ani nie”) zazwyczaj wynoszą 16–20%, natomiast odpowiedzi negatywne („raczej nie” i „zdecydowanie nie”) utrzymują się łącznie na poziomie ok. 10–15%, z wyjątkiem 2019 roku, w którym wzrosły do 28%.&#10;&#10;Podsumowując dane z obu wskaźników, w latach 2014–2025 zauważalne jest narastające przekonanie o pozytywnym wpływie Funduszy Europejskich – zarówno na jakość życia, jak i sposób ich wykorzystywania w kraju. Trend poprawy oceny korzystności Funduszy jest szczególnie widoczny w ostatnich latach badania, z rekordowymi wynikami w roku 2025."/>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5C41CE1A" w14:textId="5F824158" w:rsidR="0096366A" w:rsidRDefault="0096366A" w:rsidP="0096366A">
      <w:pPr>
        <w:rPr>
          <w:rFonts w:ascii="Arial" w:hAnsi="Arial" w:cs="Arial"/>
          <w:sz w:val="24"/>
          <w:szCs w:val="24"/>
        </w:rPr>
      </w:pPr>
      <w:r w:rsidRPr="00672A70">
        <w:rPr>
          <w:rFonts w:ascii="Arial" w:hAnsi="Arial" w:cs="Arial"/>
          <w:sz w:val="24"/>
          <w:szCs w:val="24"/>
        </w:rPr>
        <w:t>Źródło: Opracowano na podstawie badania CAPI</w:t>
      </w:r>
      <w:r w:rsidR="008911AA">
        <w:rPr>
          <w:rFonts w:ascii="Arial" w:hAnsi="Arial" w:cs="Arial"/>
          <w:sz w:val="24"/>
          <w:szCs w:val="24"/>
        </w:rPr>
        <w:t>; odpowiadający: znający określenie FE lub FU</w:t>
      </w:r>
    </w:p>
    <w:p w14:paraId="55EA9235" w14:textId="77777777" w:rsidR="00A56EAB" w:rsidRDefault="00A56EAB" w:rsidP="0096366A">
      <w:pPr>
        <w:rPr>
          <w:rFonts w:ascii="Arial" w:hAnsi="Arial" w:cs="Arial"/>
          <w:sz w:val="24"/>
          <w:szCs w:val="24"/>
        </w:rPr>
      </w:pPr>
    </w:p>
    <w:p w14:paraId="187A6E1C" w14:textId="77777777" w:rsidR="00A56EAB" w:rsidRDefault="00A56EAB" w:rsidP="0096366A">
      <w:pPr>
        <w:rPr>
          <w:rFonts w:ascii="Arial" w:hAnsi="Arial" w:cs="Arial"/>
          <w:sz w:val="24"/>
          <w:szCs w:val="24"/>
        </w:rPr>
      </w:pPr>
    </w:p>
    <w:p w14:paraId="48A7DB90" w14:textId="77777777" w:rsidR="00A56EAB" w:rsidRDefault="00A56EAB" w:rsidP="0096366A">
      <w:pPr>
        <w:rPr>
          <w:rFonts w:ascii="Arial" w:hAnsi="Arial" w:cs="Arial"/>
          <w:sz w:val="24"/>
          <w:szCs w:val="24"/>
        </w:rPr>
      </w:pPr>
    </w:p>
    <w:p w14:paraId="02D2FEE9" w14:textId="77777777" w:rsidR="00A56EAB" w:rsidRDefault="00A56EAB" w:rsidP="0096366A">
      <w:pPr>
        <w:rPr>
          <w:rFonts w:ascii="Arial" w:hAnsi="Arial" w:cs="Arial"/>
          <w:sz w:val="24"/>
          <w:szCs w:val="24"/>
        </w:rPr>
      </w:pPr>
    </w:p>
    <w:p w14:paraId="0C20A6C5" w14:textId="77777777" w:rsidR="00A56EAB" w:rsidRDefault="00A56EAB" w:rsidP="0096366A">
      <w:pPr>
        <w:rPr>
          <w:rFonts w:ascii="Arial" w:hAnsi="Arial" w:cs="Arial"/>
          <w:sz w:val="24"/>
          <w:szCs w:val="24"/>
        </w:rPr>
      </w:pPr>
    </w:p>
    <w:p w14:paraId="5B974028" w14:textId="77777777" w:rsidR="00A56EAB" w:rsidRDefault="00A56EAB" w:rsidP="0096366A">
      <w:pPr>
        <w:rPr>
          <w:rFonts w:ascii="Arial" w:hAnsi="Arial" w:cs="Arial"/>
          <w:sz w:val="24"/>
          <w:szCs w:val="24"/>
        </w:rPr>
      </w:pPr>
    </w:p>
    <w:p w14:paraId="1D21E953" w14:textId="77777777" w:rsidR="00A56EAB" w:rsidRPr="00672A70" w:rsidRDefault="00A56EAB" w:rsidP="0096366A">
      <w:pPr>
        <w:rPr>
          <w:rFonts w:ascii="Arial" w:hAnsi="Arial" w:cs="Arial"/>
          <w:sz w:val="24"/>
          <w:szCs w:val="24"/>
        </w:rPr>
      </w:pPr>
    </w:p>
    <w:p w14:paraId="7AE0450B" w14:textId="6A403ABB" w:rsidR="0096366A" w:rsidRPr="0028226B" w:rsidRDefault="0096366A" w:rsidP="00F64095">
      <w:pPr>
        <w:pStyle w:val="Nagwek1"/>
        <w:shd w:val="clear" w:color="auto" w:fill="061A3D"/>
        <w:rPr>
          <w:rFonts w:ascii="Arial" w:hAnsi="Arial" w:cs="Arial"/>
          <w:b/>
          <w:bCs/>
          <w:color w:val="FFFFFF" w:themeColor="background1"/>
          <w:sz w:val="24"/>
          <w:szCs w:val="24"/>
        </w:rPr>
      </w:pPr>
      <w:bookmarkStart w:id="41" w:name="_Toc219375243"/>
      <w:r w:rsidRPr="0028226B">
        <w:rPr>
          <w:rFonts w:ascii="Arial" w:hAnsi="Arial" w:cs="Arial"/>
          <w:b/>
          <w:bCs/>
          <w:color w:val="FFFFFF" w:themeColor="background1"/>
          <w:sz w:val="24"/>
          <w:szCs w:val="24"/>
        </w:rPr>
        <w:lastRenderedPageBreak/>
        <w:t>Ocena wpływu Funduszy Europejskich na życie Polaków</w:t>
      </w:r>
      <w:bookmarkEnd w:id="41"/>
    </w:p>
    <w:p w14:paraId="0A5D4FFC" w14:textId="139D467F" w:rsidR="0096366A" w:rsidRPr="0028226B" w:rsidRDefault="3C2212CF" w:rsidP="00C0187D">
      <w:pPr>
        <w:spacing w:before="240" w:line="360" w:lineRule="auto"/>
        <w:rPr>
          <w:rFonts w:ascii="Arial" w:hAnsi="Arial" w:cs="Arial"/>
          <w:sz w:val="24"/>
          <w:szCs w:val="24"/>
        </w:rPr>
      </w:pPr>
      <w:r w:rsidRPr="0028226B">
        <w:rPr>
          <w:rFonts w:ascii="Arial" w:hAnsi="Arial" w:cs="Arial"/>
          <w:sz w:val="24"/>
          <w:szCs w:val="24"/>
        </w:rPr>
        <w:t>Wyniki pokazują, że opinie Polaków dotyczące wpływu Funduszy Europejskich na poprawę jakości życia utrzymują się na bardzo wysokim i stabilnym poziomie. Od 2014 roku wskaźnik odpowiedzi pozytywnych (zdecydowanie tak oraz raczej tak) oscyluje zwykle pomiędzy 78 a 87</w:t>
      </w:r>
      <w:r w:rsidR="7A7D23A2" w:rsidRPr="0028226B">
        <w:rPr>
          <w:rFonts w:ascii="Arial" w:hAnsi="Arial" w:cs="Arial"/>
          <w:sz w:val="24"/>
          <w:szCs w:val="24"/>
        </w:rPr>
        <w:t>%</w:t>
      </w:r>
      <w:r w:rsidRPr="0028226B">
        <w:rPr>
          <w:rFonts w:ascii="Arial" w:hAnsi="Arial" w:cs="Arial"/>
          <w:sz w:val="24"/>
          <w:szCs w:val="24"/>
        </w:rPr>
        <w:t>. W latach 2016–2018 zanotowano silny wzrost poparcia, które sięgnęło 87</w:t>
      </w:r>
      <w:r w:rsidR="7A7D23A2" w:rsidRPr="0028226B">
        <w:rPr>
          <w:rFonts w:ascii="Arial" w:hAnsi="Arial" w:cs="Arial"/>
          <w:sz w:val="24"/>
          <w:szCs w:val="24"/>
        </w:rPr>
        <w:t>%</w:t>
      </w:r>
      <w:r w:rsidRPr="0028226B">
        <w:rPr>
          <w:rFonts w:ascii="Arial" w:hAnsi="Arial" w:cs="Arial"/>
          <w:sz w:val="24"/>
          <w:szCs w:val="24"/>
        </w:rPr>
        <w:t>, po czym w latach 2019–2023 wskaźniki ustabilizowały się na poziomie 84–86</w:t>
      </w:r>
      <w:r w:rsidR="7A7D23A2" w:rsidRPr="0028226B">
        <w:rPr>
          <w:rFonts w:ascii="Arial" w:hAnsi="Arial" w:cs="Arial"/>
          <w:sz w:val="24"/>
          <w:szCs w:val="24"/>
        </w:rPr>
        <w:t>%</w:t>
      </w:r>
      <w:r w:rsidRPr="0028226B">
        <w:rPr>
          <w:rFonts w:ascii="Arial" w:hAnsi="Arial" w:cs="Arial"/>
          <w:sz w:val="24"/>
          <w:szCs w:val="24"/>
        </w:rPr>
        <w:t>.</w:t>
      </w:r>
    </w:p>
    <w:p w14:paraId="38D233FD" w14:textId="4863812D" w:rsidR="0096366A" w:rsidRPr="0028226B" w:rsidRDefault="3C2212CF" w:rsidP="00C0187D">
      <w:pPr>
        <w:spacing w:line="360" w:lineRule="auto"/>
        <w:rPr>
          <w:rFonts w:ascii="Arial" w:hAnsi="Arial" w:cs="Arial"/>
          <w:sz w:val="24"/>
          <w:szCs w:val="24"/>
        </w:rPr>
      </w:pPr>
      <w:r w:rsidRPr="0028226B">
        <w:rPr>
          <w:rFonts w:ascii="Arial" w:hAnsi="Arial" w:cs="Arial"/>
          <w:sz w:val="24"/>
          <w:szCs w:val="24"/>
        </w:rPr>
        <w:t>Rok 2024 przyniósł ponowny wzrost – łącznie 8</w:t>
      </w:r>
      <w:r w:rsidR="002F5B21">
        <w:rPr>
          <w:rFonts w:ascii="Arial" w:hAnsi="Arial" w:cs="Arial"/>
          <w:sz w:val="24"/>
          <w:szCs w:val="24"/>
        </w:rPr>
        <w:t>8</w:t>
      </w:r>
      <w:r w:rsidR="7A7D23A2" w:rsidRPr="0028226B">
        <w:rPr>
          <w:rFonts w:ascii="Arial" w:hAnsi="Arial" w:cs="Arial"/>
          <w:sz w:val="24"/>
          <w:szCs w:val="24"/>
        </w:rPr>
        <w:t>%</w:t>
      </w:r>
      <w:r w:rsidRPr="0028226B">
        <w:rPr>
          <w:rFonts w:ascii="Arial" w:hAnsi="Arial" w:cs="Arial"/>
          <w:sz w:val="24"/>
          <w:szCs w:val="24"/>
        </w:rPr>
        <w:t xml:space="preserve"> badanych uznało, że Fundusze Europejskie przyczyniają się do poprawy jakości życia mieszkańców Polski. Jest to wynik bardzo zbliżony do rekordowych poziomów z lat 2017–2018.</w:t>
      </w:r>
    </w:p>
    <w:p w14:paraId="732148A6" w14:textId="2C5F678D" w:rsidR="0096366A" w:rsidRPr="0028226B" w:rsidRDefault="3C2212CF" w:rsidP="00C0187D">
      <w:pPr>
        <w:spacing w:line="360" w:lineRule="auto"/>
        <w:rPr>
          <w:rFonts w:ascii="Arial" w:hAnsi="Arial" w:cs="Arial"/>
          <w:sz w:val="24"/>
          <w:szCs w:val="24"/>
        </w:rPr>
      </w:pPr>
      <w:r w:rsidRPr="0028226B">
        <w:rPr>
          <w:rFonts w:ascii="Arial" w:hAnsi="Arial" w:cs="Arial"/>
          <w:sz w:val="24"/>
          <w:szCs w:val="24"/>
        </w:rPr>
        <w:t xml:space="preserve">W 2025 roku poparcie wzrosło jeszcze wyraźniej, osiągając </w:t>
      </w:r>
      <w:r w:rsidR="008B438F">
        <w:rPr>
          <w:rFonts w:ascii="Arial" w:hAnsi="Arial" w:cs="Arial"/>
          <w:sz w:val="24"/>
          <w:szCs w:val="24"/>
        </w:rPr>
        <w:t>91</w:t>
      </w:r>
      <w:r w:rsidR="7A7D23A2" w:rsidRPr="0028226B">
        <w:rPr>
          <w:rFonts w:ascii="Arial" w:hAnsi="Arial" w:cs="Arial"/>
          <w:sz w:val="24"/>
          <w:szCs w:val="24"/>
        </w:rPr>
        <w:t>%</w:t>
      </w:r>
      <w:r w:rsidRPr="0028226B">
        <w:rPr>
          <w:rFonts w:ascii="Arial" w:hAnsi="Arial" w:cs="Arial"/>
          <w:sz w:val="24"/>
          <w:szCs w:val="24"/>
        </w:rPr>
        <w:t>. Jest to najwyższy wynik w całym analizowanym okresie obejmującym lata 2014–2025. Zdecydowana większość respondentów dostrzega więc wymierne korzyści płynące z wykorzystania środków unijnych, a tendencja ta w ostatnich dwóch latach dodatkowo się umacnia.</w:t>
      </w:r>
    </w:p>
    <w:p w14:paraId="3B5FCAAB" w14:textId="6FD9CA16" w:rsidR="0096366A" w:rsidRPr="0028226B" w:rsidRDefault="0096366A" w:rsidP="0096366A">
      <w:pPr>
        <w:pStyle w:val="Legenda"/>
        <w:keepNext/>
        <w:rPr>
          <w:rFonts w:ascii="Arial" w:hAnsi="Arial" w:cs="Arial"/>
          <w:b/>
          <w:bCs/>
          <w:i w:val="0"/>
          <w:iCs w:val="0"/>
          <w:color w:val="auto"/>
          <w:sz w:val="24"/>
          <w:szCs w:val="24"/>
        </w:rPr>
      </w:pPr>
      <w:bookmarkStart w:id="42" w:name="_Toc219369253"/>
      <w:r w:rsidRPr="0028226B">
        <w:rPr>
          <w:rFonts w:ascii="Arial" w:hAnsi="Arial" w:cs="Arial"/>
          <w:b/>
          <w:bCs/>
          <w:i w:val="0"/>
          <w:iCs w:val="0"/>
          <w:color w:val="auto"/>
          <w:sz w:val="24"/>
          <w:szCs w:val="24"/>
        </w:rPr>
        <w:t xml:space="preserve">Wykres </w:t>
      </w:r>
      <w:r w:rsidRPr="0028226B">
        <w:rPr>
          <w:rFonts w:ascii="Arial" w:hAnsi="Arial" w:cs="Arial"/>
          <w:b/>
          <w:bCs/>
          <w:i w:val="0"/>
          <w:iCs w:val="0"/>
          <w:color w:val="auto"/>
          <w:sz w:val="24"/>
          <w:szCs w:val="24"/>
        </w:rPr>
        <w:fldChar w:fldCharType="begin"/>
      </w:r>
      <w:r w:rsidRPr="0028226B">
        <w:rPr>
          <w:rFonts w:ascii="Arial" w:hAnsi="Arial" w:cs="Arial"/>
          <w:b/>
          <w:bCs/>
          <w:i w:val="0"/>
          <w:iCs w:val="0"/>
          <w:color w:val="auto"/>
          <w:sz w:val="24"/>
          <w:szCs w:val="24"/>
        </w:rPr>
        <w:instrText xml:space="preserve"> SEQ Wykres \* ARABIC </w:instrText>
      </w:r>
      <w:r w:rsidRPr="0028226B">
        <w:rPr>
          <w:rFonts w:ascii="Arial" w:hAnsi="Arial" w:cs="Arial"/>
          <w:b/>
          <w:bCs/>
          <w:i w:val="0"/>
          <w:iCs w:val="0"/>
          <w:color w:val="auto"/>
          <w:sz w:val="24"/>
          <w:szCs w:val="24"/>
        </w:rPr>
        <w:fldChar w:fldCharType="separate"/>
      </w:r>
      <w:r w:rsidR="0055789E">
        <w:rPr>
          <w:rFonts w:ascii="Arial" w:hAnsi="Arial" w:cs="Arial"/>
          <w:b/>
          <w:bCs/>
          <w:i w:val="0"/>
          <w:iCs w:val="0"/>
          <w:noProof/>
          <w:color w:val="auto"/>
          <w:sz w:val="24"/>
          <w:szCs w:val="24"/>
        </w:rPr>
        <w:t>27</w:t>
      </w:r>
      <w:r w:rsidRPr="0028226B">
        <w:rPr>
          <w:rFonts w:ascii="Arial" w:hAnsi="Arial" w:cs="Arial"/>
          <w:b/>
          <w:bCs/>
          <w:i w:val="0"/>
          <w:iCs w:val="0"/>
          <w:color w:val="auto"/>
          <w:sz w:val="24"/>
          <w:szCs w:val="24"/>
        </w:rPr>
        <w:fldChar w:fldCharType="end"/>
      </w:r>
      <w:r w:rsidRPr="0028226B">
        <w:rPr>
          <w:rFonts w:ascii="Arial" w:hAnsi="Arial" w:cs="Arial"/>
          <w:b/>
          <w:bCs/>
          <w:i w:val="0"/>
          <w:iCs w:val="0"/>
          <w:color w:val="auto"/>
          <w:sz w:val="24"/>
          <w:szCs w:val="24"/>
        </w:rPr>
        <w:t xml:space="preserve">. </w:t>
      </w:r>
      <w:r w:rsidR="00BF3701" w:rsidRPr="0028226B">
        <w:rPr>
          <w:rFonts w:ascii="Arial" w:hAnsi="Arial" w:cs="Arial"/>
          <w:b/>
          <w:bCs/>
          <w:i w:val="0"/>
          <w:iCs w:val="0"/>
          <w:color w:val="auto"/>
          <w:sz w:val="24"/>
          <w:szCs w:val="24"/>
        </w:rPr>
        <w:t xml:space="preserve">P12. Jak Pan(i) sądzi, czy dzięki Funduszom Europejskim jakość życia Polaków poprawia się? - </w:t>
      </w:r>
      <w:r w:rsidRPr="0028226B">
        <w:rPr>
          <w:rFonts w:ascii="Arial" w:hAnsi="Arial" w:cs="Arial"/>
          <w:b/>
          <w:bCs/>
          <w:i w:val="0"/>
          <w:iCs w:val="0"/>
          <w:color w:val="auto"/>
          <w:sz w:val="24"/>
          <w:szCs w:val="24"/>
        </w:rPr>
        <w:t>w latach 2014–2025</w:t>
      </w:r>
      <w:bookmarkEnd w:id="42"/>
    </w:p>
    <w:p w14:paraId="431E452D" w14:textId="1FB23824" w:rsidR="0096366A" w:rsidRPr="0028226B" w:rsidRDefault="0096366A" w:rsidP="0096366A">
      <w:pPr>
        <w:rPr>
          <w:rFonts w:ascii="Arial" w:hAnsi="Arial" w:cs="Arial"/>
          <w:sz w:val="24"/>
          <w:szCs w:val="24"/>
        </w:rPr>
      </w:pPr>
      <w:r w:rsidRPr="0028226B">
        <w:rPr>
          <w:rFonts w:ascii="Arial" w:hAnsi="Arial" w:cs="Arial"/>
          <w:noProof/>
          <w:sz w:val="24"/>
          <w:szCs w:val="24"/>
        </w:rPr>
        <w:drawing>
          <wp:inline distT="0" distB="0" distL="0" distR="0" wp14:anchorId="7B50B612" wp14:editId="72BD0B32">
            <wp:extent cx="6362700" cy="3787140"/>
            <wp:effectExtent l="0" t="0" r="0" b="0"/>
            <wp:docPr id="1580089020" name="Wykres 3" descr="Wykres przedstawia odsetek osób uważających, że dzięki Funduszom Europejskim jakość życia Polaków poprawia się. Dane obejmują lata 2014–2025.&#10;&#10;Wartości w poszczególnych latach wynoszą:&#10;– 2014: 78%&#10;– 2015: 74%&#10;– 2016: 82%&#10;– 2017: 87%&#10;– 2018: 87%&#10;– 2019: 84%&#10;– 2020: 84%&#10;– 2021: 84%&#10;– 2022: 86%&#10;– 2023: 85%&#10;– 2024: 88%&#10;– 2025: 91%&#10;&#10;Trend wskazuje na systematycznie wysokie przekonanie o pozytywnym wpływie Funduszy Europejskich na jakość życia, z krótkotrwałym spadkiem w 2015 roku oraz rekordowym wzrostem do 91% w roku 2025."/>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3C2212CF" w:rsidRPr="0028226B">
        <w:rPr>
          <w:rFonts w:ascii="Arial" w:hAnsi="Arial" w:cs="Arial"/>
          <w:sz w:val="24"/>
          <w:szCs w:val="24"/>
        </w:rPr>
        <w:t xml:space="preserve"> </w:t>
      </w:r>
      <w:r w:rsidR="3C2212CF" w:rsidRPr="00672A70">
        <w:rPr>
          <w:rFonts w:ascii="Arial" w:hAnsi="Arial" w:cs="Arial"/>
          <w:sz w:val="24"/>
          <w:szCs w:val="24"/>
        </w:rPr>
        <w:t>Źródło: Opracowano na podstawie badania CAPI</w:t>
      </w:r>
      <w:r w:rsidR="008911AA">
        <w:rPr>
          <w:rFonts w:ascii="Arial" w:hAnsi="Arial" w:cs="Arial"/>
          <w:sz w:val="24"/>
          <w:szCs w:val="24"/>
        </w:rPr>
        <w:t>; odpowiadający: znający określenie FE lub FU</w:t>
      </w:r>
    </w:p>
    <w:p w14:paraId="580D1518" w14:textId="63145BA5" w:rsidR="00073532" w:rsidRPr="0028226B" w:rsidRDefault="39724B23" w:rsidP="00C0187D">
      <w:pPr>
        <w:spacing w:line="360" w:lineRule="auto"/>
        <w:rPr>
          <w:rFonts w:ascii="Arial" w:hAnsi="Arial" w:cs="Arial"/>
          <w:sz w:val="24"/>
          <w:szCs w:val="24"/>
        </w:rPr>
      </w:pPr>
      <w:r w:rsidRPr="0028226B">
        <w:rPr>
          <w:rFonts w:ascii="Arial" w:hAnsi="Arial" w:cs="Arial"/>
          <w:sz w:val="24"/>
          <w:szCs w:val="24"/>
        </w:rPr>
        <w:lastRenderedPageBreak/>
        <w:t xml:space="preserve">W 2025 roku wyraźnie dominuje przekonanie, że Fundusze Europejskie przyczyniają się do poprawy jakości życia Polaków. Ponad </w:t>
      </w:r>
      <w:r w:rsidR="008B438F">
        <w:rPr>
          <w:rFonts w:ascii="Arial" w:hAnsi="Arial" w:cs="Arial"/>
          <w:sz w:val="24"/>
          <w:szCs w:val="24"/>
        </w:rPr>
        <w:t>90%</w:t>
      </w:r>
      <w:r w:rsidRPr="0028226B">
        <w:rPr>
          <w:rFonts w:ascii="Arial" w:hAnsi="Arial" w:cs="Arial"/>
          <w:sz w:val="24"/>
          <w:szCs w:val="24"/>
        </w:rPr>
        <w:t xml:space="preserve"> badanych wskazuje odpowiedzi zdecydowanie tak lub raczej tak, co oznacza bardzo wysokie poparcie społeczne dla pozytywnych efektów wdrażania funduszy. Jedynie niewielki odsetek respondentów – kilka</w:t>
      </w:r>
      <w:r w:rsidR="00501B54">
        <w:rPr>
          <w:rFonts w:ascii="Arial" w:hAnsi="Arial" w:cs="Arial"/>
          <w:sz w:val="24"/>
          <w:szCs w:val="24"/>
        </w:rPr>
        <w:t xml:space="preserve"> </w:t>
      </w:r>
      <w:r w:rsidR="00073532" w:rsidRPr="0028226B">
        <w:rPr>
          <w:rFonts w:ascii="Arial" w:hAnsi="Arial" w:cs="Arial"/>
          <w:sz w:val="24"/>
          <w:szCs w:val="24"/>
        </w:rPr>
        <w:t>procent</w:t>
      </w:r>
      <w:r w:rsidRPr="0028226B">
        <w:rPr>
          <w:rFonts w:ascii="Arial" w:hAnsi="Arial" w:cs="Arial"/>
          <w:sz w:val="24"/>
          <w:szCs w:val="24"/>
        </w:rPr>
        <w:t xml:space="preserve"> – uważa, że jakość życia nie poprawia się dzięki tym środkom, natomiast nieliczni deklarują brak zdania. Oznacza to, że odpowiedzi neutralne i negatywne występują jedynie marginalnie w stosunku do dominujących ocen pozytywnych.</w:t>
      </w:r>
    </w:p>
    <w:p w14:paraId="08EF14FC" w14:textId="77777777" w:rsidR="00073532" w:rsidRPr="0028226B" w:rsidRDefault="39724B23" w:rsidP="00C0187D">
      <w:pPr>
        <w:spacing w:line="360" w:lineRule="auto"/>
        <w:rPr>
          <w:rFonts w:ascii="Arial" w:hAnsi="Arial" w:cs="Arial"/>
          <w:sz w:val="24"/>
          <w:szCs w:val="24"/>
        </w:rPr>
      </w:pPr>
      <w:r w:rsidRPr="0028226B">
        <w:rPr>
          <w:rFonts w:ascii="Arial" w:hAnsi="Arial" w:cs="Arial"/>
          <w:sz w:val="24"/>
          <w:szCs w:val="24"/>
        </w:rPr>
        <w:t>W przekroju płci struktura odpowiedzi jest bardzo zbliżona. Zarówno kobiety, jak i mężczyźni najczęściej wskazują zdecydowanie tak lub raczej tak, a różnice między płciami mają charakter niewielki. Podobną prawidłowość widać wśród grup wiekowych. W każdej z nich odpowiedzi pozytywne zdecydowanie przeważają nad pozostałymi, przy czym w najmłodszych rocznikach notuje się wysoki udział wskazań raczej tak, natomiast w grupach starszych częściej pojawiają się odpowiedzi zdecydowanie tak. Odpowiedzi negatywne i niezdecydowane, niezależnie od wieku, pozostają na niskim poziomie.</w:t>
      </w:r>
    </w:p>
    <w:p w14:paraId="5704C42A" w14:textId="77777777" w:rsidR="00073532" w:rsidRPr="0028226B" w:rsidRDefault="39724B23" w:rsidP="00C0187D">
      <w:pPr>
        <w:spacing w:line="360" w:lineRule="auto"/>
        <w:rPr>
          <w:rFonts w:ascii="Arial" w:hAnsi="Arial" w:cs="Arial"/>
          <w:sz w:val="24"/>
          <w:szCs w:val="24"/>
        </w:rPr>
      </w:pPr>
      <w:r w:rsidRPr="0028226B">
        <w:rPr>
          <w:rFonts w:ascii="Arial" w:hAnsi="Arial" w:cs="Arial"/>
          <w:sz w:val="24"/>
          <w:szCs w:val="24"/>
        </w:rPr>
        <w:t>Równie stabilny układ widoczny jest w zależności od poziomu wykształcenia. We wszystkich grupach dominują odpowiedzi pozytywne, choć ich natężenie nieznacznie się różni. Wśród osób z wyższym wykształceniem częściej pojawiają się wskazania zdecydowanie tak, podczas gdy w pozostałych grupach widoczny jest wysoki udział odpowiedzi raczej tak. Warto również zauważyć, że odsetek odpowiedzi nie wiem utrzymuje się na podobnym poziomie we wszystkich kategoriach.</w:t>
      </w:r>
    </w:p>
    <w:p w14:paraId="6CE65712" w14:textId="0C3EBB5D" w:rsidR="00073532" w:rsidRPr="0028226B" w:rsidRDefault="39724B23" w:rsidP="00C0187D">
      <w:pPr>
        <w:spacing w:line="360" w:lineRule="auto"/>
        <w:rPr>
          <w:rFonts w:ascii="Arial" w:hAnsi="Arial" w:cs="Arial"/>
          <w:sz w:val="24"/>
          <w:szCs w:val="24"/>
        </w:rPr>
      </w:pPr>
      <w:r w:rsidRPr="0028226B">
        <w:rPr>
          <w:rFonts w:ascii="Arial" w:hAnsi="Arial" w:cs="Arial"/>
          <w:sz w:val="24"/>
          <w:szCs w:val="24"/>
        </w:rPr>
        <w:t>Analogiczne tendencje występują w zależności od wielkości miejscowości zamieszkania. Zarówno mieszkańcy wsi, jak i dużych i średnich miast najczęściej deklarują, że jakość życia poprawia się dzięki Funduszom Europejskim. Udział ocen pozytywnych wszędzie przekracza zdecydowaną większość odpowiedzi, a różnice dotyczą jedynie stopnia natężenia tych deklaracji. W każdej kategorii</w:t>
      </w:r>
      <w:r w:rsidR="1201BCD1" w:rsidRPr="0028226B">
        <w:rPr>
          <w:rFonts w:ascii="Arial" w:hAnsi="Arial" w:cs="Arial"/>
          <w:sz w:val="24"/>
          <w:szCs w:val="24"/>
        </w:rPr>
        <w:t xml:space="preserve">, która dotyczy wielkości </w:t>
      </w:r>
      <w:r w:rsidRPr="0028226B">
        <w:rPr>
          <w:rFonts w:ascii="Arial" w:hAnsi="Arial" w:cs="Arial"/>
          <w:sz w:val="24"/>
          <w:szCs w:val="24"/>
        </w:rPr>
        <w:t>miejscowości</w:t>
      </w:r>
      <w:r w:rsidR="1201BCD1" w:rsidRPr="0028226B">
        <w:rPr>
          <w:rFonts w:ascii="Arial" w:hAnsi="Arial" w:cs="Arial"/>
          <w:sz w:val="24"/>
          <w:szCs w:val="24"/>
        </w:rPr>
        <w:t>,</w:t>
      </w:r>
      <w:r w:rsidRPr="0028226B">
        <w:rPr>
          <w:rFonts w:ascii="Arial" w:hAnsi="Arial" w:cs="Arial"/>
          <w:sz w:val="24"/>
          <w:szCs w:val="24"/>
        </w:rPr>
        <w:t xml:space="preserve"> wskazania negatywne pozostają marginalne.</w:t>
      </w:r>
    </w:p>
    <w:p w14:paraId="66EA18C7" w14:textId="471C6034" w:rsidR="00073532" w:rsidRPr="0028226B" w:rsidRDefault="39724B23" w:rsidP="7A361059">
      <w:pPr>
        <w:pStyle w:val="Legenda"/>
        <w:keepNext/>
        <w:rPr>
          <w:rFonts w:ascii="Arial" w:hAnsi="Arial" w:cs="Arial"/>
          <w:b/>
          <w:bCs/>
          <w:i w:val="0"/>
          <w:iCs w:val="0"/>
          <w:color w:val="auto"/>
          <w:sz w:val="24"/>
          <w:szCs w:val="24"/>
        </w:rPr>
      </w:pPr>
      <w:bookmarkStart w:id="43" w:name="_Toc219369254"/>
      <w:r w:rsidRPr="0028226B">
        <w:rPr>
          <w:rFonts w:ascii="Arial" w:hAnsi="Arial" w:cs="Arial"/>
          <w:b/>
          <w:bCs/>
          <w:i w:val="0"/>
          <w:iCs w:val="0"/>
          <w:color w:val="auto"/>
          <w:sz w:val="24"/>
          <w:szCs w:val="24"/>
        </w:rPr>
        <w:lastRenderedPageBreak/>
        <w:t xml:space="preserve">Wykres </w:t>
      </w:r>
      <w:r w:rsidR="00073532" w:rsidRPr="0028226B">
        <w:rPr>
          <w:rFonts w:ascii="Arial" w:hAnsi="Arial" w:cs="Arial"/>
          <w:b/>
          <w:bCs/>
          <w:i w:val="0"/>
          <w:iCs w:val="0"/>
          <w:color w:val="auto"/>
          <w:sz w:val="24"/>
          <w:szCs w:val="24"/>
        </w:rPr>
        <w:fldChar w:fldCharType="begin"/>
      </w:r>
      <w:r w:rsidR="00073532" w:rsidRPr="0028226B">
        <w:rPr>
          <w:rFonts w:ascii="Arial" w:hAnsi="Arial" w:cs="Arial"/>
          <w:b/>
          <w:bCs/>
          <w:i w:val="0"/>
          <w:iCs w:val="0"/>
          <w:color w:val="auto"/>
          <w:sz w:val="24"/>
          <w:szCs w:val="24"/>
        </w:rPr>
        <w:instrText xml:space="preserve"> SEQ Wykres \* ARABIC </w:instrText>
      </w:r>
      <w:r w:rsidR="00073532" w:rsidRPr="0028226B">
        <w:rPr>
          <w:rFonts w:ascii="Arial" w:hAnsi="Arial" w:cs="Arial"/>
          <w:b/>
          <w:bCs/>
          <w:i w:val="0"/>
          <w:iCs w:val="0"/>
          <w:color w:val="auto"/>
          <w:sz w:val="24"/>
          <w:szCs w:val="24"/>
        </w:rPr>
        <w:fldChar w:fldCharType="separate"/>
      </w:r>
      <w:r w:rsidR="0055789E">
        <w:rPr>
          <w:rFonts w:ascii="Arial" w:hAnsi="Arial" w:cs="Arial"/>
          <w:b/>
          <w:bCs/>
          <w:i w:val="0"/>
          <w:iCs w:val="0"/>
          <w:noProof/>
          <w:color w:val="auto"/>
          <w:sz w:val="24"/>
          <w:szCs w:val="24"/>
        </w:rPr>
        <w:t>28</w:t>
      </w:r>
      <w:r w:rsidR="00073532" w:rsidRPr="0028226B">
        <w:rPr>
          <w:rFonts w:ascii="Arial" w:hAnsi="Arial" w:cs="Arial"/>
          <w:b/>
          <w:bCs/>
          <w:i w:val="0"/>
          <w:iCs w:val="0"/>
          <w:color w:val="auto"/>
          <w:sz w:val="24"/>
          <w:szCs w:val="24"/>
        </w:rPr>
        <w:fldChar w:fldCharType="end"/>
      </w:r>
      <w:r w:rsidRPr="0028226B">
        <w:rPr>
          <w:rFonts w:ascii="Arial" w:hAnsi="Arial" w:cs="Arial"/>
          <w:b/>
          <w:bCs/>
          <w:i w:val="0"/>
          <w:iCs w:val="0"/>
          <w:color w:val="auto"/>
          <w:sz w:val="24"/>
          <w:szCs w:val="24"/>
        </w:rPr>
        <w:t xml:space="preserve">. </w:t>
      </w:r>
      <w:r w:rsidR="36AB2AC6" w:rsidRPr="0028226B">
        <w:rPr>
          <w:rFonts w:ascii="Arial" w:hAnsi="Arial" w:cs="Arial"/>
          <w:b/>
          <w:bCs/>
          <w:i w:val="0"/>
          <w:iCs w:val="0"/>
          <w:color w:val="auto"/>
          <w:sz w:val="24"/>
          <w:szCs w:val="24"/>
        </w:rPr>
        <w:t xml:space="preserve">P12. Jak Pan(i) sądzi, czy dzięki Funduszom Europejskim jakość życia Polaków poprawia się? - </w:t>
      </w:r>
      <w:r w:rsidRPr="0028226B">
        <w:rPr>
          <w:rFonts w:ascii="Arial" w:hAnsi="Arial" w:cs="Arial"/>
          <w:b/>
          <w:bCs/>
          <w:i w:val="0"/>
          <w:iCs w:val="0"/>
          <w:color w:val="auto"/>
          <w:sz w:val="24"/>
          <w:szCs w:val="24"/>
        </w:rPr>
        <w:t xml:space="preserve"> z uwzględnieniem różnic demograficznych</w:t>
      </w:r>
      <w:r w:rsidR="001A2003">
        <w:rPr>
          <w:rFonts w:ascii="Arial" w:hAnsi="Arial" w:cs="Arial"/>
          <w:b/>
          <w:bCs/>
          <w:i w:val="0"/>
          <w:iCs w:val="0"/>
          <w:color w:val="auto"/>
          <w:sz w:val="24"/>
          <w:szCs w:val="24"/>
        </w:rPr>
        <w:t xml:space="preserve"> (N=955)</w:t>
      </w:r>
      <w:bookmarkEnd w:id="43"/>
    </w:p>
    <w:p w14:paraId="039E8760" w14:textId="77777777" w:rsidR="00073532" w:rsidRPr="0028226B" w:rsidRDefault="00073532" w:rsidP="00073532">
      <w:pPr>
        <w:rPr>
          <w:rFonts w:ascii="Arial" w:hAnsi="Arial" w:cs="Arial"/>
          <w:sz w:val="24"/>
          <w:szCs w:val="24"/>
        </w:rPr>
      </w:pPr>
      <w:r w:rsidRPr="0028226B">
        <w:rPr>
          <w:rFonts w:ascii="Arial" w:hAnsi="Arial" w:cs="Arial"/>
          <w:noProof/>
          <w:sz w:val="24"/>
          <w:szCs w:val="24"/>
        </w:rPr>
        <w:drawing>
          <wp:inline distT="0" distB="0" distL="0" distR="0" wp14:anchorId="1221D956" wp14:editId="6DD8119D">
            <wp:extent cx="5743575" cy="5555615"/>
            <wp:effectExtent l="0" t="0" r="0" b="0"/>
            <wp:docPr id="1455107547" name="Wykres 5" descr="Wykres przedstawia odpowiedzi na pytanie, czy dzięki Funduszom Europejskim jakość życia Polaków poprawia się, z rozbiciem na grupy demograficzne. Odpowiedzi zaprezentowano w czterech kategoriach: „zdecydowanie tak”, „raczej tak”, „raczej nie”, „zdecydowanie nie” oraz „nie wiem / trudno powiedzieć”.&#10;&#10;Wyniki ogółem:&#10;– zdecydowanie tak: 51,3%&#10;– raczej tak: 39,4%&#10;– raczej nie: 2,9%&#10;– zdecydowanie nie: 0,2%&#10;– nie wiem / trudno powiedzieć: 6,2%&#10;&#10;Płeć:&#10;– kobiety: 50,4% zdecydowanie tak, 40,6% raczej tak&#10;– mężczyźni: 52,1% zdecydowanie tak, 38,2% raczej tak&#10;&#10;Wiek:&#10;– 15–19 lat: 50,8% zdecydowanie tak, 45,8% raczej tak&#10;– 20–24 lata: 50,8% zdecydowanie tak, 47,5% raczej tak&#10;– 25–34 lata: 50,3% zdecydowanie tak, 39,5% raczej tak&#10;– 35–44 lata: 52,1% zdecydowanie tak, 38,0% raczej tak&#10;– 45–54 lata: 51,8% zdecydowanie tak, 38,3% raczej tak&#10;– 55–64 lata: 49,6% zdecydowanie tak, 40,2% raczej tak&#10;– 65+: 52,2% zdecydowanie tak, 36,8% raczej tak&#10;&#10;Wykształcenie:&#10;– wyższe: 53,7% zdecydowanie tak, 36,2% raczej tak&#10;– średnie: 50,8% zdecydowanie tak, 40,4% raczej tak&#10;– zawodowe: 51,0% zdecydowanie tak, 38,9% raczej tak&#10;– podstawowe: 47,9% zdecydowanie tak, 44,5% raczej tak&#10;&#10;Miejsce zamieszkania:&#10;– wieś: 53,3% zdecydowanie tak, 37,5% raczej tak&#10;– miasta do 20 tys.: 49,2% zdecydowanie tak, 42,6% raczej tak&#10;– miasta 20–49 tys.: 43,4% zdecydowanie tak, 47,8% raczej tak&#10;– miasta 50–199 tys.: 50,3% zdecydowanie tak, 39,2% raczej tak&#10;– miasta 200–499 tys.: 56,8% zdecydowanie tak, 35,8% raczej tak&#10;– miasta powyżej 500 tys.: 52,2% zdecydowanie tak, 36,5% raczej tak&#10;&#10;Trend ogólny pokazuje, że większość osób we wszystkich grupach demograficznych uważa, iż Fundusze Europejskie przyczyniają się do poprawy jakości życia w Polsce, przy czym najwyższe wartości obserwuje się zwykle w większych miastach, a najniższe w miastach 20–49 tys. mieszkańców."/>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73BC1941" w14:textId="6B151B28" w:rsidR="00073532" w:rsidRPr="00672A70" w:rsidRDefault="00073532" w:rsidP="00073532">
      <w:pPr>
        <w:spacing w:before="240"/>
        <w:rPr>
          <w:rFonts w:ascii="Arial" w:hAnsi="Arial" w:cs="Arial"/>
          <w:sz w:val="24"/>
          <w:szCs w:val="24"/>
        </w:rPr>
      </w:pPr>
      <w:r w:rsidRPr="00672A70">
        <w:rPr>
          <w:rFonts w:ascii="Arial" w:hAnsi="Arial" w:cs="Arial"/>
          <w:sz w:val="24"/>
          <w:szCs w:val="24"/>
        </w:rPr>
        <w:t>Źródło: Opracowano na podstawie badania CAPI</w:t>
      </w:r>
      <w:r w:rsidR="008911AA">
        <w:rPr>
          <w:rFonts w:ascii="Arial" w:hAnsi="Arial" w:cs="Arial"/>
          <w:sz w:val="24"/>
          <w:szCs w:val="24"/>
        </w:rPr>
        <w:t>; odpowiadający: znający określenie FE lub FU</w:t>
      </w:r>
    </w:p>
    <w:p w14:paraId="29562990" w14:textId="698554A6" w:rsidR="00FE1797" w:rsidRPr="0028226B" w:rsidRDefault="00FE1797" w:rsidP="0096366A">
      <w:pPr>
        <w:rPr>
          <w:rFonts w:ascii="Arial" w:hAnsi="Arial" w:cs="Arial"/>
          <w:b/>
          <w:bCs/>
          <w:sz w:val="24"/>
          <w:szCs w:val="24"/>
        </w:rPr>
      </w:pPr>
      <w:r w:rsidRPr="0028226B">
        <w:rPr>
          <w:rFonts w:ascii="Arial" w:hAnsi="Arial" w:cs="Arial"/>
          <w:b/>
          <w:bCs/>
          <w:sz w:val="24"/>
          <w:szCs w:val="24"/>
        </w:rPr>
        <w:t>Postrzeganie zmian w najbliższym otoczeniu dzięki Funduszom Europejskim</w:t>
      </w:r>
    </w:p>
    <w:p w14:paraId="57BACA6C" w14:textId="3205A468" w:rsidR="0096366A" w:rsidRPr="00672A70" w:rsidRDefault="1CBF37E7" w:rsidP="00C0187D">
      <w:pPr>
        <w:spacing w:line="360" w:lineRule="auto"/>
        <w:rPr>
          <w:rFonts w:ascii="Arial" w:hAnsi="Arial" w:cs="Arial"/>
          <w:sz w:val="24"/>
          <w:szCs w:val="24"/>
        </w:rPr>
      </w:pPr>
      <w:r w:rsidRPr="00672A70">
        <w:rPr>
          <w:rFonts w:ascii="Arial" w:hAnsi="Arial" w:cs="Arial"/>
          <w:sz w:val="24"/>
          <w:szCs w:val="24"/>
        </w:rPr>
        <w:t xml:space="preserve">Wyniki badań prowadzonych w latach 2014–2025 pokazują, że odsetek mieszkańców dostrzegających pozytywne zmiany w swoim najbliższym otoczeniu dzięki wykorzystaniu Funduszy Europejskich pozostaje relatywnie wysoki i stabilny. W większości lat wartości oscylowały wokół poziomu 66–71%, z wyjątkiem wyraźnego wzrostu do 75% w roku 2022, który był najwyższym wynikiem w całej analizowanej serii pomiarów. W kolejnych latach nastąpiło </w:t>
      </w:r>
      <w:r w:rsidR="00032B0A">
        <w:rPr>
          <w:rFonts w:ascii="Arial" w:hAnsi="Arial" w:cs="Arial"/>
          <w:sz w:val="24"/>
          <w:szCs w:val="24"/>
        </w:rPr>
        <w:t>wyraźne</w:t>
      </w:r>
      <w:r w:rsidR="00032B0A" w:rsidRPr="00672A70">
        <w:rPr>
          <w:rFonts w:ascii="Arial" w:hAnsi="Arial" w:cs="Arial"/>
          <w:sz w:val="24"/>
          <w:szCs w:val="24"/>
        </w:rPr>
        <w:t xml:space="preserve"> </w:t>
      </w:r>
      <w:r w:rsidRPr="00672A70">
        <w:rPr>
          <w:rFonts w:ascii="Arial" w:hAnsi="Arial" w:cs="Arial"/>
          <w:sz w:val="24"/>
          <w:szCs w:val="24"/>
        </w:rPr>
        <w:t xml:space="preserve">obniżenie – do </w:t>
      </w:r>
      <w:r w:rsidRPr="00672A70">
        <w:rPr>
          <w:rFonts w:ascii="Arial" w:hAnsi="Arial" w:cs="Arial"/>
          <w:sz w:val="24"/>
          <w:szCs w:val="24"/>
        </w:rPr>
        <w:lastRenderedPageBreak/>
        <w:t>64% w 2023 roku, ponowny wzrost do 71% w 2024 roku, a następnie spadek do 69% w 2025 roku. Dane te wskazują, że znaczna część społeczeństwa konsekwentnie identyfikuje widoczne efekty projektów unijnych w swoim otoczeniu, a poziom pozytywnych ocen pozostaje stabilny mimo niewielkich wahań pomiędzy latami.</w:t>
      </w:r>
    </w:p>
    <w:p w14:paraId="5969D934" w14:textId="3DC28416" w:rsidR="00FC71C0" w:rsidRPr="004B75FE" w:rsidRDefault="00FC71C0" w:rsidP="00FC71C0">
      <w:pPr>
        <w:pStyle w:val="Legenda"/>
        <w:keepNext/>
        <w:rPr>
          <w:rFonts w:ascii="Arial" w:hAnsi="Arial" w:cs="Arial"/>
          <w:b/>
          <w:bCs/>
          <w:i w:val="0"/>
          <w:iCs w:val="0"/>
          <w:color w:val="auto"/>
          <w:sz w:val="24"/>
          <w:szCs w:val="24"/>
        </w:rPr>
      </w:pPr>
      <w:bookmarkStart w:id="44" w:name="_Toc219369255"/>
      <w:r w:rsidRPr="004B75FE">
        <w:rPr>
          <w:rFonts w:ascii="Arial" w:hAnsi="Arial" w:cs="Arial"/>
          <w:b/>
          <w:bCs/>
          <w:i w:val="0"/>
          <w:iCs w:val="0"/>
          <w:color w:val="auto"/>
          <w:sz w:val="24"/>
          <w:szCs w:val="24"/>
        </w:rPr>
        <w:t xml:space="preserve">Wykres </w:t>
      </w:r>
      <w:r w:rsidRPr="004B75FE">
        <w:rPr>
          <w:rFonts w:ascii="Arial" w:hAnsi="Arial" w:cs="Arial"/>
          <w:b/>
          <w:bCs/>
          <w:i w:val="0"/>
          <w:iCs w:val="0"/>
          <w:color w:val="auto"/>
          <w:sz w:val="24"/>
          <w:szCs w:val="24"/>
        </w:rPr>
        <w:fldChar w:fldCharType="begin"/>
      </w:r>
      <w:r w:rsidRPr="004B75FE">
        <w:rPr>
          <w:rFonts w:ascii="Arial" w:hAnsi="Arial" w:cs="Arial"/>
          <w:b/>
          <w:bCs/>
          <w:i w:val="0"/>
          <w:iCs w:val="0"/>
          <w:color w:val="auto"/>
          <w:sz w:val="24"/>
          <w:szCs w:val="24"/>
        </w:rPr>
        <w:instrText xml:space="preserve"> SEQ Wykres \* ARABIC </w:instrText>
      </w:r>
      <w:r w:rsidRPr="004B75FE">
        <w:rPr>
          <w:rFonts w:ascii="Arial" w:hAnsi="Arial" w:cs="Arial"/>
          <w:b/>
          <w:bCs/>
          <w:i w:val="0"/>
          <w:iCs w:val="0"/>
          <w:color w:val="auto"/>
          <w:sz w:val="24"/>
          <w:szCs w:val="24"/>
        </w:rPr>
        <w:fldChar w:fldCharType="separate"/>
      </w:r>
      <w:r w:rsidR="0055789E">
        <w:rPr>
          <w:rFonts w:ascii="Arial" w:hAnsi="Arial" w:cs="Arial"/>
          <w:b/>
          <w:bCs/>
          <w:i w:val="0"/>
          <w:iCs w:val="0"/>
          <w:noProof/>
          <w:color w:val="auto"/>
          <w:sz w:val="24"/>
          <w:szCs w:val="24"/>
        </w:rPr>
        <w:t>29</w:t>
      </w:r>
      <w:r w:rsidRPr="004B75FE">
        <w:rPr>
          <w:rFonts w:ascii="Arial" w:hAnsi="Arial" w:cs="Arial"/>
          <w:b/>
          <w:bCs/>
          <w:i w:val="0"/>
          <w:iCs w:val="0"/>
          <w:color w:val="auto"/>
          <w:sz w:val="24"/>
          <w:szCs w:val="24"/>
        </w:rPr>
        <w:fldChar w:fldCharType="end"/>
      </w:r>
      <w:r w:rsidRPr="004B75FE">
        <w:rPr>
          <w:rFonts w:ascii="Arial" w:hAnsi="Arial" w:cs="Arial"/>
          <w:b/>
          <w:bCs/>
          <w:i w:val="0"/>
          <w:iCs w:val="0"/>
          <w:color w:val="auto"/>
          <w:sz w:val="24"/>
          <w:szCs w:val="24"/>
        </w:rPr>
        <w:t xml:space="preserve">. </w:t>
      </w:r>
      <w:r w:rsidR="00463B78" w:rsidRPr="004B75FE">
        <w:rPr>
          <w:rFonts w:ascii="Arial" w:hAnsi="Arial" w:cs="Arial"/>
          <w:b/>
          <w:bCs/>
          <w:i w:val="0"/>
          <w:iCs w:val="0"/>
          <w:color w:val="auto"/>
          <w:sz w:val="24"/>
          <w:szCs w:val="24"/>
        </w:rPr>
        <w:t>P13. Czy dostrzega Pan(i) zmiany w swoim najbliższym otoczeniu dzięki wykorzystywaniu Funduszy Europejskich? – porównanie w latach 2014-2025</w:t>
      </w:r>
      <w:bookmarkEnd w:id="44"/>
    </w:p>
    <w:p w14:paraId="355EDD80" w14:textId="2C455912" w:rsidR="00932722" w:rsidRPr="0028226B" w:rsidRDefault="00932722" w:rsidP="00932722">
      <w:pPr>
        <w:rPr>
          <w:rFonts w:ascii="Arial" w:hAnsi="Arial" w:cs="Arial"/>
          <w:sz w:val="24"/>
          <w:szCs w:val="24"/>
        </w:rPr>
      </w:pPr>
      <w:r w:rsidRPr="0028226B">
        <w:rPr>
          <w:rFonts w:ascii="Arial" w:hAnsi="Arial" w:cs="Arial"/>
          <w:noProof/>
          <w:sz w:val="24"/>
          <w:szCs w:val="24"/>
        </w:rPr>
        <w:drawing>
          <wp:inline distT="0" distB="0" distL="0" distR="0" wp14:anchorId="136446DA" wp14:editId="57458867">
            <wp:extent cx="6064250" cy="3467100"/>
            <wp:effectExtent l="0" t="0" r="0" b="0"/>
            <wp:docPr id="1504544702" name="Wykres 3" descr="Wykres liniowy przedstawia odsetek osób, które deklarują, że dostrzegają zmiany w swoim najbliższym otoczeniu dzięki wykorzystywaniu Funduszy Europejskich, w latach 2014–2025. Na osi X umieszczono kolejne lata wraz z liczebnościami prób badawczych, a na osi Y wartości procentowe (0–100%).&#10;&#10;Wyniki układają się w łagodnie falującą linię bez silnego trendu wzrostowego lub spadkowego. W 2014 roku wskaźnik wynosi 71%, po czym w latach 2015–2016 spada do 67%. W 2017 roku rośnie nieznacznie do 69%, a w 2018 osiąga 70%. Następnie obserwowany jest niewielki spadek: 67% w 2019 roku, 66% w 2020 roku i 63% w 2021 roku — jest to najniższy poziom w całej serii.&#10;&#10;W 2022 roku wskaźnik znacząco wzrasta do 75%, co stanowi najwyższą wartość w analizowanym okresie. W kolejnych latach wynik ponownie spada: do 64% w 2023 roku, po czym rośnie do 71% w 2024 roku, a w 2025 stabilizuje się na poziomie 69%."/>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6D3FE5AF" w:rsidRPr="0028226B">
        <w:rPr>
          <w:rFonts w:ascii="Arial" w:hAnsi="Arial" w:cs="Arial"/>
          <w:sz w:val="24"/>
          <w:szCs w:val="24"/>
        </w:rPr>
        <w:t xml:space="preserve"> </w:t>
      </w:r>
      <w:r w:rsidR="6D3FE5AF" w:rsidRPr="00672A70">
        <w:rPr>
          <w:rFonts w:ascii="Arial" w:hAnsi="Arial" w:cs="Arial"/>
          <w:sz w:val="24"/>
          <w:szCs w:val="24"/>
        </w:rPr>
        <w:t>Źródło: Opracowano na podstawie badania CAPI</w:t>
      </w:r>
      <w:r w:rsidR="008911AA">
        <w:rPr>
          <w:rFonts w:ascii="Arial" w:hAnsi="Arial" w:cs="Arial"/>
          <w:sz w:val="24"/>
          <w:szCs w:val="24"/>
        </w:rPr>
        <w:t>; odpowiadający: znający określenie FE lub FU</w:t>
      </w:r>
    </w:p>
    <w:p w14:paraId="69C80FBA" w14:textId="7971DC8F" w:rsidR="00FC71C0" w:rsidRPr="00672A70" w:rsidRDefault="00FC71C0" w:rsidP="00C0187D">
      <w:pPr>
        <w:spacing w:line="360" w:lineRule="auto"/>
        <w:rPr>
          <w:rFonts w:ascii="Arial" w:hAnsi="Arial" w:cs="Arial"/>
          <w:sz w:val="24"/>
          <w:szCs w:val="24"/>
        </w:rPr>
      </w:pPr>
      <w:r w:rsidRPr="00672A70">
        <w:rPr>
          <w:rFonts w:ascii="Arial" w:hAnsi="Arial" w:cs="Arial"/>
          <w:sz w:val="24"/>
          <w:szCs w:val="24"/>
        </w:rPr>
        <w:t xml:space="preserve">Dane z 2025 roku potwierdzają, że Fundusze Europejskie postrzegane są jako ważny czynnik realnie wpływający na lokalną rzeczywistość. Aż </w:t>
      </w:r>
      <w:r w:rsidR="00463B78" w:rsidRPr="00672A70">
        <w:rPr>
          <w:rFonts w:ascii="Arial" w:hAnsi="Arial" w:cs="Arial"/>
          <w:sz w:val="24"/>
          <w:szCs w:val="24"/>
        </w:rPr>
        <w:t>69</w:t>
      </w:r>
      <w:r w:rsidRPr="00672A70">
        <w:rPr>
          <w:rFonts w:ascii="Arial" w:hAnsi="Arial" w:cs="Arial"/>
          <w:sz w:val="24"/>
          <w:szCs w:val="24"/>
        </w:rPr>
        <w:t>% badanych deklaruje, że widzi zmiany w swoim najbliższym otoczeniu dzięki projektom finansowanym ze środków unijnych. Tylko 1</w:t>
      </w:r>
      <w:r w:rsidR="002F5B21">
        <w:rPr>
          <w:rFonts w:ascii="Arial" w:hAnsi="Arial" w:cs="Arial"/>
          <w:sz w:val="24"/>
          <w:szCs w:val="24"/>
        </w:rPr>
        <w:t>3</w:t>
      </w:r>
      <w:r w:rsidRPr="00672A70">
        <w:rPr>
          <w:rFonts w:ascii="Arial" w:hAnsi="Arial" w:cs="Arial"/>
          <w:sz w:val="24"/>
          <w:szCs w:val="24"/>
        </w:rPr>
        <w:t>% respondentów twierdzi, że nie dostrzega żadnych efektów, a 1</w:t>
      </w:r>
      <w:r w:rsidR="002F5B21">
        <w:rPr>
          <w:rFonts w:ascii="Arial" w:hAnsi="Arial" w:cs="Arial"/>
          <w:sz w:val="24"/>
          <w:szCs w:val="24"/>
        </w:rPr>
        <w:t>9</w:t>
      </w:r>
      <w:r w:rsidRPr="00672A70">
        <w:rPr>
          <w:rFonts w:ascii="Arial" w:hAnsi="Arial" w:cs="Arial"/>
          <w:sz w:val="24"/>
          <w:szCs w:val="24"/>
        </w:rPr>
        <w:t xml:space="preserve">% nie potrafi jednoznacznie ocenić ich obecności. Oznacza to, że dla zdecydowanej większości mieszkańców </w:t>
      </w:r>
      <w:r w:rsidR="00982CE8">
        <w:rPr>
          <w:rFonts w:ascii="Arial" w:hAnsi="Arial" w:cs="Arial"/>
          <w:sz w:val="24"/>
          <w:szCs w:val="24"/>
        </w:rPr>
        <w:t xml:space="preserve">Polski </w:t>
      </w:r>
      <w:r w:rsidRPr="00672A70">
        <w:rPr>
          <w:rFonts w:ascii="Arial" w:hAnsi="Arial" w:cs="Arial"/>
          <w:sz w:val="24"/>
          <w:szCs w:val="24"/>
        </w:rPr>
        <w:t>wpływ Funduszy jest zauważalny, choć stopień tej zauważalności różni się pomiędzy poszczególnymi grupami społeczno-demograficznymi.</w:t>
      </w:r>
    </w:p>
    <w:p w14:paraId="3B10376D" w14:textId="21473581" w:rsidR="00FC71C0" w:rsidRPr="00672A70" w:rsidRDefault="00FC71C0" w:rsidP="00C0187D">
      <w:pPr>
        <w:spacing w:line="360" w:lineRule="auto"/>
        <w:rPr>
          <w:rFonts w:ascii="Arial" w:hAnsi="Arial" w:cs="Arial"/>
          <w:sz w:val="24"/>
          <w:szCs w:val="24"/>
        </w:rPr>
      </w:pPr>
      <w:r w:rsidRPr="00672A70">
        <w:rPr>
          <w:rFonts w:ascii="Arial" w:hAnsi="Arial" w:cs="Arial"/>
          <w:sz w:val="24"/>
          <w:szCs w:val="24"/>
        </w:rPr>
        <w:t>W podziale według płci poziom dostrzegania zmian pozostaje bardzo zbliżony. Kobiety wskazują odpowiedź „tak” nie</w:t>
      </w:r>
      <w:r w:rsidR="00982CE8">
        <w:rPr>
          <w:rFonts w:ascii="Arial" w:hAnsi="Arial" w:cs="Arial"/>
          <w:sz w:val="24"/>
          <w:szCs w:val="24"/>
        </w:rPr>
        <w:t>znacznie</w:t>
      </w:r>
      <w:r w:rsidRPr="00672A70">
        <w:rPr>
          <w:rFonts w:ascii="Arial" w:hAnsi="Arial" w:cs="Arial"/>
          <w:sz w:val="24"/>
          <w:szCs w:val="24"/>
        </w:rPr>
        <w:t xml:space="preserve"> częściej (69%) niż mężczyźni (68%), </w:t>
      </w:r>
      <w:r w:rsidRPr="00672A70">
        <w:rPr>
          <w:rFonts w:ascii="Arial" w:hAnsi="Arial" w:cs="Arial"/>
          <w:sz w:val="24"/>
          <w:szCs w:val="24"/>
        </w:rPr>
        <w:lastRenderedPageBreak/>
        <w:t>jednak różnica ta jest niewielka i nie wpływa na ogólny obraz wysokiej akceptacji i widoczności efektów Funduszy.</w:t>
      </w:r>
    </w:p>
    <w:p w14:paraId="782B16CD" w14:textId="43DC6523" w:rsidR="00FC71C0" w:rsidRPr="00672A70" w:rsidRDefault="1CBF37E7" w:rsidP="00C0187D">
      <w:pPr>
        <w:spacing w:line="360" w:lineRule="auto"/>
        <w:rPr>
          <w:rFonts w:ascii="Arial" w:hAnsi="Arial" w:cs="Arial"/>
          <w:sz w:val="24"/>
          <w:szCs w:val="24"/>
        </w:rPr>
      </w:pPr>
      <w:r w:rsidRPr="00672A70">
        <w:rPr>
          <w:rFonts w:ascii="Arial" w:hAnsi="Arial" w:cs="Arial"/>
          <w:sz w:val="24"/>
          <w:szCs w:val="24"/>
        </w:rPr>
        <w:t>Większe zróżnicowanie pojawia się w analizie wieku. Najwyższy poziom dostrzegania zmian obserwujemy w grupach 20–24 lata oraz 55–64 lata</w:t>
      </w:r>
      <w:r w:rsidR="006F6DAA">
        <w:rPr>
          <w:rFonts w:ascii="Arial" w:hAnsi="Arial" w:cs="Arial"/>
          <w:sz w:val="24"/>
          <w:szCs w:val="24"/>
        </w:rPr>
        <w:t xml:space="preserve"> oraz 65+</w:t>
      </w:r>
      <w:r w:rsidRPr="00672A70">
        <w:rPr>
          <w:rFonts w:ascii="Arial" w:hAnsi="Arial" w:cs="Arial"/>
          <w:sz w:val="24"/>
          <w:szCs w:val="24"/>
        </w:rPr>
        <w:t xml:space="preserve">, gdzie wskaźnik „tak” przekracza 70%. Można </w:t>
      </w:r>
      <w:r w:rsidR="006F6DAA">
        <w:rPr>
          <w:rFonts w:ascii="Arial" w:hAnsi="Arial" w:cs="Arial"/>
          <w:sz w:val="24"/>
          <w:szCs w:val="24"/>
        </w:rPr>
        <w:t>wnioskować</w:t>
      </w:r>
      <w:r w:rsidRPr="00672A70">
        <w:rPr>
          <w:rFonts w:ascii="Arial" w:hAnsi="Arial" w:cs="Arial"/>
          <w:sz w:val="24"/>
          <w:szCs w:val="24"/>
        </w:rPr>
        <w:t>, że osoby młode są szczególnie wyczulone na projekty infrastrukturalne i edukacyjne, a osoby w wieku przedemerytalnym częściej dostrzegają inwestycje w przestrzeń publiczną czy zdrowie. Najniższy poziom wskazań „tak” występuje w przedziale 45–54 lata oraz wśród najmłodszych respondentów (15–19 lat), choć różnice nie są duże i nadal ponad dwie trzecie tych osób dostrzega efekty Funduszy.</w:t>
      </w:r>
    </w:p>
    <w:p w14:paraId="2816BE3F" w14:textId="2BDB19F8" w:rsidR="00FC71C0" w:rsidRPr="00672A70" w:rsidRDefault="00FC71C0" w:rsidP="00C0187D">
      <w:pPr>
        <w:spacing w:line="360" w:lineRule="auto"/>
        <w:rPr>
          <w:rFonts w:ascii="Arial" w:hAnsi="Arial" w:cs="Arial"/>
          <w:sz w:val="24"/>
          <w:szCs w:val="24"/>
        </w:rPr>
      </w:pPr>
      <w:r w:rsidRPr="00672A70">
        <w:rPr>
          <w:rFonts w:ascii="Arial" w:hAnsi="Arial" w:cs="Arial"/>
          <w:sz w:val="24"/>
          <w:szCs w:val="24"/>
        </w:rPr>
        <w:t xml:space="preserve">Wyraźniejsze różnice pojawiają się przy wykształceniu. Osoby z wykształceniem wyższym częściej niż pozostali zauważają zmiany (72%), co może wynikać z większej świadomości procesów rozwojowych i znajomości projektów unijnych. Na przeciwnym biegunie znajdują się osoby z wykształceniem podstawowym, spośród których tylko </w:t>
      </w:r>
      <w:r w:rsidR="002B5BA0">
        <w:rPr>
          <w:rFonts w:ascii="Arial" w:hAnsi="Arial" w:cs="Arial"/>
          <w:sz w:val="24"/>
          <w:szCs w:val="24"/>
        </w:rPr>
        <w:t>60</w:t>
      </w:r>
      <w:r w:rsidRPr="00672A70">
        <w:rPr>
          <w:rFonts w:ascii="Arial" w:hAnsi="Arial" w:cs="Arial"/>
          <w:sz w:val="24"/>
          <w:szCs w:val="24"/>
        </w:rPr>
        <w:t xml:space="preserve">% wskazuje „tak”, a jednocześnie najczęściej wybierają odpowiedź „nie wiem”. Może to świadczyć o ograniczonym dostępie do informacji </w:t>
      </w:r>
      <w:r w:rsidR="00852A90">
        <w:rPr>
          <w:rFonts w:ascii="Arial" w:hAnsi="Arial" w:cs="Arial"/>
          <w:sz w:val="24"/>
          <w:szCs w:val="24"/>
        </w:rPr>
        <w:t xml:space="preserve">lub </w:t>
      </w:r>
      <w:r w:rsidR="00852A90" w:rsidRPr="004B75FE">
        <w:rPr>
          <w:rFonts w:ascii="Arial" w:hAnsi="Arial" w:cs="Arial"/>
          <w:sz w:val="24"/>
          <w:szCs w:val="24"/>
        </w:rPr>
        <w:t>świadomości, że to co ich otacza zostało sfinansowane z Funduszy Europejskich w ramach</w:t>
      </w:r>
      <w:r w:rsidR="00852A90" w:rsidRPr="00852A90">
        <w:rPr>
          <w:rFonts w:ascii="Arial" w:hAnsi="Arial" w:cs="Arial"/>
          <w:sz w:val="24"/>
          <w:szCs w:val="24"/>
        </w:rPr>
        <w:t xml:space="preserve"> </w:t>
      </w:r>
      <w:r w:rsidRPr="00852A90">
        <w:rPr>
          <w:rFonts w:ascii="Arial" w:hAnsi="Arial" w:cs="Arial"/>
          <w:sz w:val="24"/>
          <w:szCs w:val="24"/>
        </w:rPr>
        <w:t>projektów</w:t>
      </w:r>
      <w:r w:rsidR="001A2003">
        <w:rPr>
          <w:rFonts w:ascii="Arial" w:hAnsi="Arial" w:cs="Arial"/>
          <w:sz w:val="24"/>
          <w:szCs w:val="24"/>
        </w:rPr>
        <w:t xml:space="preserve"> realizowanych</w:t>
      </w:r>
      <w:r w:rsidRPr="00852A90">
        <w:rPr>
          <w:rFonts w:ascii="Arial" w:hAnsi="Arial" w:cs="Arial"/>
          <w:sz w:val="24"/>
          <w:szCs w:val="24"/>
        </w:rPr>
        <w:t xml:space="preserve"> w ich najbliższym otoczeniu.</w:t>
      </w:r>
    </w:p>
    <w:p w14:paraId="0640F78B" w14:textId="77777777" w:rsidR="00E7121E" w:rsidRPr="00E7121E" w:rsidRDefault="00E7121E" w:rsidP="00C0187D">
      <w:pPr>
        <w:spacing w:line="360" w:lineRule="auto"/>
        <w:rPr>
          <w:rFonts w:ascii="Arial" w:hAnsi="Arial" w:cs="Arial"/>
          <w:sz w:val="24"/>
          <w:szCs w:val="24"/>
        </w:rPr>
      </w:pPr>
      <w:r w:rsidRPr="00E7121E">
        <w:rPr>
          <w:rFonts w:ascii="Arial" w:hAnsi="Arial" w:cs="Arial"/>
          <w:sz w:val="24"/>
          <w:szCs w:val="24"/>
        </w:rPr>
        <w:t xml:space="preserve">Znaczenie ma także wielkość miejscowości zamieszkania. Najmniej odpowiedzi „nie” – czyli najmniejsze odrzucenie stwierdzenia o widocznych zmianach – odnotowano wśród mieszkańców miast średniej wielkości (50–199 tys. mieszkańców). W tej grupie jedynie </w:t>
      </w:r>
      <w:r w:rsidRPr="004B75FE">
        <w:rPr>
          <w:rFonts w:ascii="Arial" w:hAnsi="Arial" w:cs="Arial"/>
          <w:sz w:val="24"/>
          <w:szCs w:val="24"/>
        </w:rPr>
        <w:t>12%</w:t>
      </w:r>
      <w:r w:rsidRPr="00E7121E">
        <w:rPr>
          <w:rFonts w:ascii="Arial" w:hAnsi="Arial" w:cs="Arial"/>
          <w:sz w:val="24"/>
          <w:szCs w:val="24"/>
        </w:rPr>
        <w:t xml:space="preserve"> badanych wskazało odpowiedź negatywną, co oznacza, że mieszkańcy takich ośrodków najrzadziej deklarują brak dostrzegania zmian wynikających z Funduszy Europejskich.</w:t>
      </w:r>
    </w:p>
    <w:p w14:paraId="056530B1" w14:textId="17A5C47B" w:rsidR="00E7121E" w:rsidRPr="00E7121E" w:rsidRDefault="00E7121E" w:rsidP="00C0187D">
      <w:pPr>
        <w:spacing w:line="360" w:lineRule="auto"/>
        <w:rPr>
          <w:rFonts w:ascii="Arial" w:hAnsi="Arial" w:cs="Arial"/>
          <w:sz w:val="24"/>
          <w:szCs w:val="24"/>
        </w:rPr>
      </w:pPr>
      <w:r w:rsidRPr="00E7121E">
        <w:rPr>
          <w:rFonts w:ascii="Arial" w:hAnsi="Arial" w:cs="Arial"/>
          <w:sz w:val="24"/>
          <w:szCs w:val="24"/>
        </w:rPr>
        <w:t xml:space="preserve">Z kolei </w:t>
      </w:r>
      <w:r w:rsidRPr="004B75FE">
        <w:rPr>
          <w:rFonts w:ascii="Arial" w:hAnsi="Arial" w:cs="Arial"/>
          <w:sz w:val="24"/>
          <w:szCs w:val="24"/>
        </w:rPr>
        <w:t>najwyższy odsetek odpowiedzi „nie”</w:t>
      </w:r>
      <w:r w:rsidRPr="00E7121E">
        <w:rPr>
          <w:rFonts w:ascii="Arial" w:hAnsi="Arial" w:cs="Arial"/>
          <w:sz w:val="24"/>
          <w:szCs w:val="24"/>
        </w:rPr>
        <w:t xml:space="preserve">, występuje w miastach od 20 do 49 tys. mieszkańców, gdzie </w:t>
      </w:r>
      <w:r w:rsidRPr="004B75FE">
        <w:rPr>
          <w:rFonts w:ascii="Arial" w:hAnsi="Arial" w:cs="Arial"/>
          <w:sz w:val="24"/>
          <w:szCs w:val="24"/>
        </w:rPr>
        <w:t>16%</w:t>
      </w:r>
      <w:r w:rsidRPr="00E7121E">
        <w:rPr>
          <w:rFonts w:ascii="Arial" w:hAnsi="Arial" w:cs="Arial"/>
          <w:sz w:val="24"/>
          <w:szCs w:val="24"/>
        </w:rPr>
        <w:t xml:space="preserve"> respondentów deklaruje, że nie dostrzega zmian w swoim otoczeniu. To właśnie ta różnica – a nie odpowiedzi „tak” – wymaga interpretacji, ponieważ tylko dla odpowiedzi negatywnych oznaczono istotność statystyczną.</w:t>
      </w:r>
    </w:p>
    <w:p w14:paraId="1609BBB0" w14:textId="77777777" w:rsidR="00E7121E" w:rsidRPr="00E7121E" w:rsidRDefault="00E7121E" w:rsidP="00C0187D">
      <w:pPr>
        <w:spacing w:line="360" w:lineRule="auto"/>
        <w:rPr>
          <w:rFonts w:ascii="Arial" w:hAnsi="Arial" w:cs="Arial"/>
          <w:sz w:val="24"/>
          <w:szCs w:val="24"/>
        </w:rPr>
      </w:pPr>
      <w:r w:rsidRPr="00E7121E">
        <w:rPr>
          <w:rFonts w:ascii="Arial" w:hAnsi="Arial" w:cs="Arial"/>
          <w:sz w:val="24"/>
          <w:szCs w:val="24"/>
        </w:rPr>
        <w:t>Warto też zauważyć, że w tej samej grupie (20–49 tys. mieszkańców) odnotowano również podwyższony odsetek odpowiedzi „nie wiem / trudno powiedzieć” (</w:t>
      </w:r>
      <w:r w:rsidRPr="004B75FE">
        <w:rPr>
          <w:rFonts w:ascii="Arial" w:hAnsi="Arial" w:cs="Arial"/>
          <w:sz w:val="24"/>
          <w:szCs w:val="24"/>
        </w:rPr>
        <w:t>21%</w:t>
      </w:r>
      <w:r w:rsidRPr="00E7121E">
        <w:rPr>
          <w:rFonts w:ascii="Arial" w:hAnsi="Arial" w:cs="Arial"/>
          <w:sz w:val="24"/>
          <w:szCs w:val="24"/>
        </w:rPr>
        <w:t>), co może wskazywać na mniejszą świadomość efektów Funduszy Europejskich lub słabszą widoczność inwestycji w tego typu lokalizacjach.</w:t>
      </w:r>
    </w:p>
    <w:p w14:paraId="42627AAA" w14:textId="2A06244E" w:rsidR="00FC71C0" w:rsidRPr="00672A70" w:rsidRDefault="00FC71C0" w:rsidP="00C0187D">
      <w:pPr>
        <w:spacing w:line="360" w:lineRule="auto"/>
        <w:rPr>
          <w:rFonts w:ascii="Arial" w:hAnsi="Arial" w:cs="Arial"/>
          <w:sz w:val="24"/>
          <w:szCs w:val="24"/>
        </w:rPr>
      </w:pPr>
      <w:r w:rsidRPr="00672A70">
        <w:rPr>
          <w:rFonts w:ascii="Arial" w:hAnsi="Arial" w:cs="Arial"/>
          <w:sz w:val="24"/>
          <w:szCs w:val="24"/>
        </w:rPr>
        <w:lastRenderedPageBreak/>
        <w:t>Wyniki wskazują na stabilnie wysoką widoczność efektów Funduszy Europejskich w skali kraju, ale także na znaczące różnice między grupami wiekowymi, poziomem wykształcenia oraz typem miejscowości. Ogólny obraz pozostaje jednak jednoznaczny – projekty unijne są dostrzegalne przez znaczącą większość mieszkańców i stanowią ważną część lokalnych zmian i inwestycji.</w:t>
      </w:r>
    </w:p>
    <w:p w14:paraId="397E0928" w14:textId="11180C8F" w:rsidR="00FC71C0" w:rsidRPr="00852A90" w:rsidRDefault="00FC71C0" w:rsidP="004B75FE">
      <w:pPr>
        <w:pStyle w:val="Legenda"/>
        <w:keepNext/>
        <w:spacing w:after="0"/>
        <w:rPr>
          <w:rFonts w:ascii="Arial" w:hAnsi="Arial" w:cs="Arial"/>
          <w:b/>
          <w:bCs/>
          <w:i w:val="0"/>
          <w:iCs w:val="0"/>
          <w:color w:val="auto"/>
          <w:sz w:val="24"/>
          <w:szCs w:val="24"/>
        </w:rPr>
      </w:pPr>
      <w:bookmarkStart w:id="45" w:name="_Toc219369256"/>
      <w:r w:rsidRPr="00852A90">
        <w:rPr>
          <w:rFonts w:ascii="Arial" w:hAnsi="Arial" w:cs="Arial"/>
          <w:b/>
          <w:bCs/>
          <w:i w:val="0"/>
          <w:iCs w:val="0"/>
          <w:color w:val="auto"/>
          <w:sz w:val="24"/>
          <w:szCs w:val="24"/>
        </w:rPr>
        <w:t xml:space="preserve">Wykres </w:t>
      </w:r>
      <w:r w:rsidRPr="00852A90">
        <w:rPr>
          <w:rFonts w:ascii="Arial" w:hAnsi="Arial" w:cs="Arial"/>
          <w:b/>
          <w:bCs/>
          <w:i w:val="0"/>
          <w:iCs w:val="0"/>
          <w:color w:val="auto"/>
          <w:sz w:val="24"/>
          <w:szCs w:val="24"/>
        </w:rPr>
        <w:fldChar w:fldCharType="begin"/>
      </w:r>
      <w:r w:rsidRPr="00852A90">
        <w:rPr>
          <w:rFonts w:ascii="Arial" w:hAnsi="Arial" w:cs="Arial"/>
          <w:b/>
          <w:bCs/>
          <w:i w:val="0"/>
          <w:iCs w:val="0"/>
          <w:color w:val="auto"/>
          <w:sz w:val="24"/>
          <w:szCs w:val="24"/>
        </w:rPr>
        <w:instrText xml:space="preserve"> SEQ Wykres \* ARABIC </w:instrText>
      </w:r>
      <w:r w:rsidRPr="00852A90">
        <w:rPr>
          <w:rFonts w:ascii="Arial" w:hAnsi="Arial" w:cs="Arial"/>
          <w:b/>
          <w:bCs/>
          <w:i w:val="0"/>
          <w:iCs w:val="0"/>
          <w:color w:val="auto"/>
          <w:sz w:val="24"/>
          <w:szCs w:val="24"/>
        </w:rPr>
        <w:fldChar w:fldCharType="separate"/>
      </w:r>
      <w:r w:rsidR="0055789E">
        <w:rPr>
          <w:rFonts w:ascii="Arial" w:hAnsi="Arial" w:cs="Arial"/>
          <w:b/>
          <w:bCs/>
          <w:i w:val="0"/>
          <w:iCs w:val="0"/>
          <w:noProof/>
          <w:color w:val="auto"/>
          <w:sz w:val="24"/>
          <w:szCs w:val="24"/>
        </w:rPr>
        <w:t>30</w:t>
      </w:r>
      <w:r w:rsidRPr="00852A90">
        <w:rPr>
          <w:rFonts w:ascii="Arial" w:hAnsi="Arial" w:cs="Arial"/>
          <w:b/>
          <w:bCs/>
          <w:i w:val="0"/>
          <w:iCs w:val="0"/>
          <w:color w:val="auto"/>
          <w:sz w:val="24"/>
          <w:szCs w:val="24"/>
        </w:rPr>
        <w:fldChar w:fldCharType="end"/>
      </w:r>
      <w:r w:rsidRPr="00852A90">
        <w:rPr>
          <w:rFonts w:ascii="Arial" w:hAnsi="Arial" w:cs="Arial"/>
          <w:b/>
          <w:bCs/>
          <w:i w:val="0"/>
          <w:iCs w:val="0"/>
          <w:color w:val="auto"/>
          <w:sz w:val="24"/>
          <w:szCs w:val="24"/>
        </w:rPr>
        <w:t xml:space="preserve">. </w:t>
      </w:r>
      <w:r w:rsidR="00463B78" w:rsidRPr="00852A90">
        <w:rPr>
          <w:rFonts w:ascii="Arial" w:hAnsi="Arial" w:cs="Arial"/>
          <w:b/>
          <w:bCs/>
          <w:i w:val="0"/>
          <w:iCs w:val="0"/>
          <w:color w:val="auto"/>
          <w:sz w:val="24"/>
          <w:szCs w:val="24"/>
        </w:rPr>
        <w:t xml:space="preserve">P13. Czy dostrzega Pan(i) zmiany w swoim najbliższym otoczeniu dzięki wykorzystywaniu Funduszy Europejskich? </w:t>
      </w:r>
      <w:r w:rsidR="0004229E" w:rsidRPr="00852A90">
        <w:rPr>
          <w:rFonts w:ascii="Arial" w:hAnsi="Arial" w:cs="Arial"/>
          <w:b/>
          <w:bCs/>
          <w:i w:val="0"/>
          <w:iCs w:val="0"/>
          <w:color w:val="auto"/>
          <w:sz w:val="24"/>
          <w:szCs w:val="24"/>
        </w:rPr>
        <w:t>Według cech demograficznych</w:t>
      </w:r>
      <w:bookmarkEnd w:id="45"/>
    </w:p>
    <w:p w14:paraId="2ECE44F9" w14:textId="77777777" w:rsidR="00FC71C0" w:rsidRPr="0028226B" w:rsidRDefault="00FC71C0" w:rsidP="00672A70">
      <w:pPr>
        <w:spacing w:after="0"/>
        <w:rPr>
          <w:rFonts w:ascii="Arial" w:hAnsi="Arial" w:cs="Arial"/>
          <w:sz w:val="24"/>
          <w:szCs w:val="24"/>
        </w:rPr>
      </w:pPr>
      <w:r w:rsidRPr="0028226B">
        <w:rPr>
          <w:rFonts w:ascii="Arial" w:hAnsi="Arial" w:cs="Arial"/>
          <w:noProof/>
          <w:sz w:val="24"/>
          <w:szCs w:val="24"/>
        </w:rPr>
        <w:drawing>
          <wp:inline distT="0" distB="0" distL="0" distR="0" wp14:anchorId="332D95DA" wp14:editId="156D242A">
            <wp:extent cx="5486400" cy="6164580"/>
            <wp:effectExtent l="0" t="0" r="0" b="0"/>
            <wp:docPr id="488887757" name="Wykres 5" descr="Wykres poziomy przedstawia odpowiedzi na pytanie: „Czy dostrzega Pan(i) zmiany w swoim najbliższym otoczeniu dzięki wykorzystywaniu Funduszy Europejskich?” w podziale na cechy demograficzne. Każdy wiersz składa się z trzech kategorii odpowiedzi: „tak”, „nie” oraz „nie wiem / trudno powiedzieć”. Kategorie ułożone są według grup: ogół populacji, płeć, wiek, wykształcenie i wielkość miejscowości zamieszkania.&#10;&#10;Wynik ogółem:&#10;69% badanych dostrzega zmiany, 13% nie dostrzega, a 19% nie ma zdania.&#10;&#10;Płeć:&#10;Kobiety – 69% „tak”, 12% „nie”, 19% „nie wiem”.&#10;Mężczyźni – 68% „tak”, 14% „nie”, 18% „nie wiem”.&#10;&#10;Wiek:&#10;Najwyższy poziom dostrzegania zmian występuje w grupach 20–24 lata, 55–64 lata i 65+ (71%).&#10;Najniższy odsetek wskazań „tak” ma grupa 15–19 lat (66%).&#10;Udział odpowiedzi „nie” i „nie wiem” mieści się zazwyczaj w przedziale 10–23%.&#10;&#10;Wykształcenie:&#10;Osoby z wykształceniem wyższym – najwyższy odsetek odpowiedzi „tak” (72%).&#10;Średnie – 70%, zawodowe – 69%, podstawowe – najniższe 60%, z wyraźnie wyższym udziałem odpowiedzi „nie wiem” (23%).&#10;&#10;Wielkość miejscowości:&#10;Najwyżej zmiany dostrzegają mieszkańcy miast 20–49 tys. (71%).&#10;Najniżej – mieszkańcy miast 50–199 tys. (63%).&#10;W tej grupie też najwyższy odsetek odpowiedzi „nie” (16%).&#10;Największy udział „nie wiem” zanotowano w miastach 200–499 tys.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3A38E172" w14:textId="135710E3" w:rsidR="00FC71C0" w:rsidRDefault="00FC71C0" w:rsidP="004B75FE">
      <w:pPr>
        <w:rPr>
          <w:rFonts w:ascii="Arial" w:hAnsi="Arial" w:cs="Arial"/>
          <w:sz w:val="24"/>
          <w:szCs w:val="24"/>
        </w:rPr>
      </w:pPr>
      <w:r w:rsidRPr="00672A70">
        <w:rPr>
          <w:rFonts w:ascii="Arial" w:hAnsi="Arial" w:cs="Arial"/>
          <w:sz w:val="24"/>
          <w:szCs w:val="24"/>
        </w:rPr>
        <w:t>Źródło: Opracowano na podstawie badania CAPI</w:t>
      </w:r>
      <w:r w:rsidR="008911AA">
        <w:rPr>
          <w:rFonts w:ascii="Arial" w:hAnsi="Arial" w:cs="Arial"/>
          <w:sz w:val="24"/>
          <w:szCs w:val="24"/>
        </w:rPr>
        <w:t>; odpowiadający: znający określenie FE lub FU</w:t>
      </w:r>
    </w:p>
    <w:p w14:paraId="7DA57AF1" w14:textId="77777777" w:rsidR="00A56EAB" w:rsidRPr="00672A70" w:rsidRDefault="00A56EAB" w:rsidP="004B75FE">
      <w:pPr>
        <w:rPr>
          <w:rFonts w:ascii="Arial" w:hAnsi="Arial" w:cs="Arial"/>
          <w:sz w:val="24"/>
          <w:szCs w:val="24"/>
        </w:rPr>
      </w:pPr>
    </w:p>
    <w:p w14:paraId="45F7A966" w14:textId="036F691A" w:rsidR="00992AE2" w:rsidRDefault="00992AE2" w:rsidP="00316263">
      <w:pPr>
        <w:spacing w:before="240"/>
        <w:rPr>
          <w:rFonts w:ascii="Arial" w:hAnsi="Arial" w:cs="Arial"/>
          <w:b/>
          <w:bCs/>
          <w:sz w:val="24"/>
          <w:szCs w:val="24"/>
        </w:rPr>
      </w:pPr>
      <w:r w:rsidRPr="00672A70">
        <w:rPr>
          <w:rFonts w:ascii="Arial" w:hAnsi="Arial" w:cs="Arial"/>
          <w:b/>
          <w:bCs/>
          <w:sz w:val="24"/>
          <w:szCs w:val="24"/>
        </w:rPr>
        <w:lastRenderedPageBreak/>
        <w:t>Zmiany dostrzegane w najbliższym otoczeniu dzięki Funduszom Europejskim</w:t>
      </w:r>
    </w:p>
    <w:p w14:paraId="2A2B6E29" w14:textId="77777777" w:rsidR="00C90F4B" w:rsidRPr="00687EF7" w:rsidRDefault="00C90F4B" w:rsidP="00687EF7">
      <w:pPr>
        <w:spacing w:before="240" w:line="360" w:lineRule="auto"/>
        <w:rPr>
          <w:rFonts w:ascii="Arial" w:hAnsi="Arial" w:cs="Arial"/>
          <w:sz w:val="24"/>
          <w:szCs w:val="24"/>
        </w:rPr>
      </w:pPr>
      <w:r w:rsidRPr="00687EF7">
        <w:rPr>
          <w:rFonts w:ascii="Arial" w:hAnsi="Arial" w:cs="Arial"/>
          <w:sz w:val="24"/>
          <w:szCs w:val="24"/>
        </w:rPr>
        <w:t>Respondenci najczęściej wskazywali, że zmiany związane z wykorzystaniem Funduszy Europejskich są najbardziej widoczne w obszarze infrastruktury drogowej, obejmującej budowę i modernizację dróg, ulic, mostów i chodników. Ten rodzaj inwestycji zauważyło 28% badanych, co czyni go zdecydowanie najczęściej wymienianą kategorią. Kolejne obszary, w których respondenci dostrzegają efekty wykorzystania środków unijnych, to infrastruktura edukacyjna, w tym szkoły i placówki oświatowe (13%), a także wsparcie dla przedsiębiorców, firm, biznesu i pracowników (12%). Na podobnym poziomie wskazywane są zmiany dotyczące lokalnej gospodarki, przedsiębiorczości, rolnictwa i inwestycji lokalnych (11%) oraz funkcjonowania samorządów, gmin i społeczności lokalnych (11%), co podkreśla znaczenie Funduszy Europejskich w rozwoju lokalnym i instytucjonalnym.</w:t>
      </w:r>
    </w:p>
    <w:p w14:paraId="5F2DD8B5" w14:textId="77777777" w:rsidR="00C90F4B" w:rsidRPr="00687EF7" w:rsidRDefault="00C90F4B" w:rsidP="00687EF7">
      <w:pPr>
        <w:spacing w:before="240" w:line="360" w:lineRule="auto"/>
        <w:rPr>
          <w:rFonts w:ascii="Arial" w:hAnsi="Arial" w:cs="Arial"/>
          <w:sz w:val="24"/>
          <w:szCs w:val="24"/>
        </w:rPr>
      </w:pPr>
      <w:r w:rsidRPr="00687EF7">
        <w:rPr>
          <w:rFonts w:ascii="Arial" w:hAnsi="Arial" w:cs="Arial"/>
          <w:sz w:val="24"/>
          <w:szCs w:val="24"/>
        </w:rPr>
        <w:t>Część respondentów zauważa również poprawę działania administracji publicznej, w tym urzędów, skarbówki, poczty czy sądów (10%), a także rozwój transportu publicznego i kolei (8%). Taki sam odsetek badanych wskazuje na pozytywne zmiany odczuwalne w życiu codziennym zwykłych obywateli i społeczeństwa ogółem (8%). Rzadziej dostrzegane są efekty w obszarze budownictwa mieszkaniowego i termomodernizacji (7%) oraz infrastruktury zdrowotnej, obejmującej szpitale, przychodnie i ośrodki zdrowia (6%).</w:t>
      </w:r>
    </w:p>
    <w:p w14:paraId="7CDF9255" w14:textId="77777777" w:rsidR="00C90F4B" w:rsidRPr="00687EF7" w:rsidRDefault="00C90F4B" w:rsidP="00687EF7">
      <w:pPr>
        <w:spacing w:before="240" w:line="360" w:lineRule="auto"/>
        <w:rPr>
          <w:rFonts w:ascii="Arial" w:hAnsi="Arial" w:cs="Arial"/>
          <w:sz w:val="24"/>
          <w:szCs w:val="24"/>
        </w:rPr>
      </w:pPr>
      <w:r w:rsidRPr="00687EF7">
        <w:rPr>
          <w:rFonts w:ascii="Arial" w:hAnsi="Arial" w:cs="Arial"/>
          <w:sz w:val="24"/>
          <w:szCs w:val="24"/>
        </w:rPr>
        <w:t>Najrzadziej respondenci wskazują zmiany związane ze sportem, rekreacją i wypoczynkiem (4%), infrastrukturą komunalną techniczną (4%) oraz zielenią miejską i estetyką przestrzeni publicznej (4%). Marginalnie zauważane są natomiast inwestycje w obiekty kultury, takie jak domy kultury, biblioteki czy amfiteatry (2%), a także usługi społeczne i opiekuńcze, w tym domy seniora, OPS czy centra wsparcia (1%). Jedynie 1% badanych deklaruje brak zauważalnych zmian w swoim otoczeniu lub brak zdania w tej kwestii.</w:t>
      </w:r>
    </w:p>
    <w:p w14:paraId="753C86FB" w14:textId="77777777" w:rsidR="00C90F4B" w:rsidRDefault="00C90F4B" w:rsidP="00316263">
      <w:pPr>
        <w:spacing w:before="240"/>
        <w:rPr>
          <w:rFonts w:ascii="Arial" w:hAnsi="Arial" w:cs="Arial"/>
          <w:b/>
          <w:bCs/>
          <w:sz w:val="24"/>
          <w:szCs w:val="24"/>
        </w:rPr>
      </w:pPr>
    </w:p>
    <w:p w14:paraId="68A323D4" w14:textId="3AA187E6" w:rsidR="00316263" w:rsidRPr="0028226B" w:rsidRDefault="00316263" w:rsidP="004B75FE">
      <w:pPr>
        <w:pStyle w:val="Legenda"/>
        <w:keepNext/>
        <w:spacing w:after="0"/>
        <w:rPr>
          <w:rFonts w:ascii="Arial" w:hAnsi="Arial" w:cs="Arial"/>
          <w:b/>
          <w:bCs/>
          <w:i w:val="0"/>
          <w:iCs w:val="0"/>
          <w:color w:val="auto"/>
          <w:sz w:val="24"/>
          <w:szCs w:val="24"/>
        </w:rPr>
      </w:pPr>
      <w:bookmarkStart w:id="46" w:name="_Toc219369257"/>
      <w:r w:rsidRPr="0028226B">
        <w:rPr>
          <w:rFonts w:ascii="Arial" w:hAnsi="Arial" w:cs="Arial"/>
          <w:b/>
          <w:bCs/>
          <w:i w:val="0"/>
          <w:iCs w:val="0"/>
          <w:color w:val="auto"/>
          <w:sz w:val="24"/>
          <w:szCs w:val="24"/>
        </w:rPr>
        <w:lastRenderedPageBreak/>
        <w:t xml:space="preserve">Wykres </w:t>
      </w:r>
      <w:r w:rsidRPr="0028226B">
        <w:rPr>
          <w:rFonts w:ascii="Arial" w:hAnsi="Arial" w:cs="Arial"/>
          <w:b/>
          <w:bCs/>
          <w:i w:val="0"/>
          <w:iCs w:val="0"/>
          <w:color w:val="auto"/>
          <w:sz w:val="24"/>
          <w:szCs w:val="24"/>
        </w:rPr>
        <w:fldChar w:fldCharType="begin"/>
      </w:r>
      <w:r w:rsidRPr="0028226B">
        <w:rPr>
          <w:rFonts w:ascii="Arial" w:hAnsi="Arial" w:cs="Arial"/>
          <w:b/>
          <w:bCs/>
          <w:i w:val="0"/>
          <w:iCs w:val="0"/>
          <w:color w:val="auto"/>
          <w:sz w:val="24"/>
          <w:szCs w:val="24"/>
        </w:rPr>
        <w:instrText xml:space="preserve"> SEQ Wykres \* ARABIC </w:instrText>
      </w:r>
      <w:r w:rsidRPr="0028226B">
        <w:rPr>
          <w:rFonts w:ascii="Arial" w:hAnsi="Arial" w:cs="Arial"/>
          <w:b/>
          <w:bCs/>
          <w:i w:val="0"/>
          <w:iCs w:val="0"/>
          <w:color w:val="auto"/>
          <w:sz w:val="24"/>
          <w:szCs w:val="24"/>
        </w:rPr>
        <w:fldChar w:fldCharType="separate"/>
      </w:r>
      <w:r w:rsidR="0055789E">
        <w:rPr>
          <w:rFonts w:ascii="Arial" w:hAnsi="Arial" w:cs="Arial"/>
          <w:b/>
          <w:bCs/>
          <w:i w:val="0"/>
          <w:iCs w:val="0"/>
          <w:noProof/>
          <w:color w:val="auto"/>
          <w:sz w:val="24"/>
          <w:szCs w:val="24"/>
        </w:rPr>
        <w:t>31</w:t>
      </w:r>
      <w:r w:rsidRPr="0028226B">
        <w:rPr>
          <w:rFonts w:ascii="Arial" w:hAnsi="Arial" w:cs="Arial"/>
          <w:b/>
          <w:bCs/>
          <w:i w:val="0"/>
          <w:iCs w:val="0"/>
          <w:color w:val="auto"/>
          <w:sz w:val="24"/>
          <w:szCs w:val="24"/>
        </w:rPr>
        <w:fldChar w:fldCharType="end"/>
      </w:r>
      <w:r w:rsidRPr="0028226B">
        <w:rPr>
          <w:rFonts w:ascii="Arial" w:hAnsi="Arial" w:cs="Arial"/>
          <w:b/>
          <w:bCs/>
          <w:i w:val="0"/>
          <w:iCs w:val="0"/>
          <w:color w:val="auto"/>
          <w:sz w:val="24"/>
          <w:szCs w:val="24"/>
        </w:rPr>
        <w:t>.</w:t>
      </w:r>
      <w:r w:rsidR="00852A90">
        <w:rPr>
          <w:rFonts w:ascii="Arial" w:hAnsi="Arial" w:cs="Arial"/>
          <w:b/>
          <w:bCs/>
          <w:i w:val="0"/>
          <w:iCs w:val="0"/>
          <w:color w:val="auto"/>
          <w:sz w:val="24"/>
          <w:szCs w:val="24"/>
        </w:rPr>
        <w:t xml:space="preserve"> P14.</w:t>
      </w:r>
      <w:r w:rsidRPr="0028226B">
        <w:rPr>
          <w:rFonts w:ascii="Arial" w:hAnsi="Arial" w:cs="Arial"/>
          <w:b/>
          <w:bCs/>
          <w:i w:val="0"/>
          <w:iCs w:val="0"/>
          <w:color w:val="auto"/>
          <w:sz w:val="24"/>
          <w:szCs w:val="24"/>
        </w:rPr>
        <w:t xml:space="preserve"> </w:t>
      </w:r>
      <w:r w:rsidR="00463B78" w:rsidRPr="0028226B">
        <w:rPr>
          <w:rFonts w:ascii="Arial" w:hAnsi="Arial" w:cs="Arial"/>
          <w:b/>
          <w:bCs/>
          <w:i w:val="0"/>
          <w:iCs w:val="0"/>
          <w:color w:val="auto"/>
          <w:sz w:val="24"/>
          <w:szCs w:val="24"/>
        </w:rPr>
        <w:t xml:space="preserve">Proszę powiedzieć, jakie zmiany Pan(i) zauważa w swoim najbliższym otoczeniu dzięki wykorzystywaniu Funduszy Europejskich? </w:t>
      </w:r>
      <w:r w:rsidR="00577E54">
        <w:rPr>
          <w:rFonts w:ascii="Arial" w:hAnsi="Arial" w:cs="Arial"/>
          <w:b/>
          <w:bCs/>
          <w:i w:val="0"/>
          <w:iCs w:val="0"/>
          <w:color w:val="auto"/>
          <w:sz w:val="24"/>
          <w:szCs w:val="24"/>
        </w:rPr>
        <w:t>(N</w:t>
      </w:r>
      <w:r w:rsidR="00E4602B">
        <w:rPr>
          <w:rFonts w:ascii="Arial" w:hAnsi="Arial" w:cs="Arial"/>
          <w:b/>
          <w:bCs/>
          <w:i w:val="0"/>
          <w:iCs w:val="0"/>
          <w:color w:val="auto"/>
          <w:sz w:val="24"/>
          <w:szCs w:val="24"/>
        </w:rPr>
        <w:t>=</w:t>
      </w:r>
      <w:r w:rsidR="00577E54">
        <w:rPr>
          <w:rFonts w:ascii="Arial" w:hAnsi="Arial" w:cs="Arial"/>
          <w:b/>
          <w:bCs/>
          <w:i w:val="0"/>
          <w:iCs w:val="0"/>
          <w:color w:val="auto"/>
          <w:sz w:val="24"/>
          <w:szCs w:val="24"/>
        </w:rPr>
        <w:t>657)</w:t>
      </w:r>
      <w:bookmarkEnd w:id="46"/>
    </w:p>
    <w:p w14:paraId="28C8E58E" w14:textId="5E1A0979" w:rsidR="00932722" w:rsidRPr="0028226B" w:rsidRDefault="00FC71C0" w:rsidP="00672A70">
      <w:pPr>
        <w:spacing w:after="0"/>
        <w:rPr>
          <w:rFonts w:ascii="Arial" w:hAnsi="Arial" w:cs="Arial"/>
          <w:sz w:val="24"/>
          <w:szCs w:val="24"/>
        </w:rPr>
      </w:pPr>
      <w:r w:rsidRPr="0028226B">
        <w:rPr>
          <w:rFonts w:ascii="Arial" w:hAnsi="Arial" w:cs="Arial"/>
          <w:noProof/>
          <w:sz w:val="24"/>
          <w:szCs w:val="24"/>
        </w:rPr>
        <w:drawing>
          <wp:inline distT="0" distB="0" distL="0" distR="0" wp14:anchorId="27EA564D" wp14:editId="009880EE">
            <wp:extent cx="6235700" cy="6848475"/>
            <wp:effectExtent l="0" t="0" r="0" b="0"/>
            <wp:docPr id="572906795" name="Wykres 1" descr="Wykres poziomy przedstawia rozkład odpowiedzi na pytanie: „Jakie zmiany zauważa Pan(i) w swoim najbliższym otoczeniu dzięki wykorzystywaniu Funduszy Europejskich?”. Dane pochodzą z badania (N=657). Kategorie ułożone są malejąco według odsetka wskazań.&#10;&#10;Najczęściej wskazywane zmiany dotyczą infrastruktury drogowej: drogi, ulice, mosty i chodniki – 28%. Na kolejnych miejscach znajdują się pozytywne zmiany dotyczące uczniów i studentów (15%) oraz infrastruktury edukacyjnej (13%). Przedsiębiorcy, firmy i pracownicy są wskazywani jako beneficjenci zmian w 12% odpowiedzi, a lokalna gospodarka i inwestycje – w 11%. Tyle samo (11%) uzyskała kategoria dotycząca samorządów i społeczności lokalnych.&#10;&#10;Zmiany odnoszące się do administracji publicznej wskazało 10% badanych. Po 8% wskazań zanotowano dla transportu publicznego i kolejowego oraz dla zmian dotyczących zwykłych obywateli/społeczeństwa ogółem. Budownictwo mieszkaniowe i termomodernizacja otrzymały 7%, a infrastruktura zdrowotna 6%.&#10;&#10;Najrzadziej wskazywane zmiany dotyczą obszarów: sport i rekreacja (4%), infrastruktura komunalna (4%), zieleń miejska i estetyka przestrzeni publicznej (4%), obiekty kultury (2%) oraz usługi społeczne i opiekuńcze (1%). Kategoria „brak zmian / brak zdania” również wynosi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32262AE3" w14:textId="6B5B5B1E" w:rsidR="00525A82" w:rsidRDefault="00FC71C0" w:rsidP="004B75FE">
      <w:pPr>
        <w:rPr>
          <w:rFonts w:ascii="Arial" w:hAnsi="Arial" w:cs="Arial"/>
          <w:sz w:val="24"/>
          <w:szCs w:val="24"/>
        </w:rPr>
      </w:pPr>
      <w:r w:rsidRPr="00672A70">
        <w:rPr>
          <w:rFonts w:ascii="Arial" w:hAnsi="Arial" w:cs="Arial"/>
          <w:sz w:val="24"/>
          <w:szCs w:val="24"/>
        </w:rPr>
        <w:t>Źródło: Opracowano na podstawie badania CAPI</w:t>
      </w:r>
      <w:r w:rsidR="008911AA">
        <w:rPr>
          <w:rFonts w:ascii="Arial" w:hAnsi="Arial" w:cs="Arial"/>
          <w:sz w:val="24"/>
          <w:szCs w:val="24"/>
        </w:rPr>
        <w:t>; odpowiadający: znający określenie FE lub FU, potrafiący wymienić przykłady</w:t>
      </w:r>
    </w:p>
    <w:p w14:paraId="0F93E7C7" w14:textId="77777777" w:rsidR="00A56EAB" w:rsidRDefault="00A56EAB" w:rsidP="004B75FE">
      <w:pPr>
        <w:rPr>
          <w:rFonts w:ascii="Arial" w:hAnsi="Arial" w:cs="Arial"/>
          <w:sz w:val="24"/>
          <w:szCs w:val="24"/>
        </w:rPr>
      </w:pPr>
    </w:p>
    <w:p w14:paraId="11368E06" w14:textId="77777777" w:rsidR="00A56EAB" w:rsidRDefault="00A56EAB" w:rsidP="004B75FE">
      <w:pPr>
        <w:rPr>
          <w:rFonts w:ascii="Arial" w:hAnsi="Arial" w:cs="Arial"/>
          <w:sz w:val="24"/>
          <w:szCs w:val="24"/>
        </w:rPr>
      </w:pPr>
    </w:p>
    <w:p w14:paraId="0BF647DB" w14:textId="0D409D5E" w:rsidR="00A56EAB" w:rsidRDefault="00A56EAB" w:rsidP="004B75FE">
      <w:pPr>
        <w:rPr>
          <w:rFonts w:ascii="Arial" w:hAnsi="Arial" w:cs="Arial"/>
          <w:sz w:val="24"/>
          <w:szCs w:val="24"/>
        </w:rPr>
      </w:pPr>
    </w:p>
    <w:p w14:paraId="7D6F0F9A" w14:textId="354AAFA2" w:rsidR="00FC71C0" w:rsidRPr="0028226B" w:rsidRDefault="00525A82" w:rsidP="00525A82">
      <w:pPr>
        <w:shd w:val="clear" w:color="auto" w:fill="061A3D"/>
        <w:rPr>
          <w:rFonts w:ascii="Arial" w:hAnsi="Arial" w:cs="Arial"/>
          <w:b/>
          <w:bCs/>
          <w:color w:val="FFFFFF" w:themeColor="background1"/>
          <w:sz w:val="24"/>
          <w:szCs w:val="24"/>
        </w:rPr>
      </w:pPr>
      <w:r w:rsidRPr="0028226B">
        <w:rPr>
          <w:rFonts w:ascii="Arial" w:hAnsi="Arial" w:cs="Arial"/>
          <w:b/>
          <w:bCs/>
          <w:color w:val="FFFFFF" w:themeColor="background1"/>
          <w:sz w:val="24"/>
          <w:szCs w:val="24"/>
        </w:rPr>
        <w:lastRenderedPageBreak/>
        <w:t>Doświadczenia związane z F</w:t>
      </w:r>
      <w:r w:rsidR="00EB3494" w:rsidRPr="0028226B">
        <w:rPr>
          <w:rFonts w:ascii="Arial" w:hAnsi="Arial" w:cs="Arial"/>
          <w:b/>
          <w:bCs/>
          <w:color w:val="FFFFFF" w:themeColor="background1"/>
          <w:sz w:val="24"/>
          <w:szCs w:val="24"/>
        </w:rPr>
        <w:t>unduszami Europejskimi</w:t>
      </w:r>
    </w:p>
    <w:p w14:paraId="2765D16C" w14:textId="0E8C9012" w:rsidR="00525A82" w:rsidRPr="00672A70" w:rsidRDefault="4992BDAE" w:rsidP="00C0187D">
      <w:pPr>
        <w:spacing w:line="360" w:lineRule="auto"/>
        <w:rPr>
          <w:rFonts w:ascii="Arial" w:hAnsi="Arial" w:cs="Arial"/>
          <w:sz w:val="24"/>
          <w:szCs w:val="24"/>
        </w:rPr>
      </w:pPr>
      <w:r w:rsidRPr="00672A70">
        <w:rPr>
          <w:rFonts w:ascii="Arial" w:hAnsi="Arial" w:cs="Arial"/>
          <w:sz w:val="24"/>
          <w:szCs w:val="24"/>
        </w:rPr>
        <w:t>Dane</w:t>
      </w:r>
      <w:r w:rsidR="3EAE89B3" w:rsidRPr="00672A70">
        <w:rPr>
          <w:rFonts w:ascii="Arial" w:hAnsi="Arial" w:cs="Arial"/>
          <w:sz w:val="24"/>
          <w:szCs w:val="24"/>
        </w:rPr>
        <w:t xml:space="preserve"> analizujące wypowiedzi respondentów, którzy kiedykolwiek mieli styczność z pojęciem Fundusze Europejskie </w:t>
      </w:r>
      <w:r w:rsidRPr="00672A70">
        <w:rPr>
          <w:rFonts w:ascii="Arial" w:hAnsi="Arial" w:cs="Arial"/>
          <w:sz w:val="24"/>
          <w:szCs w:val="24"/>
        </w:rPr>
        <w:t xml:space="preserve">pokazują, jak na przestrzeni ostatnich dwunastu lat zmieniało się przekonanie Polaków, że osobiście korzystają z Funduszy Europejskich lub ze zmian, jakie dzięki nim zachodzą. W większości lat poziom odpowiedzi „zdecydowanie tak” i „raczej tak” utrzymywał się w granicach 57–64%, z nielicznymi odchyleniami w górę lub w dół. Najwyższy odsetek odnotowano w 2017 roku, kiedy aż 77% badanych deklarowało osobiste korzyści. Najniższy poziom zanotowano w 2020 i 2021 roku (po 57%), co mogło wiązać się ze specyficznym okresem pandemii i mniejszą widocznością inwestycji. W 2024 roku wskaźnik wyniósł </w:t>
      </w:r>
      <w:r w:rsidR="002F5B21">
        <w:rPr>
          <w:rFonts w:ascii="Arial" w:hAnsi="Arial" w:cs="Arial"/>
          <w:sz w:val="24"/>
          <w:szCs w:val="24"/>
        </w:rPr>
        <w:t>60</w:t>
      </w:r>
      <w:r w:rsidRPr="00672A70">
        <w:rPr>
          <w:rFonts w:ascii="Arial" w:hAnsi="Arial" w:cs="Arial"/>
          <w:sz w:val="24"/>
          <w:szCs w:val="24"/>
        </w:rPr>
        <w:t xml:space="preserve">%, a w 2025 roku wzrósł do </w:t>
      </w:r>
      <w:r w:rsidR="00032B0A">
        <w:rPr>
          <w:rFonts w:ascii="Arial" w:hAnsi="Arial" w:cs="Arial"/>
          <w:sz w:val="24"/>
          <w:szCs w:val="24"/>
        </w:rPr>
        <w:t>64</w:t>
      </w:r>
      <w:r w:rsidRPr="00672A70">
        <w:rPr>
          <w:rFonts w:ascii="Arial" w:hAnsi="Arial" w:cs="Arial"/>
          <w:sz w:val="24"/>
          <w:szCs w:val="24"/>
        </w:rPr>
        <w:t>%, co oznacza wyraźne odbudowanie poczucia, że środki unijne realnie wpływają na codzienne życie mieszkańców. Analiza potwierdza stabilne i wysokie społeczne przeświadczenie o korzyściach płynących z Funduszy Europejskich.</w:t>
      </w:r>
    </w:p>
    <w:p w14:paraId="2C7811B6" w14:textId="76013934" w:rsidR="005F51EE" w:rsidRPr="0028226B" w:rsidRDefault="005F51EE" w:rsidP="005F51EE">
      <w:pPr>
        <w:pStyle w:val="Legenda"/>
        <w:keepNext/>
        <w:rPr>
          <w:rFonts w:ascii="Arial" w:hAnsi="Arial" w:cs="Arial"/>
          <w:b/>
          <w:bCs/>
          <w:i w:val="0"/>
          <w:iCs w:val="0"/>
          <w:color w:val="auto"/>
          <w:sz w:val="24"/>
          <w:szCs w:val="24"/>
        </w:rPr>
      </w:pPr>
      <w:bookmarkStart w:id="47" w:name="_Toc219369258"/>
      <w:r w:rsidRPr="0028226B">
        <w:rPr>
          <w:rFonts w:ascii="Arial" w:hAnsi="Arial" w:cs="Arial"/>
          <w:b/>
          <w:bCs/>
          <w:i w:val="0"/>
          <w:iCs w:val="0"/>
          <w:color w:val="auto"/>
          <w:sz w:val="24"/>
          <w:szCs w:val="24"/>
        </w:rPr>
        <w:t xml:space="preserve">Wykres </w:t>
      </w:r>
      <w:r w:rsidRPr="0028226B">
        <w:rPr>
          <w:rFonts w:ascii="Arial" w:hAnsi="Arial" w:cs="Arial"/>
          <w:b/>
          <w:bCs/>
          <w:i w:val="0"/>
          <w:iCs w:val="0"/>
          <w:color w:val="auto"/>
          <w:sz w:val="24"/>
          <w:szCs w:val="24"/>
        </w:rPr>
        <w:fldChar w:fldCharType="begin"/>
      </w:r>
      <w:r w:rsidRPr="0028226B">
        <w:rPr>
          <w:rFonts w:ascii="Arial" w:hAnsi="Arial" w:cs="Arial"/>
          <w:b/>
          <w:bCs/>
          <w:i w:val="0"/>
          <w:iCs w:val="0"/>
          <w:color w:val="auto"/>
          <w:sz w:val="24"/>
          <w:szCs w:val="24"/>
        </w:rPr>
        <w:instrText xml:space="preserve"> SEQ Wykres \* ARABIC </w:instrText>
      </w:r>
      <w:r w:rsidRPr="0028226B">
        <w:rPr>
          <w:rFonts w:ascii="Arial" w:hAnsi="Arial" w:cs="Arial"/>
          <w:b/>
          <w:bCs/>
          <w:i w:val="0"/>
          <w:iCs w:val="0"/>
          <w:color w:val="auto"/>
          <w:sz w:val="24"/>
          <w:szCs w:val="24"/>
        </w:rPr>
        <w:fldChar w:fldCharType="separate"/>
      </w:r>
      <w:r w:rsidR="0055789E">
        <w:rPr>
          <w:rFonts w:ascii="Arial" w:hAnsi="Arial" w:cs="Arial"/>
          <w:b/>
          <w:bCs/>
          <w:i w:val="0"/>
          <w:iCs w:val="0"/>
          <w:noProof/>
          <w:color w:val="auto"/>
          <w:sz w:val="24"/>
          <w:szCs w:val="24"/>
        </w:rPr>
        <w:t>32</w:t>
      </w:r>
      <w:r w:rsidRPr="0028226B">
        <w:rPr>
          <w:rFonts w:ascii="Arial" w:hAnsi="Arial" w:cs="Arial"/>
          <w:b/>
          <w:bCs/>
          <w:i w:val="0"/>
          <w:iCs w:val="0"/>
          <w:color w:val="auto"/>
          <w:sz w:val="24"/>
          <w:szCs w:val="24"/>
        </w:rPr>
        <w:fldChar w:fldCharType="end"/>
      </w:r>
      <w:r w:rsidRPr="0028226B">
        <w:rPr>
          <w:rFonts w:ascii="Arial" w:hAnsi="Arial" w:cs="Arial"/>
          <w:b/>
          <w:bCs/>
          <w:i w:val="0"/>
          <w:iCs w:val="0"/>
          <w:color w:val="auto"/>
          <w:sz w:val="24"/>
          <w:szCs w:val="24"/>
        </w:rPr>
        <w:t xml:space="preserve">. </w:t>
      </w:r>
      <w:r w:rsidR="0057149C" w:rsidRPr="0028226B">
        <w:rPr>
          <w:rFonts w:ascii="Arial" w:hAnsi="Arial" w:cs="Arial"/>
          <w:b/>
          <w:bCs/>
          <w:i w:val="0"/>
          <w:iCs w:val="0"/>
          <w:color w:val="auto"/>
          <w:sz w:val="24"/>
          <w:szCs w:val="24"/>
        </w:rPr>
        <w:t>P.17. Czy uważa Pan(i), że Pan(i) sam(a) osobiście korzysta z Funduszy Europejskich lub ze zmian, jakie dzięki nim zachodzą?</w:t>
      </w:r>
      <w:r w:rsidR="0057149C" w:rsidRPr="0028226B" w:rsidDel="0057149C">
        <w:rPr>
          <w:rFonts w:ascii="Arial" w:hAnsi="Arial" w:cs="Arial"/>
          <w:b/>
          <w:bCs/>
          <w:i w:val="0"/>
          <w:iCs w:val="0"/>
          <w:color w:val="auto"/>
          <w:sz w:val="24"/>
          <w:szCs w:val="24"/>
        </w:rPr>
        <w:t xml:space="preserve"> </w:t>
      </w:r>
      <w:r w:rsidRPr="0028226B">
        <w:rPr>
          <w:rFonts w:ascii="Arial" w:hAnsi="Arial" w:cs="Arial"/>
          <w:b/>
          <w:bCs/>
          <w:i w:val="0"/>
          <w:iCs w:val="0"/>
          <w:color w:val="auto"/>
          <w:sz w:val="24"/>
          <w:szCs w:val="24"/>
        </w:rPr>
        <w:t>(</w:t>
      </w:r>
      <w:r w:rsidR="0057149C" w:rsidRPr="0028226B">
        <w:rPr>
          <w:rFonts w:ascii="Arial" w:hAnsi="Arial" w:cs="Arial"/>
          <w:b/>
          <w:bCs/>
          <w:i w:val="0"/>
          <w:iCs w:val="0"/>
          <w:color w:val="auto"/>
          <w:sz w:val="24"/>
          <w:szCs w:val="24"/>
        </w:rPr>
        <w:t>suma wskazań odpowiedzi zdecydowanie tak i raczej tak</w:t>
      </w:r>
      <w:r w:rsidRPr="0028226B">
        <w:rPr>
          <w:rFonts w:ascii="Arial" w:hAnsi="Arial" w:cs="Arial"/>
          <w:b/>
          <w:bCs/>
          <w:i w:val="0"/>
          <w:iCs w:val="0"/>
          <w:noProof/>
          <w:color w:val="auto"/>
          <w:sz w:val="24"/>
          <w:szCs w:val="24"/>
        </w:rPr>
        <w:t>)</w:t>
      </w:r>
      <w:r w:rsidR="0057149C" w:rsidRPr="0028226B">
        <w:rPr>
          <w:rFonts w:ascii="Arial" w:hAnsi="Arial" w:cs="Arial"/>
          <w:b/>
          <w:bCs/>
          <w:i w:val="0"/>
          <w:iCs w:val="0"/>
          <w:noProof/>
          <w:color w:val="auto"/>
          <w:sz w:val="24"/>
          <w:szCs w:val="24"/>
        </w:rPr>
        <w:t xml:space="preserve"> – porównanie w latach 2014-2025</w:t>
      </w:r>
      <w:bookmarkEnd w:id="47"/>
    </w:p>
    <w:p w14:paraId="1D10C260" w14:textId="28D45E9C" w:rsidR="00525A82" w:rsidRPr="0028226B" w:rsidRDefault="00525A82" w:rsidP="00525A82">
      <w:pPr>
        <w:rPr>
          <w:rFonts w:ascii="Arial" w:hAnsi="Arial" w:cs="Arial"/>
          <w:sz w:val="24"/>
          <w:szCs w:val="24"/>
        </w:rPr>
      </w:pPr>
      <w:r w:rsidRPr="0028226B">
        <w:rPr>
          <w:rFonts w:ascii="Arial" w:hAnsi="Arial" w:cs="Arial"/>
          <w:noProof/>
          <w:sz w:val="24"/>
          <w:szCs w:val="24"/>
        </w:rPr>
        <w:drawing>
          <wp:inline distT="0" distB="0" distL="0" distR="0" wp14:anchorId="26FDA149" wp14:editId="7BAB81E5">
            <wp:extent cx="6141720" cy="3200400"/>
            <wp:effectExtent l="0" t="0" r="0" b="0"/>
            <wp:docPr id="2080322721" name="Wykres 3"/>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r w:rsidR="4992BDAE" w:rsidRPr="0028226B">
        <w:rPr>
          <w:rFonts w:ascii="Arial" w:hAnsi="Arial" w:cs="Arial"/>
          <w:sz w:val="24"/>
          <w:szCs w:val="24"/>
        </w:rPr>
        <w:t xml:space="preserve"> </w:t>
      </w:r>
      <w:r w:rsidR="4992BDAE" w:rsidRPr="00672A70">
        <w:rPr>
          <w:rFonts w:ascii="Arial" w:hAnsi="Arial" w:cs="Arial"/>
          <w:sz w:val="24"/>
          <w:szCs w:val="24"/>
        </w:rPr>
        <w:t>Źródło: Opracowano na podstawie badania CAPI</w:t>
      </w:r>
      <w:r w:rsidR="008911AA">
        <w:rPr>
          <w:rFonts w:ascii="Arial" w:hAnsi="Arial" w:cs="Arial"/>
          <w:sz w:val="24"/>
          <w:szCs w:val="24"/>
        </w:rPr>
        <w:t>; odpowiadający: znający określenie FE lub FU</w:t>
      </w:r>
    </w:p>
    <w:p w14:paraId="16553FB4" w14:textId="77777777" w:rsidR="005F51EE" w:rsidRPr="00672A70" w:rsidRDefault="005F51EE" w:rsidP="00C0187D">
      <w:pPr>
        <w:spacing w:line="360" w:lineRule="auto"/>
        <w:rPr>
          <w:rFonts w:ascii="Arial" w:hAnsi="Arial" w:cs="Arial"/>
          <w:sz w:val="24"/>
          <w:szCs w:val="24"/>
        </w:rPr>
      </w:pPr>
      <w:r w:rsidRPr="00672A70">
        <w:rPr>
          <w:rFonts w:ascii="Arial" w:hAnsi="Arial" w:cs="Arial"/>
          <w:sz w:val="24"/>
          <w:szCs w:val="24"/>
        </w:rPr>
        <w:t xml:space="preserve">Ocena osobistego korzystania z Funduszy Europejskich różnicuje się w zależności od cech społeczno-demograficznych respondentów, choć ogólny kierunek opinii </w:t>
      </w:r>
      <w:r w:rsidRPr="00672A70">
        <w:rPr>
          <w:rFonts w:ascii="Arial" w:hAnsi="Arial" w:cs="Arial"/>
          <w:sz w:val="24"/>
          <w:szCs w:val="24"/>
        </w:rPr>
        <w:lastRenderedPageBreak/>
        <w:t>pozostaje zbliżony w całej populacji. W każdej analizowanej grupie dominują odpowiedzi wskazujące, że badani postrzegają siebie jako beneficjentów wpływu Funduszy Europejskich – zarówno bezpośrednio, jak i poprzez zmiany zachodzące w ich otoczeniu.</w:t>
      </w:r>
    </w:p>
    <w:p w14:paraId="5F79ACF0" w14:textId="6ADBD126" w:rsidR="005F51EE" w:rsidRPr="00672A70" w:rsidRDefault="005F51EE" w:rsidP="00C0187D">
      <w:pPr>
        <w:spacing w:line="360" w:lineRule="auto"/>
        <w:rPr>
          <w:rFonts w:ascii="Arial" w:hAnsi="Arial" w:cs="Arial"/>
          <w:sz w:val="24"/>
          <w:szCs w:val="24"/>
        </w:rPr>
      </w:pPr>
      <w:r w:rsidRPr="00672A70">
        <w:rPr>
          <w:rFonts w:ascii="Arial" w:hAnsi="Arial" w:cs="Arial"/>
          <w:sz w:val="24"/>
          <w:szCs w:val="24"/>
        </w:rPr>
        <w:t>Najbardziej jednoznaczne deklaracje dostrzegane są wśród mężczyzn, którzy częściej niż kobiety wskazują odpowiedź zdecydowanie tak, a jednocześnie rzadziej wybierają odpowiedzi skrajnie negatywne lub odpowiedź nie wiem. Kobiety częściej pozostają w postawie wyczekującej, wskazując odpowiedzi umiarkowane. Różnice nie są jednak na tyle duże, by zmieniały ogólny obraz – w obu grupach większość respondentów ocenia wpływ Funduszy Europejskich na własną sytuację jako pozytywny.</w:t>
      </w:r>
    </w:p>
    <w:p w14:paraId="59EC5724" w14:textId="0DF3962B" w:rsidR="005F51EE" w:rsidRPr="00672A70" w:rsidRDefault="005F51EE" w:rsidP="00C0187D">
      <w:pPr>
        <w:spacing w:line="360" w:lineRule="auto"/>
        <w:rPr>
          <w:rFonts w:ascii="Arial" w:hAnsi="Arial" w:cs="Arial"/>
          <w:sz w:val="24"/>
          <w:szCs w:val="24"/>
        </w:rPr>
      </w:pPr>
      <w:r w:rsidRPr="00672A70">
        <w:rPr>
          <w:rFonts w:ascii="Arial" w:hAnsi="Arial" w:cs="Arial"/>
          <w:sz w:val="24"/>
          <w:szCs w:val="24"/>
        </w:rPr>
        <w:t>Analiza rozkładu odpowiedzi według wieku pokazuje wyraźną sinusoidalność zaangażowania. Najmłodsi respondenci (15–19 lat) oraz osoby po 45. roku życia relatywnie częściej wybierają odpowiedzi ani tak, ani nie lub raczej nie</w:t>
      </w:r>
      <w:r w:rsidR="00EE3FDC">
        <w:rPr>
          <w:rFonts w:ascii="Arial" w:hAnsi="Arial" w:cs="Arial"/>
          <w:sz w:val="24"/>
          <w:szCs w:val="24"/>
        </w:rPr>
        <w:t>.</w:t>
      </w:r>
      <w:r w:rsidRPr="00672A70">
        <w:rPr>
          <w:rFonts w:ascii="Arial" w:hAnsi="Arial" w:cs="Arial"/>
          <w:sz w:val="24"/>
          <w:szCs w:val="24"/>
        </w:rPr>
        <w:t xml:space="preserve"> Najwyższy udział odpowiedzi </w:t>
      </w:r>
      <w:r w:rsidR="00992AE2" w:rsidRPr="00672A70">
        <w:rPr>
          <w:rFonts w:ascii="Arial" w:hAnsi="Arial" w:cs="Arial"/>
          <w:sz w:val="24"/>
          <w:szCs w:val="24"/>
        </w:rPr>
        <w:t>„</w:t>
      </w:r>
      <w:r w:rsidRPr="00672A70">
        <w:rPr>
          <w:rFonts w:ascii="Arial" w:hAnsi="Arial" w:cs="Arial"/>
          <w:sz w:val="24"/>
          <w:szCs w:val="24"/>
        </w:rPr>
        <w:t>zdecydowanie tak</w:t>
      </w:r>
      <w:r w:rsidR="00992AE2" w:rsidRPr="00672A70">
        <w:rPr>
          <w:rFonts w:ascii="Arial" w:hAnsi="Arial" w:cs="Arial"/>
          <w:sz w:val="24"/>
          <w:szCs w:val="24"/>
        </w:rPr>
        <w:t>”</w:t>
      </w:r>
      <w:r w:rsidRPr="00672A70">
        <w:rPr>
          <w:rFonts w:ascii="Arial" w:hAnsi="Arial" w:cs="Arial"/>
          <w:sz w:val="24"/>
          <w:szCs w:val="24"/>
        </w:rPr>
        <w:t xml:space="preserve"> odnotowano w </w:t>
      </w:r>
      <w:r w:rsidR="00E7121E">
        <w:rPr>
          <w:rFonts w:ascii="Arial" w:hAnsi="Arial" w:cs="Arial"/>
          <w:sz w:val="24"/>
          <w:szCs w:val="24"/>
        </w:rPr>
        <w:t xml:space="preserve">grupie </w:t>
      </w:r>
      <w:r w:rsidRPr="00672A70">
        <w:rPr>
          <w:rFonts w:ascii="Arial" w:hAnsi="Arial" w:cs="Arial"/>
          <w:sz w:val="24"/>
          <w:szCs w:val="24"/>
        </w:rPr>
        <w:t>65+, gdzie pozytywna ocena przekracza jedną trzecią odpowiedzi.</w:t>
      </w:r>
    </w:p>
    <w:p w14:paraId="5F5842C6" w14:textId="69040965" w:rsidR="00E7121E" w:rsidRDefault="00E7121E" w:rsidP="00C0187D">
      <w:pPr>
        <w:spacing w:line="360" w:lineRule="auto"/>
        <w:rPr>
          <w:rFonts w:ascii="Arial" w:hAnsi="Arial" w:cs="Arial"/>
          <w:sz w:val="24"/>
          <w:szCs w:val="24"/>
        </w:rPr>
      </w:pPr>
      <w:r w:rsidRPr="00E7121E">
        <w:rPr>
          <w:rFonts w:ascii="Arial" w:hAnsi="Arial" w:cs="Arial"/>
          <w:sz w:val="24"/>
          <w:szCs w:val="24"/>
        </w:rPr>
        <w:t>Wyniki pokazują wyraźne zróżnicowanie ocen korzystania z Funduszy Europejskich w zależności od poziomu wykształcenia, przy czym – zgodnie z oznaczeniami na wykresie – istotność statystyczna dotyczy odpowiedzi negatywnych. Najczęściej odpowiedzi „zdecydowanie nie” oraz „raczej nie” wskazują osoby z wykształceniem podstawowym, co może świadczyć o słabszej świadomości efektów Funduszy lub mniejszym kontakcie z projektami unijnymi w ich otoczeniu. W grupach z wykształceniem średnim i zawodowym odsetki odpowiedzi negatywnych są zbliżone do średniej, natomiast osoby z wykształceniem wyższym rzadziej wybierają odpowiedzi negatywne, częściej też deklarują postawy pozytywne lub neutralne. Może to odzwierciedlać różnice w dostępie do informacji o projektach finansowanych ze środków unijnych oraz różny poziom korzystania z usług i infrastruktury powstałej dzięki Funduszom Europejskim.</w:t>
      </w:r>
    </w:p>
    <w:p w14:paraId="2796099C" w14:textId="7565D98F" w:rsidR="005F51EE" w:rsidRPr="00672A70" w:rsidRDefault="005F51EE" w:rsidP="00C0187D">
      <w:pPr>
        <w:spacing w:line="360" w:lineRule="auto"/>
        <w:rPr>
          <w:rFonts w:ascii="Arial" w:hAnsi="Arial" w:cs="Arial"/>
          <w:sz w:val="24"/>
          <w:szCs w:val="24"/>
        </w:rPr>
      </w:pPr>
      <w:r w:rsidRPr="00672A70">
        <w:rPr>
          <w:rFonts w:ascii="Arial" w:hAnsi="Arial" w:cs="Arial"/>
          <w:sz w:val="24"/>
          <w:szCs w:val="24"/>
        </w:rPr>
        <w:t xml:space="preserve">Różnice widoczne są także między mieszkańcami wsi i miast różnych wielkości. Najwyższy poziom pozytywnych ocen (łącznie </w:t>
      </w:r>
      <w:r w:rsidR="00992AE2" w:rsidRPr="00672A70">
        <w:rPr>
          <w:rFonts w:ascii="Arial" w:hAnsi="Arial" w:cs="Arial"/>
          <w:sz w:val="24"/>
          <w:szCs w:val="24"/>
        </w:rPr>
        <w:t>„</w:t>
      </w:r>
      <w:r w:rsidRPr="00672A70">
        <w:rPr>
          <w:rFonts w:ascii="Arial" w:hAnsi="Arial" w:cs="Arial"/>
          <w:sz w:val="24"/>
          <w:szCs w:val="24"/>
        </w:rPr>
        <w:t>zdecydowanie tak</w:t>
      </w:r>
      <w:r w:rsidR="00992AE2" w:rsidRPr="00672A70">
        <w:rPr>
          <w:rFonts w:ascii="Arial" w:hAnsi="Arial" w:cs="Arial"/>
          <w:sz w:val="24"/>
          <w:szCs w:val="24"/>
        </w:rPr>
        <w:t>”</w:t>
      </w:r>
      <w:r w:rsidRPr="00672A70">
        <w:rPr>
          <w:rFonts w:ascii="Arial" w:hAnsi="Arial" w:cs="Arial"/>
          <w:sz w:val="24"/>
          <w:szCs w:val="24"/>
        </w:rPr>
        <w:t xml:space="preserve"> i </w:t>
      </w:r>
      <w:r w:rsidR="00992AE2" w:rsidRPr="00672A70">
        <w:rPr>
          <w:rFonts w:ascii="Arial" w:hAnsi="Arial" w:cs="Arial"/>
          <w:sz w:val="24"/>
          <w:szCs w:val="24"/>
        </w:rPr>
        <w:t>„</w:t>
      </w:r>
      <w:r w:rsidRPr="00672A70">
        <w:rPr>
          <w:rFonts w:ascii="Arial" w:hAnsi="Arial" w:cs="Arial"/>
          <w:sz w:val="24"/>
          <w:szCs w:val="24"/>
        </w:rPr>
        <w:t>raczej tak</w:t>
      </w:r>
      <w:r w:rsidR="00992AE2" w:rsidRPr="00672A70">
        <w:rPr>
          <w:rFonts w:ascii="Arial" w:hAnsi="Arial" w:cs="Arial"/>
          <w:sz w:val="24"/>
          <w:szCs w:val="24"/>
        </w:rPr>
        <w:t>”</w:t>
      </w:r>
      <w:r w:rsidRPr="00672A70">
        <w:rPr>
          <w:rFonts w:ascii="Arial" w:hAnsi="Arial" w:cs="Arial"/>
          <w:sz w:val="24"/>
          <w:szCs w:val="24"/>
        </w:rPr>
        <w:t xml:space="preserve">) pojawia się w małych miastach do 20 tys. mieszkańców oraz w ośrodkach miejskich liczących od 50 do 199 tys. mieszkańców. Z kolei mieszkańcy miast średnich (20–49 </w:t>
      </w:r>
      <w:r w:rsidRPr="00672A70">
        <w:rPr>
          <w:rFonts w:ascii="Arial" w:hAnsi="Arial" w:cs="Arial"/>
          <w:sz w:val="24"/>
          <w:szCs w:val="24"/>
        </w:rPr>
        <w:lastRenderedPageBreak/>
        <w:t>tys.) częściej wybierają odpowiedzi umiarkowane</w:t>
      </w:r>
      <w:r w:rsidR="00542210">
        <w:rPr>
          <w:rFonts w:ascii="Arial" w:hAnsi="Arial" w:cs="Arial"/>
          <w:sz w:val="24"/>
          <w:szCs w:val="24"/>
        </w:rPr>
        <w:t xml:space="preserve"> (raczej tak/nie)</w:t>
      </w:r>
      <w:r w:rsidRPr="00672A70">
        <w:rPr>
          <w:rFonts w:ascii="Arial" w:hAnsi="Arial" w:cs="Arial"/>
          <w:sz w:val="24"/>
          <w:szCs w:val="24"/>
        </w:rPr>
        <w:t xml:space="preserve"> i wskazują nieco wyższy poziom niepewności. Może to wynikać z odmiennego zakresu inwestycji oraz tempa odczuwalnych zmian w tych obszarach.</w:t>
      </w:r>
    </w:p>
    <w:p w14:paraId="41FB801C" w14:textId="77777777" w:rsidR="005F51EE" w:rsidRPr="00672A70" w:rsidRDefault="005F51EE" w:rsidP="00C0187D">
      <w:pPr>
        <w:spacing w:line="360" w:lineRule="auto"/>
        <w:rPr>
          <w:rFonts w:ascii="Arial" w:hAnsi="Arial" w:cs="Arial"/>
          <w:sz w:val="24"/>
          <w:szCs w:val="24"/>
        </w:rPr>
      </w:pPr>
      <w:r w:rsidRPr="00672A70">
        <w:rPr>
          <w:rFonts w:ascii="Arial" w:hAnsi="Arial" w:cs="Arial"/>
          <w:sz w:val="24"/>
          <w:szCs w:val="24"/>
        </w:rPr>
        <w:t>Całościowo wyniki wskazują, że postrzeganie osobistych korzyści z Funduszy Europejskich jest silnie zakorzenione w codziennych doświadczeniach i uwarunkowaniach lokalnych. Chociaż poziom pozytywnych ocen różni się pomiędzy segmentami społecznymi, dominują deklaracje sugerujące, że większość mieszkańców Polski utrzymuje przekonanie o realnych, zauważalnych korzyściach wynikających z realizacji projektów współfinansowanych ze środków unijnych.</w:t>
      </w:r>
    </w:p>
    <w:p w14:paraId="34D59004" w14:textId="020FE021" w:rsidR="005F51EE" w:rsidRPr="0028226B" w:rsidRDefault="005F51EE" w:rsidP="005F51EE">
      <w:pPr>
        <w:pStyle w:val="Legenda"/>
        <w:keepNext/>
        <w:rPr>
          <w:rFonts w:ascii="Arial" w:hAnsi="Arial" w:cs="Arial"/>
          <w:b/>
          <w:bCs/>
          <w:i w:val="0"/>
          <w:iCs w:val="0"/>
          <w:color w:val="auto"/>
          <w:sz w:val="24"/>
          <w:szCs w:val="24"/>
        </w:rPr>
      </w:pPr>
      <w:bookmarkStart w:id="48" w:name="_Toc219369259"/>
      <w:r w:rsidRPr="0028226B">
        <w:rPr>
          <w:rFonts w:ascii="Arial" w:hAnsi="Arial" w:cs="Arial"/>
          <w:b/>
          <w:bCs/>
          <w:i w:val="0"/>
          <w:iCs w:val="0"/>
          <w:color w:val="auto"/>
          <w:sz w:val="24"/>
          <w:szCs w:val="24"/>
        </w:rPr>
        <w:t xml:space="preserve">Wykres </w:t>
      </w:r>
      <w:r w:rsidRPr="0028226B">
        <w:rPr>
          <w:rFonts w:ascii="Arial" w:hAnsi="Arial" w:cs="Arial"/>
          <w:b/>
          <w:bCs/>
          <w:i w:val="0"/>
          <w:iCs w:val="0"/>
          <w:color w:val="auto"/>
          <w:sz w:val="24"/>
          <w:szCs w:val="24"/>
        </w:rPr>
        <w:fldChar w:fldCharType="begin"/>
      </w:r>
      <w:r w:rsidRPr="0028226B">
        <w:rPr>
          <w:rFonts w:ascii="Arial" w:hAnsi="Arial" w:cs="Arial"/>
          <w:b/>
          <w:bCs/>
          <w:i w:val="0"/>
          <w:iCs w:val="0"/>
          <w:color w:val="auto"/>
          <w:sz w:val="24"/>
          <w:szCs w:val="24"/>
        </w:rPr>
        <w:instrText xml:space="preserve"> SEQ Wykres \* ARABIC </w:instrText>
      </w:r>
      <w:r w:rsidRPr="0028226B">
        <w:rPr>
          <w:rFonts w:ascii="Arial" w:hAnsi="Arial" w:cs="Arial"/>
          <w:b/>
          <w:bCs/>
          <w:i w:val="0"/>
          <w:iCs w:val="0"/>
          <w:color w:val="auto"/>
          <w:sz w:val="24"/>
          <w:szCs w:val="24"/>
        </w:rPr>
        <w:fldChar w:fldCharType="separate"/>
      </w:r>
      <w:r w:rsidR="0055789E">
        <w:rPr>
          <w:rFonts w:ascii="Arial" w:hAnsi="Arial" w:cs="Arial"/>
          <w:b/>
          <w:bCs/>
          <w:i w:val="0"/>
          <w:iCs w:val="0"/>
          <w:noProof/>
          <w:color w:val="auto"/>
          <w:sz w:val="24"/>
          <w:szCs w:val="24"/>
        </w:rPr>
        <w:t>33</w:t>
      </w:r>
      <w:r w:rsidRPr="0028226B">
        <w:rPr>
          <w:rFonts w:ascii="Arial" w:hAnsi="Arial" w:cs="Arial"/>
          <w:b/>
          <w:bCs/>
          <w:i w:val="0"/>
          <w:iCs w:val="0"/>
          <w:color w:val="auto"/>
          <w:sz w:val="24"/>
          <w:szCs w:val="24"/>
        </w:rPr>
        <w:fldChar w:fldCharType="end"/>
      </w:r>
      <w:r w:rsidRPr="0028226B">
        <w:rPr>
          <w:rFonts w:ascii="Arial" w:hAnsi="Arial" w:cs="Arial"/>
          <w:b/>
          <w:bCs/>
          <w:i w:val="0"/>
          <w:iCs w:val="0"/>
          <w:color w:val="auto"/>
          <w:sz w:val="24"/>
          <w:szCs w:val="24"/>
        </w:rPr>
        <w:t xml:space="preserve">. </w:t>
      </w:r>
      <w:r w:rsidR="0004229E" w:rsidRPr="0028226B">
        <w:rPr>
          <w:rFonts w:ascii="Arial" w:hAnsi="Arial" w:cs="Arial"/>
          <w:b/>
          <w:bCs/>
          <w:i w:val="0"/>
          <w:iCs w:val="0"/>
          <w:color w:val="auto"/>
          <w:sz w:val="24"/>
          <w:szCs w:val="24"/>
        </w:rPr>
        <w:t>P17. Czy uważa Pan(i), że Pan(i) sam(a) osobiście korzysta z Funduszy Europejskich lub ze zmian, jakie dzięki nim zachodzą? – według cech demograficznych</w:t>
      </w:r>
      <w:bookmarkEnd w:id="48"/>
    </w:p>
    <w:p w14:paraId="598BEC6E" w14:textId="77777777" w:rsidR="005F51EE" w:rsidRPr="0028226B" w:rsidRDefault="005F51EE" w:rsidP="005F51EE">
      <w:pPr>
        <w:rPr>
          <w:rFonts w:ascii="Arial" w:hAnsi="Arial" w:cs="Arial"/>
          <w:sz w:val="24"/>
          <w:szCs w:val="24"/>
        </w:rPr>
      </w:pPr>
      <w:r w:rsidRPr="0028226B">
        <w:rPr>
          <w:rFonts w:ascii="Arial" w:hAnsi="Arial" w:cs="Arial"/>
          <w:noProof/>
          <w:sz w:val="24"/>
          <w:szCs w:val="24"/>
        </w:rPr>
        <w:drawing>
          <wp:inline distT="0" distB="0" distL="0" distR="0" wp14:anchorId="7ED77F29" wp14:editId="2E3BAF72">
            <wp:extent cx="5486400" cy="5528603"/>
            <wp:effectExtent l="0" t="0" r="0" b="0"/>
            <wp:docPr id="1274849013" name="Wykres 5" descr="Wykres poziomy przedstawia odpowiedzi na pytanie, czy – zdaniem respondentów – sami osobiście korzystają z Funduszy Europejskich lub ze zmian, jakie dzięki nim zachodzą (dane z 2025 roku). Wyniki pokazano w podziale na cechy demograficzne: płeć, wiek, wykształcenie oraz wielkość miejscowości. Każdy słupek to 100% rozkładu odpowiedzi w sześciu kategoriach: „zdecydowanie tak”, „raczej tak”, „ani tak, ani nie”, „raczej nie”, „zdecydowanie nie”, „nie wiem”.&#10;&#10;Wyniki ogółem: 31% „zdecydowanie tak” lub „raczej tak”, 33% „raczej tak”, 13% odpowiedzi neutralnych, 14% „raczej nie”, 2% „zdecydowanie nie” oraz 8% „nie wiem”.&#10;&#10;Płeć:&#10;– Kobiety oraz mężczyźni deklarują podobny poziom korzystania: 28–34% „zdecydowanie tak”, 32–33% „raczej tak”.&#10;– Odpowiedzi negatywne i brak zdania mieszczą się w przedziałach 2–16%.&#10;&#10;Wiek:&#10;– Najwyższy poziom zgody („zdecydowanie tak” + „raczej tak”) deklarują osoby 65+ (łącznie 69%), a także osoby 55–64 lata (61%).&#10;– Najniższy poziom zgody notują osoby 15–19 lat (54%) oraz 20–24 lata (57%).&#10;– Najwięcej odpowiedzi „nie wiem” udzielają osoby najmłodsze (do 15%).&#10;&#10;Wykształcenie:&#10;– Osoby z wykształceniem zawodowym i średnim najczęściej deklarują korzystanie (64–65% zgody).&#10;– Osoby z wykształceniem podstawowym mają najmniejszy udział zgody (54%) i najwyższy poziom odpowiedzi „ani tak, ani nie” lub negatywnych.&#10;&#10;Wielkość miejscowości:&#10;– Wysoki poziom zgody występuje w miastach 200–499 tys. (łącznie 63%), a także na wsi (64%).&#10;– Najniższy poziom zgody pojawia się w miastach do 20 tys. (61%) i 50–199 tys. (około 64%, lecz z większym odsetkiem odpowiedzi negatywnych).&#10;– Odpowiedzi „nie wiem” wahają się od 4% do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67FA0D27" w14:textId="407D8512" w:rsidR="005F51EE" w:rsidRPr="0028226B" w:rsidRDefault="005F51EE" w:rsidP="005F51EE">
      <w:pPr>
        <w:spacing w:before="240"/>
        <w:rPr>
          <w:rFonts w:ascii="Arial" w:hAnsi="Arial" w:cs="Arial"/>
          <w:sz w:val="24"/>
          <w:szCs w:val="24"/>
        </w:rPr>
      </w:pPr>
      <w:r w:rsidRPr="0028226B">
        <w:rPr>
          <w:rFonts w:ascii="Arial" w:hAnsi="Arial" w:cs="Arial"/>
          <w:sz w:val="24"/>
          <w:szCs w:val="24"/>
        </w:rPr>
        <w:lastRenderedPageBreak/>
        <w:t>Źródło: Opracowano na podstawie badania CAPI</w:t>
      </w:r>
      <w:r w:rsidR="008911AA">
        <w:rPr>
          <w:rFonts w:ascii="Arial" w:hAnsi="Arial" w:cs="Arial"/>
          <w:sz w:val="24"/>
          <w:szCs w:val="24"/>
        </w:rPr>
        <w:t>; odpowiadający: znający określenie FE lub FU</w:t>
      </w:r>
    </w:p>
    <w:p w14:paraId="6886EE29" w14:textId="2E332D85" w:rsidR="00C45631" w:rsidRPr="007C0BC4" w:rsidRDefault="00C45631" w:rsidP="00C0187D">
      <w:pPr>
        <w:spacing w:line="360" w:lineRule="auto"/>
        <w:rPr>
          <w:rFonts w:ascii="Arial" w:hAnsi="Arial" w:cs="Arial"/>
          <w:sz w:val="24"/>
          <w:szCs w:val="24"/>
        </w:rPr>
      </w:pPr>
      <w:r w:rsidRPr="00672A70">
        <w:rPr>
          <w:rFonts w:ascii="Arial" w:hAnsi="Arial" w:cs="Arial"/>
          <w:sz w:val="24"/>
          <w:szCs w:val="24"/>
        </w:rPr>
        <w:t>W odpowiedziach spontanicznych</w:t>
      </w:r>
      <w:r w:rsidR="00032B0A">
        <w:rPr>
          <w:rFonts w:ascii="Arial" w:hAnsi="Arial" w:cs="Arial"/>
          <w:sz w:val="24"/>
          <w:szCs w:val="24"/>
        </w:rPr>
        <w:t xml:space="preserve"> dotyczących sposobów korzystania z Funduszy Europejskich lub zmian, które dzięki nim zachodzą,</w:t>
      </w:r>
      <w:r w:rsidRPr="00672A70">
        <w:rPr>
          <w:rFonts w:ascii="Arial" w:hAnsi="Arial" w:cs="Arial"/>
          <w:sz w:val="24"/>
          <w:szCs w:val="24"/>
        </w:rPr>
        <w:t xml:space="preserve"> </w:t>
      </w:r>
      <w:r w:rsidRPr="007C0BC4">
        <w:rPr>
          <w:rFonts w:ascii="Arial" w:hAnsi="Arial" w:cs="Arial"/>
          <w:sz w:val="24"/>
          <w:szCs w:val="24"/>
        </w:rPr>
        <w:t>respondenci najczęściej wskazywali, że Fundusze Europejskie przynoszą im korzyści przede wszystkim w zakresie poprawy samopoczucia oraz ogólnego poczucia bezpieczeństwa – ten obszar wymieniło aż 63</w:t>
      </w:r>
      <w:r w:rsidR="00061EA1" w:rsidRPr="007C0BC4">
        <w:rPr>
          <w:rFonts w:ascii="Arial" w:hAnsi="Arial" w:cs="Arial"/>
          <w:sz w:val="24"/>
          <w:szCs w:val="24"/>
        </w:rPr>
        <w:t>%</w:t>
      </w:r>
      <w:r w:rsidRPr="007C0BC4">
        <w:rPr>
          <w:rFonts w:ascii="Arial" w:hAnsi="Arial" w:cs="Arial"/>
          <w:sz w:val="24"/>
          <w:szCs w:val="24"/>
        </w:rPr>
        <w:t xml:space="preserve"> osób udzielających odpowiedzi. Jest to zdecydowanie największa i najbardziej dominująca kategoria, sugerująca, że zmiany infrastrukturalne oraz społeczne finansowane ze środków unijnych przekładają się na subiektywną poprawę jakości życia.</w:t>
      </w:r>
    </w:p>
    <w:p w14:paraId="1B6B7AF5" w14:textId="3A682D75" w:rsidR="00C45631" w:rsidRPr="007C0BC4" w:rsidRDefault="00C45631" w:rsidP="00C0187D">
      <w:pPr>
        <w:spacing w:line="360" w:lineRule="auto"/>
        <w:rPr>
          <w:rFonts w:ascii="Arial" w:hAnsi="Arial" w:cs="Arial"/>
          <w:sz w:val="24"/>
          <w:szCs w:val="24"/>
        </w:rPr>
      </w:pPr>
      <w:r w:rsidRPr="007C0BC4">
        <w:rPr>
          <w:rFonts w:ascii="Arial" w:hAnsi="Arial" w:cs="Arial"/>
          <w:sz w:val="24"/>
          <w:szCs w:val="24"/>
        </w:rPr>
        <w:t>Drugą najczęściej wskazywaną grupą korzyści są nowe usługi, infrastruktura oraz technologie (10</w:t>
      </w:r>
      <w:r w:rsidR="00061EA1" w:rsidRPr="007C0BC4">
        <w:rPr>
          <w:rFonts w:ascii="Arial" w:hAnsi="Arial" w:cs="Arial"/>
          <w:sz w:val="24"/>
          <w:szCs w:val="24"/>
        </w:rPr>
        <w:t>%</w:t>
      </w:r>
      <w:r w:rsidRPr="007C0BC4">
        <w:rPr>
          <w:rFonts w:ascii="Arial" w:hAnsi="Arial" w:cs="Arial"/>
          <w:sz w:val="24"/>
          <w:szCs w:val="24"/>
        </w:rPr>
        <w:t>), co potwierdza, że inwestycje w przestrzeń publiczną, komunikację czy cyfryzację są zauważalne w codziennym życiu mieszkańców. Kolejne miejsca zajmują: mobilność i transport (9</w:t>
      </w:r>
      <w:r w:rsidR="00061EA1" w:rsidRPr="007C0BC4">
        <w:rPr>
          <w:rFonts w:ascii="Arial" w:hAnsi="Arial" w:cs="Arial"/>
          <w:sz w:val="24"/>
          <w:szCs w:val="24"/>
        </w:rPr>
        <w:t>%</w:t>
      </w:r>
      <w:r w:rsidRPr="007C0BC4">
        <w:rPr>
          <w:rFonts w:ascii="Arial" w:hAnsi="Arial" w:cs="Arial"/>
          <w:sz w:val="24"/>
          <w:szCs w:val="24"/>
        </w:rPr>
        <w:t>), otoczenie i środowisko (6</w:t>
      </w:r>
      <w:r w:rsidR="00061EA1" w:rsidRPr="007C0BC4">
        <w:rPr>
          <w:rFonts w:ascii="Arial" w:hAnsi="Arial" w:cs="Arial"/>
          <w:sz w:val="24"/>
          <w:szCs w:val="24"/>
        </w:rPr>
        <w:t>%</w:t>
      </w:r>
      <w:r w:rsidRPr="007C0BC4">
        <w:rPr>
          <w:rFonts w:ascii="Arial" w:hAnsi="Arial" w:cs="Arial"/>
          <w:sz w:val="24"/>
          <w:szCs w:val="24"/>
        </w:rPr>
        <w:t>), a także dostęp do edukacji i szkoleń (5</w:t>
      </w:r>
      <w:r w:rsidR="00061EA1" w:rsidRPr="007C0BC4">
        <w:rPr>
          <w:rFonts w:ascii="Arial" w:hAnsi="Arial" w:cs="Arial"/>
          <w:sz w:val="24"/>
          <w:szCs w:val="24"/>
        </w:rPr>
        <w:t>%</w:t>
      </w:r>
      <w:r w:rsidRPr="007C0BC4">
        <w:rPr>
          <w:rFonts w:ascii="Arial" w:hAnsi="Arial" w:cs="Arial"/>
          <w:sz w:val="24"/>
          <w:szCs w:val="24"/>
        </w:rPr>
        <w:t>). Pozostałe obszary – takie jak warunki pracy, warunki mieszkaniowe czy kwestie związane z rozwojem firm, stabilną pracą lub kwalifikacjami – pojawiają się rzadziej i mieszczą się pojedynczo w przedziale od 1 do 3</w:t>
      </w:r>
      <w:r w:rsidR="00061EA1" w:rsidRPr="007C0BC4">
        <w:rPr>
          <w:rFonts w:ascii="Arial" w:hAnsi="Arial" w:cs="Arial"/>
          <w:sz w:val="24"/>
          <w:szCs w:val="24"/>
        </w:rPr>
        <w:t>%</w:t>
      </w:r>
      <w:r w:rsidRPr="007C0BC4">
        <w:rPr>
          <w:rFonts w:ascii="Arial" w:hAnsi="Arial" w:cs="Arial"/>
          <w:sz w:val="24"/>
          <w:szCs w:val="24"/>
        </w:rPr>
        <w:t xml:space="preserve"> wskazań.</w:t>
      </w:r>
    </w:p>
    <w:p w14:paraId="0558B73D" w14:textId="68CD2258" w:rsidR="00C45631" w:rsidRPr="007C0BC4" w:rsidRDefault="00C45631" w:rsidP="00C0187D">
      <w:pPr>
        <w:spacing w:line="360" w:lineRule="auto"/>
        <w:rPr>
          <w:rFonts w:ascii="Arial" w:hAnsi="Arial" w:cs="Arial"/>
          <w:sz w:val="24"/>
          <w:szCs w:val="24"/>
        </w:rPr>
      </w:pPr>
      <w:r w:rsidRPr="007C0BC4">
        <w:rPr>
          <w:rFonts w:ascii="Arial" w:hAnsi="Arial" w:cs="Arial"/>
          <w:sz w:val="24"/>
          <w:szCs w:val="24"/>
        </w:rPr>
        <w:t xml:space="preserve">Struktura odpowiedzi pokazuje wyraźnie, że dla mieszkańców najbardziej odczuwalne są te korzyści, które mają charakter ogólny, bezpośrednio poprawiają komfort życia i poczucie bezpieczeństwa, natomiast korzyści stricte ekonomiczne czy zawodowe </w:t>
      </w:r>
      <w:r w:rsidR="007C0BC4">
        <w:rPr>
          <w:rFonts w:ascii="Arial" w:hAnsi="Arial" w:cs="Arial"/>
          <w:sz w:val="24"/>
          <w:szCs w:val="24"/>
        </w:rPr>
        <w:t>są dostrzegane</w:t>
      </w:r>
      <w:r w:rsidRPr="007C0BC4">
        <w:rPr>
          <w:rFonts w:ascii="Arial" w:hAnsi="Arial" w:cs="Arial"/>
          <w:sz w:val="24"/>
          <w:szCs w:val="24"/>
        </w:rPr>
        <w:t xml:space="preserve"> sporadycznie.</w:t>
      </w:r>
    </w:p>
    <w:p w14:paraId="19656230" w14:textId="59A91820" w:rsidR="00C45631" w:rsidRDefault="00C45631" w:rsidP="00AA4EBE">
      <w:pPr>
        <w:pStyle w:val="Legenda"/>
        <w:keepNext/>
        <w:spacing w:after="0"/>
        <w:rPr>
          <w:rFonts w:ascii="Arial" w:hAnsi="Arial" w:cs="Arial"/>
          <w:b/>
          <w:bCs/>
          <w:i w:val="0"/>
          <w:iCs w:val="0"/>
          <w:color w:val="000000" w:themeColor="text1"/>
          <w:sz w:val="24"/>
          <w:szCs w:val="24"/>
        </w:rPr>
      </w:pPr>
      <w:bookmarkStart w:id="49" w:name="_Toc219369260"/>
      <w:r w:rsidRPr="0028226B">
        <w:rPr>
          <w:rFonts w:ascii="Arial" w:hAnsi="Arial" w:cs="Arial"/>
          <w:b/>
          <w:bCs/>
          <w:i w:val="0"/>
          <w:iCs w:val="0"/>
          <w:color w:val="auto"/>
          <w:sz w:val="24"/>
          <w:szCs w:val="24"/>
        </w:rPr>
        <w:lastRenderedPageBreak/>
        <w:t xml:space="preserve">Wykres </w:t>
      </w:r>
      <w:r w:rsidRPr="007C0BC4">
        <w:rPr>
          <w:rFonts w:ascii="Arial" w:hAnsi="Arial" w:cs="Arial"/>
          <w:b/>
          <w:bCs/>
          <w:i w:val="0"/>
          <w:iCs w:val="0"/>
          <w:color w:val="000000" w:themeColor="text1"/>
          <w:sz w:val="24"/>
          <w:szCs w:val="24"/>
        </w:rPr>
        <w:fldChar w:fldCharType="begin"/>
      </w:r>
      <w:r w:rsidRPr="007C0BC4">
        <w:rPr>
          <w:rFonts w:ascii="Arial" w:hAnsi="Arial" w:cs="Arial"/>
          <w:b/>
          <w:bCs/>
          <w:i w:val="0"/>
          <w:iCs w:val="0"/>
          <w:color w:val="000000" w:themeColor="text1"/>
          <w:sz w:val="24"/>
          <w:szCs w:val="24"/>
        </w:rPr>
        <w:instrText xml:space="preserve"> SEQ Wykres \* ARABIC </w:instrText>
      </w:r>
      <w:r w:rsidRPr="007C0BC4">
        <w:rPr>
          <w:rFonts w:ascii="Arial" w:hAnsi="Arial" w:cs="Arial"/>
          <w:b/>
          <w:bCs/>
          <w:i w:val="0"/>
          <w:iCs w:val="0"/>
          <w:color w:val="000000" w:themeColor="text1"/>
          <w:sz w:val="24"/>
          <w:szCs w:val="24"/>
        </w:rPr>
        <w:fldChar w:fldCharType="separate"/>
      </w:r>
      <w:r w:rsidR="0055789E">
        <w:rPr>
          <w:rFonts w:ascii="Arial" w:hAnsi="Arial" w:cs="Arial"/>
          <w:b/>
          <w:bCs/>
          <w:i w:val="0"/>
          <w:iCs w:val="0"/>
          <w:noProof/>
          <w:color w:val="000000" w:themeColor="text1"/>
          <w:sz w:val="24"/>
          <w:szCs w:val="24"/>
        </w:rPr>
        <w:t>34</w:t>
      </w:r>
      <w:r w:rsidRPr="007C0BC4">
        <w:rPr>
          <w:rFonts w:ascii="Arial" w:hAnsi="Arial" w:cs="Arial"/>
          <w:b/>
          <w:bCs/>
          <w:i w:val="0"/>
          <w:iCs w:val="0"/>
          <w:color w:val="000000" w:themeColor="text1"/>
          <w:sz w:val="24"/>
          <w:szCs w:val="24"/>
        </w:rPr>
        <w:fldChar w:fldCharType="end"/>
      </w:r>
      <w:r w:rsidRPr="007C0BC4">
        <w:rPr>
          <w:rFonts w:ascii="Arial" w:hAnsi="Arial" w:cs="Arial"/>
          <w:b/>
          <w:bCs/>
          <w:i w:val="0"/>
          <w:iCs w:val="0"/>
          <w:color w:val="000000" w:themeColor="text1"/>
          <w:sz w:val="24"/>
          <w:szCs w:val="24"/>
        </w:rPr>
        <w:t xml:space="preserve">. </w:t>
      </w:r>
      <w:r w:rsidR="007C0BC4">
        <w:rPr>
          <w:rFonts w:ascii="Arial" w:hAnsi="Arial" w:cs="Arial"/>
          <w:b/>
          <w:bCs/>
          <w:i w:val="0"/>
          <w:iCs w:val="0"/>
          <w:color w:val="000000" w:themeColor="text1"/>
          <w:sz w:val="24"/>
          <w:szCs w:val="24"/>
        </w:rPr>
        <w:t xml:space="preserve">P18. </w:t>
      </w:r>
      <w:r w:rsidR="004B07D8" w:rsidRPr="007C0BC4">
        <w:rPr>
          <w:rFonts w:ascii="Arial" w:hAnsi="Arial" w:cs="Arial"/>
          <w:b/>
          <w:bCs/>
          <w:i w:val="0"/>
          <w:iCs w:val="0"/>
          <w:color w:val="000000" w:themeColor="text1"/>
          <w:sz w:val="24"/>
          <w:szCs w:val="24"/>
        </w:rPr>
        <w:t xml:space="preserve">Proszę powiedzieć, w jaki sposób korzysta Pan(i) z Funduszy Europejskich lub ze zmian, jakie dzięki nim zachodzą? </w:t>
      </w:r>
      <w:r w:rsidRPr="007C0BC4">
        <w:rPr>
          <w:rFonts w:ascii="Arial" w:hAnsi="Arial" w:cs="Arial"/>
          <w:b/>
          <w:bCs/>
          <w:i w:val="0"/>
          <w:iCs w:val="0"/>
          <w:color w:val="000000" w:themeColor="text1"/>
          <w:sz w:val="24"/>
          <w:szCs w:val="24"/>
        </w:rPr>
        <w:t xml:space="preserve"> (N=349)</w:t>
      </w:r>
      <w:bookmarkEnd w:id="49"/>
    </w:p>
    <w:p w14:paraId="449195C7" w14:textId="1395EC0B" w:rsidR="002F5B21" w:rsidRPr="00F22FF3" w:rsidRDefault="002F5B21" w:rsidP="00AA4EBE">
      <w:pPr>
        <w:spacing w:after="0"/>
        <w:rPr>
          <w:i/>
          <w:iCs/>
        </w:rPr>
      </w:pPr>
      <w:r>
        <w:rPr>
          <w:noProof/>
        </w:rPr>
        <w:drawing>
          <wp:inline distT="0" distB="0" distL="0" distR="0" wp14:anchorId="798D2ECB" wp14:editId="1BA1072E">
            <wp:extent cx="5486400" cy="3962400"/>
            <wp:effectExtent l="0" t="0" r="0" b="0"/>
            <wp:docPr id="344846562" name="Wykres 1" descr="Wykres poziomy prezentuje odpowiedzi na pytanie: „W jaki sposób korzysta Pan(i) z Funduszy Europejskich lub ze zmian, jakie dzięki nim zachodzą?” (N=349). Zestawienie obejmuje jedenaście kategorii ułożonych malejąco według częstości wskazań.&#10;&#10;Najczęściej wybierana odpowiedź to „Samopoczucie i bezpieczeństwo” – 63%, zdecydowanie dominująca nad pozostałymi kategoriami. Kolejne wskazania obejmują: „Nowe usługi, infrastruktura, technologie” – 10%, „Mobilność i transport” – 9%, „Otoczenie i środowisko” – 6%, „Dostęp do edukacji i szkoleń” – 5%.&#10;&#10;Mniej liczne odpowiedzi to: „Warunki pracy” – 3%, „Warunki mieszkaniowe i energetyczne” – 3%, „Rozwój firmy lub gospodarstwa” – 1%. Trzy najrzadziej wskazywane obszary – „Rodzina i czas wolny”, „Zatrudnienie i stabilna praca” oraz „Rozwój zawodowy i kwalifikacje” – otrzymały po 0%."/>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5E38C5BA" w14:textId="26B5D478" w:rsidR="00C45631" w:rsidRPr="0028226B" w:rsidRDefault="00C45631" w:rsidP="00C45631">
      <w:pPr>
        <w:spacing w:before="240"/>
        <w:rPr>
          <w:rFonts w:ascii="Arial" w:hAnsi="Arial" w:cs="Arial"/>
          <w:sz w:val="24"/>
          <w:szCs w:val="24"/>
        </w:rPr>
      </w:pPr>
      <w:r w:rsidRPr="0028226B">
        <w:rPr>
          <w:rFonts w:ascii="Arial" w:hAnsi="Arial" w:cs="Arial"/>
          <w:sz w:val="24"/>
          <w:szCs w:val="24"/>
        </w:rPr>
        <w:t>Źródło: Opracowano na podstawie badania CAPI</w:t>
      </w:r>
      <w:r w:rsidR="008911AA">
        <w:rPr>
          <w:rFonts w:ascii="Arial" w:hAnsi="Arial" w:cs="Arial"/>
          <w:sz w:val="24"/>
          <w:szCs w:val="24"/>
        </w:rPr>
        <w:t>; odpowiadający: znający określenie FE lub FU, potrafiący wymienić przykłady</w:t>
      </w:r>
    </w:p>
    <w:p w14:paraId="10BEBF00" w14:textId="74948E09" w:rsidR="002B6D1D" w:rsidRPr="00672A70" w:rsidRDefault="00F5194F" w:rsidP="00C0187D">
      <w:pPr>
        <w:spacing w:before="240" w:line="360" w:lineRule="auto"/>
        <w:rPr>
          <w:rFonts w:ascii="Arial" w:hAnsi="Arial" w:cs="Arial"/>
          <w:sz w:val="24"/>
          <w:szCs w:val="24"/>
        </w:rPr>
      </w:pPr>
      <w:r>
        <w:rPr>
          <w:rFonts w:ascii="Arial" w:hAnsi="Arial" w:cs="Arial"/>
          <w:sz w:val="24"/>
          <w:szCs w:val="24"/>
        </w:rPr>
        <w:t>Deklaratywna</w:t>
      </w:r>
      <w:r w:rsidR="002B6D1D" w:rsidRPr="00672A70">
        <w:rPr>
          <w:rFonts w:ascii="Arial" w:hAnsi="Arial" w:cs="Arial"/>
          <w:sz w:val="24"/>
          <w:szCs w:val="24"/>
        </w:rPr>
        <w:t xml:space="preserve"> znajomość osób korzystających z Funduszy Europejskich utrzymuje się na stosunkowo stabilnym poziomie, choć w analizowanym okresie widoczne są pewne wahania. W latach 2016–2018 obserwowano stopniowy wzrost – od 43% w 2016 roku do 46% w 2018 roku. Następnie wskaźnik spadł w latach 2019–2020, osiągając odpowiednio 38% i 37%, co było najniższym poziomem w badanym przedziale. Po tym okresie nastąpił ponowny wzrost – w 2021 roku odsetek wyniósł 43%, a w 2022 roku osiągnął najwyższą wartość 47%. W kolejnych latach wyniki ustabilizowały się – 45% w 2023 roku oraz </w:t>
      </w:r>
      <w:r w:rsidR="00577E54">
        <w:rPr>
          <w:rFonts w:ascii="Arial" w:hAnsi="Arial" w:cs="Arial"/>
          <w:sz w:val="24"/>
          <w:szCs w:val="24"/>
        </w:rPr>
        <w:t>45</w:t>
      </w:r>
      <w:r w:rsidR="002B6D1D" w:rsidRPr="00672A70">
        <w:rPr>
          <w:rFonts w:ascii="Arial" w:hAnsi="Arial" w:cs="Arial"/>
          <w:sz w:val="24"/>
          <w:szCs w:val="24"/>
        </w:rPr>
        <w:t>% w 2025 roku.</w:t>
      </w:r>
      <w:r w:rsidR="002B6D1D" w:rsidRPr="00672A70">
        <w:rPr>
          <w:rFonts w:ascii="Arial" w:hAnsi="Arial" w:cs="Arial"/>
          <w:sz w:val="24"/>
          <w:szCs w:val="24"/>
        </w:rPr>
        <w:br/>
        <w:t>Otrzymane dane wskazują, że część społeczeństwa ma w swoim otoczeniu osoby, które skorzystały z Funduszy Europejskich, a skala tych wskazań pozostaje zbliżona w całym badanym okresie.</w:t>
      </w:r>
    </w:p>
    <w:p w14:paraId="5A746C5F" w14:textId="4CA0A05D" w:rsidR="002B6D1D" w:rsidRPr="0028226B" w:rsidRDefault="002B6D1D" w:rsidP="002B6D1D">
      <w:pPr>
        <w:pStyle w:val="Legenda"/>
        <w:keepNext/>
        <w:rPr>
          <w:rFonts w:ascii="Arial" w:hAnsi="Arial" w:cs="Arial"/>
          <w:b/>
          <w:bCs/>
          <w:i w:val="0"/>
          <w:iCs w:val="0"/>
          <w:color w:val="auto"/>
          <w:sz w:val="24"/>
          <w:szCs w:val="24"/>
        </w:rPr>
      </w:pPr>
      <w:bookmarkStart w:id="50" w:name="_Toc219369261"/>
      <w:r w:rsidRPr="0028226B">
        <w:rPr>
          <w:rFonts w:ascii="Arial" w:hAnsi="Arial" w:cs="Arial"/>
          <w:b/>
          <w:bCs/>
          <w:i w:val="0"/>
          <w:iCs w:val="0"/>
          <w:color w:val="auto"/>
          <w:sz w:val="24"/>
          <w:szCs w:val="24"/>
        </w:rPr>
        <w:lastRenderedPageBreak/>
        <w:t xml:space="preserve">Wykres </w:t>
      </w:r>
      <w:r w:rsidRPr="0028226B">
        <w:rPr>
          <w:rFonts w:ascii="Arial" w:hAnsi="Arial" w:cs="Arial"/>
          <w:b/>
          <w:bCs/>
          <w:i w:val="0"/>
          <w:iCs w:val="0"/>
          <w:color w:val="auto"/>
          <w:sz w:val="24"/>
          <w:szCs w:val="24"/>
        </w:rPr>
        <w:fldChar w:fldCharType="begin"/>
      </w:r>
      <w:r w:rsidRPr="0028226B">
        <w:rPr>
          <w:rFonts w:ascii="Arial" w:hAnsi="Arial" w:cs="Arial"/>
          <w:b/>
          <w:bCs/>
          <w:i w:val="0"/>
          <w:iCs w:val="0"/>
          <w:color w:val="auto"/>
          <w:sz w:val="24"/>
          <w:szCs w:val="24"/>
        </w:rPr>
        <w:instrText xml:space="preserve"> SEQ Wykres \* ARABIC </w:instrText>
      </w:r>
      <w:r w:rsidRPr="0028226B">
        <w:rPr>
          <w:rFonts w:ascii="Arial" w:hAnsi="Arial" w:cs="Arial"/>
          <w:b/>
          <w:bCs/>
          <w:i w:val="0"/>
          <w:iCs w:val="0"/>
          <w:color w:val="auto"/>
          <w:sz w:val="24"/>
          <w:szCs w:val="24"/>
        </w:rPr>
        <w:fldChar w:fldCharType="separate"/>
      </w:r>
      <w:r w:rsidR="0055789E">
        <w:rPr>
          <w:rFonts w:ascii="Arial" w:hAnsi="Arial" w:cs="Arial"/>
          <w:b/>
          <w:bCs/>
          <w:i w:val="0"/>
          <w:iCs w:val="0"/>
          <w:noProof/>
          <w:color w:val="auto"/>
          <w:sz w:val="24"/>
          <w:szCs w:val="24"/>
        </w:rPr>
        <w:t>35</w:t>
      </w:r>
      <w:r w:rsidRPr="0028226B">
        <w:rPr>
          <w:rFonts w:ascii="Arial" w:hAnsi="Arial" w:cs="Arial"/>
          <w:b/>
          <w:bCs/>
          <w:i w:val="0"/>
          <w:iCs w:val="0"/>
          <w:color w:val="auto"/>
          <w:sz w:val="24"/>
          <w:szCs w:val="24"/>
        </w:rPr>
        <w:fldChar w:fldCharType="end"/>
      </w:r>
      <w:r w:rsidRPr="0028226B">
        <w:rPr>
          <w:rFonts w:ascii="Arial" w:hAnsi="Arial" w:cs="Arial"/>
          <w:b/>
          <w:bCs/>
          <w:i w:val="0"/>
          <w:iCs w:val="0"/>
          <w:color w:val="auto"/>
          <w:sz w:val="24"/>
          <w:szCs w:val="24"/>
        </w:rPr>
        <w:t xml:space="preserve">. </w:t>
      </w:r>
      <w:r w:rsidR="004B07D8" w:rsidRPr="0028226B">
        <w:rPr>
          <w:rFonts w:ascii="Arial" w:hAnsi="Arial" w:cs="Arial"/>
          <w:b/>
          <w:bCs/>
          <w:i w:val="0"/>
          <w:iCs w:val="0"/>
          <w:color w:val="auto"/>
          <w:sz w:val="24"/>
          <w:szCs w:val="24"/>
        </w:rPr>
        <w:t xml:space="preserve">P.19. A czy zna Pan(i) może kogoś, kto skorzystał lub korzysta z Funduszy Europejskich lub ze zmian, jakie dzięki nim zachodzą? - </w:t>
      </w:r>
      <w:r w:rsidRPr="0028226B">
        <w:rPr>
          <w:rFonts w:ascii="Arial" w:hAnsi="Arial" w:cs="Arial"/>
          <w:b/>
          <w:bCs/>
          <w:i w:val="0"/>
          <w:iCs w:val="0"/>
          <w:color w:val="auto"/>
          <w:sz w:val="24"/>
          <w:szCs w:val="24"/>
        </w:rPr>
        <w:t>w latach 2016–2025</w:t>
      </w:r>
      <w:bookmarkEnd w:id="50"/>
    </w:p>
    <w:p w14:paraId="4A3FBA22" w14:textId="64B4434C" w:rsidR="002B6D1D" w:rsidRPr="0028226B" w:rsidRDefault="002B6D1D" w:rsidP="002B6D1D">
      <w:pPr>
        <w:rPr>
          <w:rFonts w:ascii="Arial" w:hAnsi="Arial" w:cs="Arial"/>
          <w:sz w:val="24"/>
          <w:szCs w:val="24"/>
        </w:rPr>
      </w:pPr>
      <w:r w:rsidRPr="0028226B">
        <w:rPr>
          <w:rFonts w:ascii="Arial" w:hAnsi="Arial" w:cs="Arial"/>
          <w:noProof/>
          <w:sz w:val="24"/>
          <w:szCs w:val="24"/>
        </w:rPr>
        <w:drawing>
          <wp:inline distT="0" distB="0" distL="0" distR="0" wp14:anchorId="09D479DB" wp14:editId="593EA85B">
            <wp:extent cx="5730240" cy="3200400"/>
            <wp:effectExtent l="0" t="0" r="0" b="0"/>
            <wp:docPr id="327418672" name="Wykres 3" descr="Wykres liniowy przedstawia odsetek osób, które znają kogoś korzystającego z Funduszy Europejskich lub ze zmian, jakie dzięki nim zachodzą, w latach 2016–2025. Na osi X znajdują się kolejne lata wraz z liczebnościami prób badawczych; oś Y prezentuje wartości procentowe od 0% do 100%.&#10;&#10;Wartości odsetków są następujące:&#10;2016 – 43%,&#10;2017 – 42%,&#10;2018 – 46%,&#10;2019 – 38%,&#10;2020 – 37%,&#10;2021 – 43%,&#10;2022 – 47%,&#10;2023 – 45%,&#10;2024 – 45%,&#10;2025 – 45%."/>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sidR="3AEFD63B" w:rsidRPr="0028226B">
        <w:rPr>
          <w:rFonts w:ascii="Arial" w:hAnsi="Arial" w:cs="Arial"/>
          <w:sz w:val="24"/>
          <w:szCs w:val="24"/>
        </w:rPr>
        <w:t xml:space="preserve"> Źródło: Opracowano na podstawie badania CAPI</w:t>
      </w:r>
      <w:r w:rsidR="008911AA">
        <w:rPr>
          <w:rFonts w:ascii="Arial" w:hAnsi="Arial" w:cs="Arial"/>
          <w:sz w:val="24"/>
          <w:szCs w:val="24"/>
        </w:rPr>
        <w:t>; odpowiadający: znający określenie FE lub FU</w:t>
      </w:r>
    </w:p>
    <w:p w14:paraId="14345041" w14:textId="6E69A6B3" w:rsidR="00822516" w:rsidRPr="00672A70" w:rsidRDefault="00F5194F" w:rsidP="00C0187D">
      <w:pPr>
        <w:spacing w:line="360" w:lineRule="auto"/>
        <w:rPr>
          <w:rFonts w:ascii="Arial" w:hAnsi="Arial" w:cs="Arial"/>
          <w:sz w:val="24"/>
          <w:szCs w:val="24"/>
        </w:rPr>
      </w:pPr>
      <w:r>
        <w:rPr>
          <w:rFonts w:ascii="Arial" w:hAnsi="Arial" w:cs="Arial"/>
          <w:sz w:val="24"/>
          <w:szCs w:val="24"/>
        </w:rPr>
        <w:t>Blisko</w:t>
      </w:r>
      <w:r w:rsidR="11C6396E" w:rsidRPr="00672A70">
        <w:rPr>
          <w:rFonts w:ascii="Arial" w:hAnsi="Arial" w:cs="Arial"/>
          <w:sz w:val="24"/>
          <w:szCs w:val="24"/>
        </w:rPr>
        <w:t xml:space="preserve"> połowa badanych (45%) zna kogoś, kto korzystał lub korzysta z Funduszy Europejskich albo ze zmian finansowanych z tych środków. Odsetek ten jest stosunkowo stabilny w większości analizowanych grup, choć widoczne są pewne różnice. Kobiety i mężczyźni deklarują podobny poziom wskazań, </w:t>
      </w:r>
      <w:r>
        <w:rPr>
          <w:rFonts w:ascii="Arial" w:hAnsi="Arial" w:cs="Arial"/>
          <w:sz w:val="24"/>
          <w:szCs w:val="24"/>
        </w:rPr>
        <w:t>natomiast</w:t>
      </w:r>
      <w:r w:rsidRPr="00672A70">
        <w:rPr>
          <w:rFonts w:ascii="Arial" w:hAnsi="Arial" w:cs="Arial"/>
          <w:sz w:val="24"/>
          <w:szCs w:val="24"/>
        </w:rPr>
        <w:t xml:space="preserve"> </w:t>
      </w:r>
      <w:r w:rsidR="11C6396E" w:rsidRPr="00672A70">
        <w:rPr>
          <w:rFonts w:ascii="Arial" w:hAnsi="Arial" w:cs="Arial"/>
          <w:sz w:val="24"/>
          <w:szCs w:val="24"/>
        </w:rPr>
        <w:t xml:space="preserve">osoby z grupy 45–54 lata częściej wskazują, że znają beneficjentów Funduszy Europejskich. </w:t>
      </w:r>
    </w:p>
    <w:p w14:paraId="35F79313" w14:textId="33EC390C" w:rsidR="00822516" w:rsidRPr="00672A70" w:rsidRDefault="00822516" w:rsidP="00C0187D">
      <w:pPr>
        <w:spacing w:line="360" w:lineRule="auto"/>
        <w:rPr>
          <w:rFonts w:ascii="Arial" w:hAnsi="Arial" w:cs="Arial"/>
          <w:sz w:val="24"/>
          <w:szCs w:val="24"/>
        </w:rPr>
      </w:pPr>
      <w:r w:rsidRPr="00672A70">
        <w:rPr>
          <w:rFonts w:ascii="Arial" w:hAnsi="Arial" w:cs="Arial"/>
          <w:sz w:val="24"/>
          <w:szCs w:val="24"/>
        </w:rPr>
        <w:t>Zróżnicowanie pojawia się także w zależności od wielkości miejsca zamieszkania — najwyższy poziom znajomości beneficjentów FE odnotowano w miastach 20–49 tys. mieszkańców (</w:t>
      </w:r>
      <w:r w:rsidR="00577E54">
        <w:rPr>
          <w:rFonts w:ascii="Arial" w:hAnsi="Arial" w:cs="Arial"/>
          <w:sz w:val="24"/>
          <w:szCs w:val="24"/>
        </w:rPr>
        <w:t>50</w:t>
      </w:r>
      <w:r w:rsidRPr="00672A70">
        <w:rPr>
          <w:rFonts w:ascii="Arial" w:hAnsi="Arial" w:cs="Arial"/>
          <w:sz w:val="24"/>
          <w:szCs w:val="24"/>
        </w:rPr>
        <w:t xml:space="preserve">%) oraz wśród mieszkańców największych aglomeracji (46%). Z kolei w miastach </w:t>
      </w:r>
      <w:r w:rsidR="004347B3">
        <w:rPr>
          <w:rFonts w:ascii="Arial" w:hAnsi="Arial" w:cs="Arial"/>
          <w:sz w:val="24"/>
          <w:szCs w:val="24"/>
        </w:rPr>
        <w:t>dużych</w:t>
      </w:r>
      <w:r w:rsidR="004347B3" w:rsidRPr="00672A70">
        <w:rPr>
          <w:rFonts w:ascii="Arial" w:hAnsi="Arial" w:cs="Arial"/>
          <w:sz w:val="24"/>
          <w:szCs w:val="24"/>
        </w:rPr>
        <w:t xml:space="preserve"> </w:t>
      </w:r>
      <w:r w:rsidRPr="00672A70">
        <w:rPr>
          <w:rFonts w:ascii="Arial" w:hAnsi="Arial" w:cs="Arial"/>
          <w:sz w:val="24"/>
          <w:szCs w:val="24"/>
        </w:rPr>
        <w:t>(200–499 tys.) wyraźnie częściej pojawiają się odpowiedzi „nie”, co może sugerować większe rozproszenie inwestycji lub mniejszą osobistą styczność z projektami FE.</w:t>
      </w:r>
    </w:p>
    <w:p w14:paraId="75D201FC" w14:textId="77777777" w:rsidR="00822516" w:rsidRPr="00672A70" w:rsidRDefault="00822516" w:rsidP="00C0187D">
      <w:pPr>
        <w:spacing w:line="360" w:lineRule="auto"/>
        <w:rPr>
          <w:rFonts w:ascii="Arial" w:hAnsi="Arial" w:cs="Arial"/>
          <w:sz w:val="24"/>
          <w:szCs w:val="24"/>
        </w:rPr>
      </w:pPr>
      <w:r w:rsidRPr="00672A70">
        <w:rPr>
          <w:rFonts w:ascii="Arial" w:hAnsi="Arial" w:cs="Arial"/>
          <w:sz w:val="24"/>
          <w:szCs w:val="24"/>
        </w:rPr>
        <w:t>Wyniki potwierdzają, że Fundusze Europejskie są w społeczeństwie zauważalne – nawet jeśli nie każdy korzysta z nich bezpośrednio, to duża część badanych zna osoby, które takich środków doświadczyły lub korzystają z efektów ich realizacji.</w:t>
      </w:r>
    </w:p>
    <w:p w14:paraId="72558C97" w14:textId="4023F428" w:rsidR="00822516" w:rsidRPr="0028226B" w:rsidRDefault="00822516" w:rsidP="00822516">
      <w:pPr>
        <w:pStyle w:val="Legenda"/>
        <w:keepNext/>
        <w:rPr>
          <w:rFonts w:ascii="Arial" w:hAnsi="Arial" w:cs="Arial"/>
          <w:b/>
          <w:bCs/>
          <w:i w:val="0"/>
          <w:iCs w:val="0"/>
          <w:color w:val="auto"/>
          <w:sz w:val="24"/>
          <w:szCs w:val="24"/>
        </w:rPr>
      </w:pPr>
      <w:bookmarkStart w:id="51" w:name="_Toc219369262"/>
      <w:r w:rsidRPr="0028226B">
        <w:rPr>
          <w:rFonts w:ascii="Arial" w:hAnsi="Arial" w:cs="Arial"/>
          <w:b/>
          <w:bCs/>
          <w:i w:val="0"/>
          <w:iCs w:val="0"/>
          <w:color w:val="auto"/>
          <w:sz w:val="24"/>
          <w:szCs w:val="24"/>
        </w:rPr>
        <w:lastRenderedPageBreak/>
        <w:t xml:space="preserve">Wykres </w:t>
      </w:r>
      <w:r w:rsidRPr="0028226B">
        <w:rPr>
          <w:rFonts w:ascii="Arial" w:hAnsi="Arial" w:cs="Arial"/>
          <w:b/>
          <w:bCs/>
          <w:i w:val="0"/>
          <w:iCs w:val="0"/>
          <w:color w:val="auto"/>
          <w:sz w:val="24"/>
          <w:szCs w:val="24"/>
        </w:rPr>
        <w:fldChar w:fldCharType="begin"/>
      </w:r>
      <w:r w:rsidRPr="0028226B">
        <w:rPr>
          <w:rFonts w:ascii="Arial" w:hAnsi="Arial" w:cs="Arial"/>
          <w:b/>
          <w:bCs/>
          <w:i w:val="0"/>
          <w:iCs w:val="0"/>
          <w:color w:val="auto"/>
          <w:sz w:val="24"/>
          <w:szCs w:val="24"/>
        </w:rPr>
        <w:instrText xml:space="preserve"> SEQ Wykres \* ARABIC </w:instrText>
      </w:r>
      <w:r w:rsidRPr="0028226B">
        <w:rPr>
          <w:rFonts w:ascii="Arial" w:hAnsi="Arial" w:cs="Arial"/>
          <w:b/>
          <w:bCs/>
          <w:i w:val="0"/>
          <w:iCs w:val="0"/>
          <w:color w:val="auto"/>
          <w:sz w:val="24"/>
          <w:szCs w:val="24"/>
        </w:rPr>
        <w:fldChar w:fldCharType="separate"/>
      </w:r>
      <w:r w:rsidR="0055789E">
        <w:rPr>
          <w:rFonts w:ascii="Arial" w:hAnsi="Arial" w:cs="Arial"/>
          <w:b/>
          <w:bCs/>
          <w:i w:val="0"/>
          <w:iCs w:val="0"/>
          <w:noProof/>
          <w:color w:val="auto"/>
          <w:sz w:val="24"/>
          <w:szCs w:val="24"/>
        </w:rPr>
        <w:t>36</w:t>
      </w:r>
      <w:r w:rsidRPr="0028226B">
        <w:rPr>
          <w:rFonts w:ascii="Arial" w:hAnsi="Arial" w:cs="Arial"/>
          <w:b/>
          <w:bCs/>
          <w:i w:val="0"/>
          <w:iCs w:val="0"/>
          <w:color w:val="auto"/>
          <w:sz w:val="24"/>
          <w:szCs w:val="24"/>
        </w:rPr>
        <w:fldChar w:fldCharType="end"/>
      </w:r>
      <w:r w:rsidRPr="0028226B">
        <w:rPr>
          <w:rFonts w:ascii="Arial" w:hAnsi="Arial" w:cs="Arial"/>
          <w:b/>
          <w:bCs/>
          <w:i w:val="0"/>
          <w:iCs w:val="0"/>
          <w:color w:val="auto"/>
          <w:sz w:val="24"/>
          <w:szCs w:val="24"/>
        </w:rPr>
        <w:t xml:space="preserve">. </w:t>
      </w:r>
      <w:r w:rsidR="004B07D8" w:rsidRPr="0028226B">
        <w:rPr>
          <w:rFonts w:ascii="Arial" w:hAnsi="Arial" w:cs="Arial"/>
          <w:b/>
          <w:bCs/>
          <w:i w:val="0"/>
          <w:iCs w:val="0"/>
          <w:color w:val="auto"/>
          <w:sz w:val="24"/>
          <w:szCs w:val="24"/>
        </w:rPr>
        <w:t>P.19. A czy zna Pan(i) może kogoś, kto skorzystał lub korzysta z Funduszy Europejskich lub ze zmian, jakie dzięki nim zachodzą?</w:t>
      </w:r>
      <w:r w:rsidR="00ED2B9A">
        <w:rPr>
          <w:rFonts w:ascii="Arial" w:hAnsi="Arial" w:cs="Arial"/>
          <w:b/>
          <w:bCs/>
          <w:i w:val="0"/>
          <w:iCs w:val="0"/>
          <w:color w:val="auto"/>
          <w:sz w:val="24"/>
          <w:szCs w:val="24"/>
        </w:rPr>
        <w:t xml:space="preserve"> </w:t>
      </w:r>
      <w:r w:rsidRPr="0028226B">
        <w:rPr>
          <w:rFonts w:ascii="Arial" w:hAnsi="Arial" w:cs="Arial"/>
          <w:b/>
          <w:bCs/>
          <w:i w:val="0"/>
          <w:iCs w:val="0"/>
          <w:color w:val="auto"/>
          <w:sz w:val="24"/>
          <w:szCs w:val="24"/>
        </w:rPr>
        <w:t>–</w:t>
      </w:r>
      <w:r w:rsidR="00ED2B9A">
        <w:rPr>
          <w:rFonts w:ascii="Arial" w:hAnsi="Arial" w:cs="Arial"/>
          <w:b/>
          <w:bCs/>
          <w:i w:val="0"/>
          <w:iCs w:val="0"/>
          <w:color w:val="auto"/>
          <w:sz w:val="24"/>
          <w:szCs w:val="24"/>
        </w:rPr>
        <w:t xml:space="preserve"> </w:t>
      </w:r>
      <w:r w:rsidRPr="0028226B">
        <w:rPr>
          <w:rFonts w:ascii="Arial" w:hAnsi="Arial" w:cs="Arial"/>
          <w:b/>
          <w:bCs/>
          <w:i w:val="0"/>
          <w:iCs w:val="0"/>
          <w:color w:val="auto"/>
          <w:sz w:val="24"/>
          <w:szCs w:val="24"/>
        </w:rPr>
        <w:t>według cech demograficznych (2025)</w:t>
      </w:r>
      <w:bookmarkEnd w:id="51"/>
    </w:p>
    <w:p w14:paraId="053AE22A" w14:textId="77777777" w:rsidR="002B6D1D" w:rsidRPr="0028226B" w:rsidRDefault="002B6D1D" w:rsidP="002B6D1D">
      <w:pPr>
        <w:rPr>
          <w:rFonts w:ascii="Arial" w:hAnsi="Arial" w:cs="Arial"/>
          <w:sz w:val="24"/>
          <w:szCs w:val="24"/>
        </w:rPr>
      </w:pPr>
      <w:r w:rsidRPr="0028226B">
        <w:rPr>
          <w:rFonts w:ascii="Arial" w:hAnsi="Arial" w:cs="Arial"/>
          <w:noProof/>
          <w:sz w:val="24"/>
          <w:szCs w:val="24"/>
        </w:rPr>
        <w:drawing>
          <wp:inline distT="0" distB="0" distL="0" distR="0" wp14:anchorId="748559B7" wp14:editId="54D643A2">
            <wp:extent cx="6006465" cy="5936566"/>
            <wp:effectExtent l="0" t="0" r="0" b="0"/>
            <wp:docPr id="1768465646" name="Wykres 5" descr="Wykres prezentuje odpowiedzi na pytanie: „A czy zna Pan(i) może kogoś, kto skorzystał lub korzysta z Funduszy Europejskich lub ze zmian, jakie dzięki nim zachodzą?” w 2025 roku, w podziale na cechy demograficzne. Każdy wiersz to słupek o długości 100%, podzielony na trzy kategorie odpowiedzi: „tak”, „nie” oraz „nie wiem”.&#10;&#10;Wynik ogółem pokazuje, że 45% badanych zna takie osoby, 41% nie zna, a 14% nie ma zdania.&#10;&#10;W podziale na płeć kobiety i mężczyźni deklarują znajomość takich osób w identycznym odsetku (45%). Kobiety częściej nie mają zdania (12%), natomiast mężczyźni częściej odpowiadają „nie” (39%).&#10;&#10;W podziale na wiek największy odsetek odpowiedzi „tak” występuje w grupie 15–19 lat (46%), 25–34 lat (47%) oraz 55–64 lata (46%). Najniższy poziom deklaracji „tak” widoczny jest w grupie 20–24 lata (39%). Największą niepewność („nie wiem”) wskazują osoby 65+ (15%) oraz 15–19 lat (15%).&#10;&#10;W podziale na wykształcenie odsetek odpowiedzi „tak” jest wyrównany: 43% wśród osób z wyższym wykształceniem, 46% ze średnim, 44% zawodowym oraz 47% z podstawowym. Najwięcej odpowiedzi „nie” wskazują osoby z wykształceniem zawodowym (43%).&#10;&#10;W podziale według miejsca zamieszkania:&#10;• mieszkańcy wsi – 45% „tak”, 40% „nie”;&#10;• miasta do 20 tys. – 44% „tak”;&#10;• miasta 20–49 tys. – najwyższy poziom wskazań „tak” (50%);&#10;• miasta 50–199 tys. – 43% „tak”;&#10;• miasta 200–499 tys. – najniższy odsetek „tak” (40%) oraz najwyższy odsetek odpowiedzi „nie wiem” (11%);&#10;• miasta powyżej 500 tys. – 46% „tak”, przy stosunkowo wysokim poziomie odpowiedzi „nie” (36%) i 18% „nie wiem”."/>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3F031690" w14:textId="6162F0D6" w:rsidR="002B6D1D" w:rsidRDefault="002B6D1D" w:rsidP="002B6D1D">
      <w:pPr>
        <w:spacing w:before="240"/>
        <w:rPr>
          <w:rFonts w:ascii="Arial" w:hAnsi="Arial" w:cs="Arial"/>
          <w:sz w:val="24"/>
          <w:szCs w:val="24"/>
        </w:rPr>
      </w:pPr>
      <w:r w:rsidRPr="00672A70">
        <w:rPr>
          <w:rFonts w:ascii="Arial" w:hAnsi="Arial" w:cs="Arial"/>
          <w:sz w:val="24"/>
          <w:szCs w:val="24"/>
        </w:rPr>
        <w:t>Źródło: Opracowano na podstawie badania CAPI</w:t>
      </w:r>
      <w:r w:rsidR="008911AA">
        <w:rPr>
          <w:rFonts w:ascii="Arial" w:hAnsi="Arial" w:cs="Arial"/>
          <w:sz w:val="24"/>
          <w:szCs w:val="24"/>
        </w:rPr>
        <w:t>; odpowiadający: znający określenie FE lub FU</w:t>
      </w:r>
    </w:p>
    <w:p w14:paraId="72BCF85A" w14:textId="1DB0356D" w:rsidR="003814DA" w:rsidRPr="00672A70" w:rsidRDefault="003814DA" w:rsidP="00AA4EBE">
      <w:pPr>
        <w:spacing w:before="240" w:line="360" w:lineRule="auto"/>
        <w:rPr>
          <w:rFonts w:ascii="Arial" w:hAnsi="Arial" w:cs="Arial"/>
          <w:sz w:val="24"/>
          <w:szCs w:val="24"/>
        </w:rPr>
      </w:pPr>
      <w:r w:rsidRPr="003814DA">
        <w:rPr>
          <w:rFonts w:ascii="Arial" w:hAnsi="Arial" w:cs="Arial"/>
          <w:sz w:val="24"/>
          <w:szCs w:val="24"/>
        </w:rPr>
        <w:t xml:space="preserve">Rozkład spontanicznych odpowiedzi dotyczących sposobów, w jakie znajomi respondentów korzystają z Funduszy Europejskich lub zmian, które dzięki nim zachodzą, wskazuje, że badani najczęściej kojarzą takie działania z przedsiębiorczością – odpowiedź tę wskazało 25% respondentów, którzy udzielili merytorycznej odpowiedzi. Kolejną istotną kategorią jest wsparcie rolnictwa, wymieniane przez 17% badanych. W dalszej kolejności pojawiają się ogólne </w:t>
      </w:r>
      <w:r w:rsidRPr="003814DA">
        <w:rPr>
          <w:rFonts w:ascii="Arial" w:hAnsi="Arial" w:cs="Arial"/>
          <w:sz w:val="24"/>
          <w:szCs w:val="24"/>
        </w:rPr>
        <w:lastRenderedPageBreak/>
        <w:t xml:space="preserve">odniesienia do dotacji (10%), a także działania związane z poprawą ekologii oraz edukacją (po 8%). Poprawa lokalnej infrastruktury wskazywana jest przez 7% respondentów, natomiast transport oraz szkolenia przez po 6%. Poprawę jakości życia zauważa 3% badanych. Odpowiedzi inne, niewpisujące się w główne kategorie, stanowią 4%, natomiast 5% wypowiedzi miało charakter </w:t>
      </w:r>
      <w:proofErr w:type="spellStart"/>
      <w:r w:rsidRPr="003814DA">
        <w:rPr>
          <w:rFonts w:ascii="Arial" w:hAnsi="Arial" w:cs="Arial"/>
          <w:sz w:val="24"/>
          <w:szCs w:val="24"/>
        </w:rPr>
        <w:t>niemerytoryczny</w:t>
      </w:r>
      <w:proofErr w:type="spellEnd"/>
      <w:r w:rsidRPr="003814DA">
        <w:rPr>
          <w:rFonts w:ascii="Arial" w:hAnsi="Arial" w:cs="Arial"/>
          <w:sz w:val="24"/>
          <w:szCs w:val="24"/>
        </w:rPr>
        <w:t>. Warto podkreślić, że są to odpowiedzi spontaniczne, odzwierciedlające naturalne skojarzenia respondentów dotyczące sposobów korzystania z Funduszy Europejskich przez ich znajomych.</w:t>
      </w:r>
    </w:p>
    <w:p w14:paraId="728EB9DD" w14:textId="6EE67796" w:rsidR="002B6D1D" w:rsidRPr="0028226B" w:rsidRDefault="002B6D1D" w:rsidP="00766413">
      <w:pPr>
        <w:pStyle w:val="Legenda"/>
        <w:keepNext/>
        <w:rPr>
          <w:rFonts w:ascii="Arial" w:hAnsi="Arial" w:cs="Arial"/>
          <w:b/>
          <w:bCs/>
          <w:i w:val="0"/>
          <w:iCs w:val="0"/>
          <w:color w:val="auto"/>
          <w:sz w:val="24"/>
          <w:szCs w:val="24"/>
        </w:rPr>
      </w:pPr>
      <w:bookmarkStart w:id="52" w:name="_Toc219369263"/>
      <w:r w:rsidRPr="0028226B">
        <w:rPr>
          <w:rFonts w:ascii="Arial" w:hAnsi="Arial" w:cs="Arial"/>
          <w:b/>
          <w:bCs/>
          <w:i w:val="0"/>
          <w:iCs w:val="0"/>
          <w:color w:val="auto"/>
          <w:sz w:val="24"/>
          <w:szCs w:val="24"/>
        </w:rPr>
        <w:t xml:space="preserve">Wykres </w:t>
      </w:r>
      <w:r w:rsidRPr="0028226B">
        <w:rPr>
          <w:rFonts w:ascii="Arial" w:hAnsi="Arial" w:cs="Arial"/>
          <w:b/>
          <w:bCs/>
          <w:i w:val="0"/>
          <w:iCs w:val="0"/>
          <w:color w:val="auto"/>
          <w:sz w:val="24"/>
          <w:szCs w:val="24"/>
        </w:rPr>
        <w:fldChar w:fldCharType="begin"/>
      </w:r>
      <w:r w:rsidRPr="0028226B">
        <w:rPr>
          <w:rFonts w:ascii="Arial" w:hAnsi="Arial" w:cs="Arial"/>
          <w:b/>
          <w:bCs/>
          <w:i w:val="0"/>
          <w:iCs w:val="0"/>
          <w:color w:val="auto"/>
          <w:sz w:val="24"/>
          <w:szCs w:val="24"/>
        </w:rPr>
        <w:instrText xml:space="preserve"> SEQ Wykres \* ARABIC </w:instrText>
      </w:r>
      <w:r w:rsidRPr="0028226B">
        <w:rPr>
          <w:rFonts w:ascii="Arial" w:hAnsi="Arial" w:cs="Arial"/>
          <w:b/>
          <w:bCs/>
          <w:i w:val="0"/>
          <w:iCs w:val="0"/>
          <w:color w:val="auto"/>
          <w:sz w:val="24"/>
          <w:szCs w:val="24"/>
        </w:rPr>
        <w:fldChar w:fldCharType="separate"/>
      </w:r>
      <w:r w:rsidR="0055789E">
        <w:rPr>
          <w:rFonts w:ascii="Arial" w:hAnsi="Arial" w:cs="Arial"/>
          <w:b/>
          <w:bCs/>
          <w:i w:val="0"/>
          <w:iCs w:val="0"/>
          <w:noProof/>
          <w:color w:val="auto"/>
          <w:sz w:val="24"/>
          <w:szCs w:val="24"/>
        </w:rPr>
        <w:t>37</w:t>
      </w:r>
      <w:r w:rsidRPr="0028226B">
        <w:rPr>
          <w:rFonts w:ascii="Arial" w:hAnsi="Arial" w:cs="Arial"/>
          <w:b/>
          <w:bCs/>
          <w:i w:val="0"/>
          <w:iCs w:val="0"/>
          <w:color w:val="auto"/>
          <w:sz w:val="24"/>
          <w:szCs w:val="24"/>
        </w:rPr>
        <w:fldChar w:fldCharType="end"/>
      </w:r>
      <w:r w:rsidRPr="0028226B">
        <w:rPr>
          <w:rFonts w:ascii="Arial" w:hAnsi="Arial" w:cs="Arial"/>
          <w:b/>
          <w:bCs/>
          <w:i w:val="0"/>
          <w:iCs w:val="0"/>
          <w:color w:val="auto"/>
          <w:sz w:val="24"/>
          <w:szCs w:val="24"/>
        </w:rPr>
        <w:t xml:space="preserve">. </w:t>
      </w:r>
      <w:r w:rsidR="00ED2B9A">
        <w:rPr>
          <w:rFonts w:ascii="Arial" w:hAnsi="Arial" w:cs="Arial"/>
          <w:b/>
          <w:bCs/>
          <w:i w:val="0"/>
          <w:iCs w:val="0"/>
          <w:color w:val="auto"/>
          <w:sz w:val="24"/>
          <w:szCs w:val="24"/>
        </w:rPr>
        <w:t xml:space="preserve">P20. </w:t>
      </w:r>
      <w:r w:rsidR="00766413" w:rsidRPr="0028226B">
        <w:rPr>
          <w:rFonts w:ascii="Arial" w:hAnsi="Arial" w:cs="Arial"/>
          <w:b/>
          <w:bCs/>
          <w:i w:val="0"/>
          <w:iCs w:val="0"/>
          <w:color w:val="auto"/>
          <w:sz w:val="24"/>
          <w:szCs w:val="24"/>
        </w:rPr>
        <w:t>Proszę powiedzieć, w jaki sposób Pana(-ni) znajomy(-ma) korzysta z Funduszy Europejskich lub zmian, jakie dzięki nim zachodzą?</w:t>
      </w:r>
      <w:r w:rsidR="009E5B28">
        <w:rPr>
          <w:rFonts w:ascii="Arial" w:hAnsi="Arial" w:cs="Arial"/>
          <w:b/>
          <w:bCs/>
          <w:i w:val="0"/>
          <w:iCs w:val="0"/>
          <w:color w:val="auto"/>
          <w:sz w:val="24"/>
          <w:szCs w:val="24"/>
        </w:rPr>
        <w:t xml:space="preserve"> (N=408)</w:t>
      </w:r>
      <w:bookmarkEnd w:id="52"/>
    </w:p>
    <w:p w14:paraId="5AC71717" w14:textId="2FD3E2F0" w:rsidR="007B2D8B" w:rsidRDefault="007B2D8B" w:rsidP="002B6D1D">
      <w:pPr>
        <w:spacing w:before="240"/>
        <w:rPr>
          <w:rFonts w:ascii="Arial" w:hAnsi="Arial" w:cs="Arial"/>
          <w:sz w:val="24"/>
          <w:szCs w:val="24"/>
        </w:rPr>
      </w:pPr>
      <w:r w:rsidRPr="0028226B">
        <w:rPr>
          <w:rFonts w:ascii="Arial" w:hAnsi="Arial" w:cs="Arial"/>
          <w:noProof/>
          <w:sz w:val="24"/>
          <w:szCs w:val="24"/>
        </w:rPr>
        <w:drawing>
          <wp:inline distT="0" distB="0" distL="0" distR="0" wp14:anchorId="6EB5CC9A" wp14:editId="63988252">
            <wp:extent cx="5759450" cy="3345077"/>
            <wp:effectExtent l="0" t="0" r="0" b="8255"/>
            <wp:docPr id="1654356782" name="Wykres 1" descr="Wykres poziomy przedstawia odpowiedzi na pytanie: „W jaki sposób Pana(-ni) znajomy(-ma) korzysta z Funduszy Europejskich lub z jakich zmian dzięki nim zachodzących?”. Dane pochodzą z badania N=408 i obejmują dziesięć kategorii uporządkowanych malejąco według częstości wskazań.&#10;&#10;Najczęściej wymieniane obszary korzystania z Funduszy Europejskich to: przedsiębiorczość (26%) oraz wsparcie rolnictwa (18%). Kolejne wskazania obejmują: ogólne dotacje (11%), działania w poprawie ekologii (9%), edukację (9%) oraz poprawę lokalnej infrastruktury (7%). Po 7% uzyskały również odpowiedzi dotyczące transportu i szkoleń. Rzadziej wskazywane są: poprawa jakości życia (3%) oraz inne formy wsparcia (4%).&#10;&#10;Wykres pokazuje, że respondenci najczęściej dostrzegają wpływ Funduszy Europejskich w obszarach związanych z przedsiębiorczością, rolnictwem i inwestycjami publicznymi, natomiast mniej widoczne są działania dotyczące jakości życia czy wsparcia jednostkowego."/>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621AED6F" w14:textId="127C8598" w:rsidR="007B2D8B" w:rsidRDefault="007B2D8B" w:rsidP="007B2D8B">
      <w:pPr>
        <w:spacing w:before="240"/>
        <w:rPr>
          <w:rFonts w:ascii="Arial" w:hAnsi="Arial" w:cs="Arial"/>
          <w:sz w:val="24"/>
          <w:szCs w:val="24"/>
        </w:rPr>
      </w:pPr>
      <w:r w:rsidRPr="00672A70">
        <w:rPr>
          <w:rFonts w:ascii="Arial" w:hAnsi="Arial" w:cs="Arial"/>
          <w:sz w:val="24"/>
          <w:szCs w:val="24"/>
        </w:rPr>
        <w:t>Źródło: Opracowano na podstawie badania CAPI</w:t>
      </w:r>
      <w:r w:rsidR="008911AA">
        <w:rPr>
          <w:rFonts w:ascii="Arial" w:hAnsi="Arial" w:cs="Arial"/>
          <w:sz w:val="24"/>
          <w:szCs w:val="24"/>
        </w:rPr>
        <w:t>; odpowiadający: znający określenie FE lub FU, potrafiący wymienić przykłady</w:t>
      </w:r>
    </w:p>
    <w:p w14:paraId="4C5E73CE" w14:textId="18DDE793" w:rsidR="00840B9A" w:rsidRPr="005657CC" w:rsidRDefault="00840B9A" w:rsidP="00C0187D">
      <w:pPr>
        <w:spacing w:line="360" w:lineRule="auto"/>
        <w:rPr>
          <w:rFonts w:ascii="Arial" w:hAnsi="Arial" w:cs="Arial"/>
          <w:sz w:val="24"/>
          <w:szCs w:val="24"/>
        </w:rPr>
      </w:pPr>
      <w:r w:rsidRPr="005657CC">
        <w:rPr>
          <w:rFonts w:ascii="Arial" w:hAnsi="Arial" w:cs="Arial"/>
          <w:sz w:val="24"/>
          <w:szCs w:val="24"/>
        </w:rPr>
        <w:t>Dane z lat 2016–2025 pokazują, że odsetek osób, które deklarowały osobiste ubieganie się o wsparcie z Funduszy Europejskich, utrzymywał się przez większość okresu na stosunkowo niskim, ale stabilnym poziomie. W latach 2018–2021 wyniki oscylowały konsekwentnie wokół 8</w:t>
      </w:r>
      <w:r w:rsidR="00061EA1" w:rsidRPr="005657CC">
        <w:rPr>
          <w:rFonts w:ascii="Arial" w:hAnsi="Arial" w:cs="Arial"/>
          <w:sz w:val="24"/>
          <w:szCs w:val="24"/>
        </w:rPr>
        <w:t>%</w:t>
      </w:r>
      <w:r w:rsidRPr="005657CC">
        <w:rPr>
          <w:rFonts w:ascii="Arial" w:hAnsi="Arial" w:cs="Arial"/>
          <w:sz w:val="24"/>
          <w:szCs w:val="24"/>
        </w:rPr>
        <w:t>, co wskazuje na niewielkie, lecz względnie stałe zainteresowanie bezpośrednim aplikowaniem o środki unijne wśród ogółu badanych.</w:t>
      </w:r>
    </w:p>
    <w:p w14:paraId="5E8D7F39" w14:textId="6C55C03A" w:rsidR="00840B9A" w:rsidRPr="005657CC" w:rsidRDefault="00840B9A" w:rsidP="00C0187D">
      <w:pPr>
        <w:spacing w:line="360" w:lineRule="auto"/>
        <w:rPr>
          <w:rFonts w:ascii="Arial" w:hAnsi="Arial" w:cs="Arial"/>
          <w:sz w:val="24"/>
          <w:szCs w:val="24"/>
        </w:rPr>
      </w:pPr>
      <w:r w:rsidRPr="005657CC">
        <w:rPr>
          <w:rFonts w:ascii="Arial" w:hAnsi="Arial" w:cs="Arial"/>
          <w:sz w:val="24"/>
          <w:szCs w:val="24"/>
        </w:rPr>
        <w:t>W 2022 roku odnotowano spadek do 7</w:t>
      </w:r>
      <w:r w:rsidR="00061EA1" w:rsidRPr="005657CC">
        <w:rPr>
          <w:rFonts w:ascii="Arial" w:hAnsi="Arial" w:cs="Arial"/>
          <w:sz w:val="24"/>
          <w:szCs w:val="24"/>
        </w:rPr>
        <w:t>%</w:t>
      </w:r>
      <w:r w:rsidRPr="005657CC">
        <w:rPr>
          <w:rFonts w:ascii="Arial" w:hAnsi="Arial" w:cs="Arial"/>
          <w:sz w:val="24"/>
          <w:szCs w:val="24"/>
        </w:rPr>
        <w:t>, który został odwrócony w kolejnym roku — 2023 przyniósł ponowny wzrost do 10</w:t>
      </w:r>
      <w:r w:rsidR="00061EA1" w:rsidRPr="005657CC">
        <w:rPr>
          <w:rFonts w:ascii="Arial" w:hAnsi="Arial" w:cs="Arial"/>
          <w:sz w:val="24"/>
          <w:szCs w:val="24"/>
        </w:rPr>
        <w:t>%</w:t>
      </w:r>
      <w:r w:rsidRPr="005657CC">
        <w:rPr>
          <w:rFonts w:ascii="Arial" w:hAnsi="Arial" w:cs="Arial"/>
          <w:sz w:val="24"/>
          <w:szCs w:val="24"/>
        </w:rPr>
        <w:t xml:space="preserve">. Dane z edycji 2024 wskazują na wynik </w:t>
      </w:r>
      <w:r w:rsidRPr="005657CC">
        <w:rPr>
          <w:rFonts w:ascii="Arial" w:hAnsi="Arial" w:cs="Arial"/>
          <w:sz w:val="24"/>
          <w:szCs w:val="24"/>
        </w:rPr>
        <w:lastRenderedPageBreak/>
        <w:t>zbliżony do poziomu lat wcześniejszych, czyli około 7</w:t>
      </w:r>
      <w:r w:rsidR="00061EA1" w:rsidRPr="005657CC">
        <w:rPr>
          <w:rFonts w:ascii="Arial" w:hAnsi="Arial" w:cs="Arial"/>
          <w:sz w:val="24"/>
          <w:szCs w:val="24"/>
        </w:rPr>
        <w:t>%</w:t>
      </w:r>
      <w:r w:rsidRPr="005657CC">
        <w:rPr>
          <w:rFonts w:ascii="Arial" w:hAnsi="Arial" w:cs="Arial"/>
          <w:sz w:val="24"/>
          <w:szCs w:val="24"/>
        </w:rPr>
        <w:t xml:space="preserve">. Natomiast w roku 2025 widoczny jest wyraźniejszy wzrost do poziomu </w:t>
      </w:r>
      <w:r w:rsidR="00032B0A">
        <w:rPr>
          <w:rFonts w:ascii="Arial" w:hAnsi="Arial" w:cs="Arial"/>
          <w:sz w:val="24"/>
          <w:szCs w:val="24"/>
        </w:rPr>
        <w:t>11</w:t>
      </w:r>
      <w:r w:rsidR="00061EA1" w:rsidRPr="005657CC">
        <w:rPr>
          <w:rFonts w:ascii="Arial" w:hAnsi="Arial" w:cs="Arial"/>
          <w:sz w:val="24"/>
          <w:szCs w:val="24"/>
        </w:rPr>
        <w:t>%</w:t>
      </w:r>
      <w:r w:rsidRPr="005657CC">
        <w:rPr>
          <w:rFonts w:ascii="Arial" w:hAnsi="Arial" w:cs="Arial"/>
          <w:sz w:val="24"/>
          <w:szCs w:val="24"/>
        </w:rPr>
        <w:t>, co jest najwyższą wartością w całej analizowanej serii pomiarów. Może to sugerować większą aktywność beneficjentów lub rosnącą świadomość dostępnych form wsparcia.</w:t>
      </w:r>
    </w:p>
    <w:p w14:paraId="7556A24B" w14:textId="77777777" w:rsidR="00840B9A" w:rsidRPr="005657CC" w:rsidRDefault="00840B9A" w:rsidP="00C0187D">
      <w:pPr>
        <w:spacing w:line="360" w:lineRule="auto"/>
        <w:rPr>
          <w:rFonts w:ascii="Arial" w:hAnsi="Arial" w:cs="Arial"/>
          <w:sz w:val="24"/>
          <w:szCs w:val="24"/>
        </w:rPr>
      </w:pPr>
      <w:r w:rsidRPr="005657CC">
        <w:rPr>
          <w:rFonts w:ascii="Arial" w:hAnsi="Arial" w:cs="Arial"/>
          <w:sz w:val="24"/>
          <w:szCs w:val="24"/>
        </w:rPr>
        <w:t>Ogólnie prezentowany trend ma charakter umiarkowanie zmienny, jednak w ramach niskiego przedziału wartości, co potwierdza, że bezpośrednie aplikowanie o fundusze UE pozostaje doświadczeniem stosunkowo rzadkim, choć w najnowszym pomiarze jego częstotliwość wzrosła.</w:t>
      </w:r>
    </w:p>
    <w:p w14:paraId="7B4F8D8A" w14:textId="57C08BF2" w:rsidR="00840B9A" w:rsidRPr="0028226B" w:rsidRDefault="00840B9A" w:rsidP="005657CC">
      <w:pPr>
        <w:pStyle w:val="Legenda"/>
        <w:keepNext/>
        <w:spacing w:after="0"/>
        <w:rPr>
          <w:rFonts w:ascii="Arial" w:hAnsi="Arial" w:cs="Arial"/>
          <w:b/>
          <w:bCs/>
          <w:i w:val="0"/>
          <w:iCs w:val="0"/>
          <w:color w:val="auto"/>
          <w:sz w:val="24"/>
          <w:szCs w:val="24"/>
        </w:rPr>
      </w:pPr>
      <w:bookmarkStart w:id="53" w:name="_Toc219369264"/>
      <w:r w:rsidRPr="0028226B">
        <w:rPr>
          <w:rFonts w:ascii="Arial" w:hAnsi="Arial" w:cs="Arial"/>
          <w:b/>
          <w:bCs/>
          <w:i w:val="0"/>
          <w:iCs w:val="0"/>
          <w:color w:val="auto"/>
          <w:sz w:val="24"/>
          <w:szCs w:val="24"/>
        </w:rPr>
        <w:t xml:space="preserve">Wykres </w:t>
      </w:r>
      <w:r w:rsidRPr="0028226B">
        <w:rPr>
          <w:rFonts w:ascii="Arial" w:hAnsi="Arial" w:cs="Arial"/>
          <w:b/>
          <w:bCs/>
          <w:i w:val="0"/>
          <w:iCs w:val="0"/>
          <w:color w:val="auto"/>
          <w:sz w:val="24"/>
          <w:szCs w:val="24"/>
        </w:rPr>
        <w:fldChar w:fldCharType="begin"/>
      </w:r>
      <w:r w:rsidRPr="0028226B">
        <w:rPr>
          <w:rFonts w:ascii="Arial" w:hAnsi="Arial" w:cs="Arial"/>
          <w:b/>
          <w:bCs/>
          <w:i w:val="0"/>
          <w:iCs w:val="0"/>
          <w:color w:val="auto"/>
          <w:sz w:val="24"/>
          <w:szCs w:val="24"/>
        </w:rPr>
        <w:instrText xml:space="preserve"> SEQ Wykres \* ARABIC </w:instrText>
      </w:r>
      <w:r w:rsidRPr="0028226B">
        <w:rPr>
          <w:rFonts w:ascii="Arial" w:hAnsi="Arial" w:cs="Arial"/>
          <w:b/>
          <w:bCs/>
          <w:i w:val="0"/>
          <w:iCs w:val="0"/>
          <w:color w:val="auto"/>
          <w:sz w:val="24"/>
          <w:szCs w:val="24"/>
        </w:rPr>
        <w:fldChar w:fldCharType="separate"/>
      </w:r>
      <w:r w:rsidR="0055789E">
        <w:rPr>
          <w:rFonts w:ascii="Arial" w:hAnsi="Arial" w:cs="Arial"/>
          <w:b/>
          <w:bCs/>
          <w:i w:val="0"/>
          <w:iCs w:val="0"/>
          <w:noProof/>
          <w:color w:val="auto"/>
          <w:sz w:val="24"/>
          <w:szCs w:val="24"/>
        </w:rPr>
        <w:t>38</w:t>
      </w:r>
      <w:r w:rsidRPr="0028226B">
        <w:rPr>
          <w:rFonts w:ascii="Arial" w:hAnsi="Arial" w:cs="Arial"/>
          <w:b/>
          <w:bCs/>
          <w:i w:val="0"/>
          <w:iCs w:val="0"/>
          <w:color w:val="auto"/>
          <w:sz w:val="24"/>
          <w:szCs w:val="24"/>
        </w:rPr>
        <w:fldChar w:fldCharType="end"/>
      </w:r>
      <w:r w:rsidRPr="0028226B">
        <w:rPr>
          <w:rFonts w:ascii="Arial" w:hAnsi="Arial" w:cs="Arial"/>
          <w:b/>
          <w:bCs/>
          <w:i w:val="0"/>
          <w:iCs w:val="0"/>
          <w:color w:val="auto"/>
          <w:sz w:val="24"/>
          <w:szCs w:val="24"/>
        </w:rPr>
        <w:t xml:space="preserve">. </w:t>
      </w:r>
      <w:r w:rsidR="00766413" w:rsidRPr="0028226B">
        <w:rPr>
          <w:rFonts w:ascii="Arial" w:hAnsi="Arial" w:cs="Arial"/>
          <w:b/>
          <w:bCs/>
          <w:i w:val="0"/>
          <w:iCs w:val="0"/>
          <w:color w:val="auto"/>
          <w:sz w:val="24"/>
          <w:szCs w:val="24"/>
        </w:rPr>
        <w:t xml:space="preserve">P22. A czy Pan(i) osobiście ubiegał(a) się w przeszłości o wsparcie z Funduszy Europejskich? - </w:t>
      </w:r>
      <w:r w:rsidRPr="0028226B">
        <w:rPr>
          <w:rFonts w:ascii="Arial" w:hAnsi="Arial" w:cs="Arial"/>
          <w:b/>
          <w:bCs/>
          <w:i w:val="0"/>
          <w:iCs w:val="0"/>
          <w:color w:val="auto"/>
          <w:sz w:val="24"/>
          <w:szCs w:val="24"/>
        </w:rPr>
        <w:t>w latach 2016-2025</w:t>
      </w:r>
      <w:bookmarkEnd w:id="53"/>
    </w:p>
    <w:p w14:paraId="2F4F2A0C" w14:textId="254A76DE" w:rsidR="00840B9A" w:rsidRPr="0028226B" w:rsidRDefault="00840B9A" w:rsidP="00840B9A">
      <w:pPr>
        <w:rPr>
          <w:rFonts w:ascii="Arial" w:hAnsi="Arial" w:cs="Arial"/>
          <w:sz w:val="24"/>
          <w:szCs w:val="24"/>
        </w:rPr>
      </w:pPr>
      <w:r w:rsidRPr="0028226B">
        <w:rPr>
          <w:rFonts w:ascii="Arial" w:hAnsi="Arial" w:cs="Arial"/>
          <w:noProof/>
          <w:sz w:val="24"/>
          <w:szCs w:val="24"/>
        </w:rPr>
        <w:drawing>
          <wp:inline distT="0" distB="0" distL="0" distR="0" wp14:anchorId="0B0CDCD0" wp14:editId="18C0D613">
            <wp:extent cx="5730240" cy="3200400"/>
            <wp:effectExtent l="0" t="0" r="0" b="0"/>
            <wp:docPr id="1228872518" name="Wykres 3" descr="Wykres liniowy przedstawia odsetek osób, które osobiście ubiegały się w przeszłości o wsparcie z Funduszy Europejskich, w latach 2016–2025. Na osi X znajdują się lata wraz z liczebnościami prób, a na osi Y wartości procentowe odpowiedzi „tak”.&#10;&#10;Wyniki są niskie i stabilne, z wahaniami w przedziale 7–11%. W 2016 roku odsetek wynosi 10%, po czym w latach 2018–2021 utrzymuje się na poziomie 8%. W 2022 roku następuje spadek do 7%, a w 2023 ponowny wzrost do 10%. W roku 2024 odsetek znów spada do 7%, by w 2025 osiągnąć najwyższy poziom w całej serii – 11%.&#10;&#10;Wniosek główny: dane wskazują, że jedynie niewielka część respondentów ma osobiste doświadczenie w ubieganiu się o środki unijne, a skłonność ta nie wykazuje wyraźnego trendu rosnącego ani malejącego, poza niewielkimi wahaniami w poszczególnych latach."/>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r w:rsidR="08C453E5" w:rsidRPr="0028226B">
        <w:rPr>
          <w:rFonts w:ascii="Arial" w:hAnsi="Arial" w:cs="Arial"/>
          <w:sz w:val="24"/>
          <w:szCs w:val="24"/>
        </w:rPr>
        <w:t xml:space="preserve"> Źródło: Opracowano na podstawie badania CAPI</w:t>
      </w:r>
      <w:r w:rsidR="008911AA">
        <w:rPr>
          <w:rFonts w:ascii="Arial" w:hAnsi="Arial" w:cs="Arial"/>
          <w:sz w:val="24"/>
          <w:szCs w:val="24"/>
        </w:rPr>
        <w:t>; odpowiadający: znający określenie FE lub FU</w:t>
      </w:r>
    </w:p>
    <w:p w14:paraId="169202D7" w14:textId="7D88EEAE" w:rsidR="002E2AE7" w:rsidRPr="00672A70" w:rsidRDefault="002E2AE7" w:rsidP="00C0187D">
      <w:pPr>
        <w:spacing w:line="360" w:lineRule="auto"/>
        <w:rPr>
          <w:rFonts w:ascii="Arial" w:hAnsi="Arial" w:cs="Arial"/>
          <w:sz w:val="24"/>
          <w:szCs w:val="24"/>
        </w:rPr>
      </w:pPr>
      <w:r w:rsidRPr="00672A70">
        <w:rPr>
          <w:rFonts w:ascii="Arial" w:hAnsi="Arial" w:cs="Arial"/>
          <w:sz w:val="24"/>
          <w:szCs w:val="24"/>
        </w:rPr>
        <w:t xml:space="preserve">Na podstawie odpowiedzi respondentów, którzy w przeszłości ubiegali się o wsparcie z Funduszy Europejskich obliczono wskaźnik Net </w:t>
      </w:r>
      <w:proofErr w:type="spellStart"/>
      <w:r w:rsidRPr="00672A70">
        <w:rPr>
          <w:rFonts w:ascii="Arial" w:hAnsi="Arial" w:cs="Arial"/>
          <w:sz w:val="24"/>
          <w:szCs w:val="24"/>
        </w:rPr>
        <w:t>Promoter</w:t>
      </w:r>
      <w:proofErr w:type="spellEnd"/>
      <w:r w:rsidRPr="00672A70">
        <w:rPr>
          <w:rFonts w:ascii="Arial" w:hAnsi="Arial" w:cs="Arial"/>
          <w:sz w:val="24"/>
          <w:szCs w:val="24"/>
        </w:rPr>
        <w:t xml:space="preserve"> </w:t>
      </w:r>
      <w:proofErr w:type="spellStart"/>
      <w:r w:rsidRPr="00672A70">
        <w:rPr>
          <w:rFonts w:ascii="Arial" w:hAnsi="Arial" w:cs="Arial"/>
          <w:sz w:val="24"/>
          <w:szCs w:val="24"/>
        </w:rPr>
        <w:t>Score</w:t>
      </w:r>
      <w:proofErr w:type="spellEnd"/>
      <w:r w:rsidRPr="00672A70">
        <w:rPr>
          <w:rStyle w:val="Odwoanieprzypisudolnego"/>
          <w:rFonts w:ascii="Arial" w:hAnsi="Arial" w:cs="Arial"/>
          <w:sz w:val="24"/>
          <w:szCs w:val="24"/>
        </w:rPr>
        <w:footnoteReference w:id="5"/>
      </w:r>
      <w:r w:rsidRPr="00672A70">
        <w:rPr>
          <w:rFonts w:ascii="Arial" w:hAnsi="Arial" w:cs="Arial"/>
          <w:sz w:val="24"/>
          <w:szCs w:val="24"/>
        </w:rPr>
        <w:t xml:space="preserve">. Informacje z lat 2018–2025 pokazują zmienny poziom gotowości do rekomendowania ubiegania się o środki z Funduszy Europejskich wśród respondentów. Najwyższe wartości </w:t>
      </w:r>
      <w:r w:rsidRPr="00672A70">
        <w:rPr>
          <w:rFonts w:ascii="Arial" w:hAnsi="Arial" w:cs="Arial"/>
          <w:sz w:val="24"/>
          <w:szCs w:val="24"/>
        </w:rPr>
        <w:lastRenderedPageBreak/>
        <w:t>wskaźnika NPS pojawiały się w latach 2020 (38) oraz 2022 (40), czyli w okresach, w których dominował szczególnie wysoki udział promotorów i jednocześnie niski odsetek krytyków. W 2023 roku poziom rekomendacji pozostawał nadal wysoki (NPS = 37), natomiast rok 2024 utrzymał stabilny i równie korzystny wynik (NPS = 38), przy znaczącym odsetku osób wystawiających oceny 9 i 10.</w:t>
      </w:r>
    </w:p>
    <w:p w14:paraId="7A83A3A1" w14:textId="59875F76" w:rsidR="002E2AE7" w:rsidRPr="00672A70" w:rsidRDefault="002E2AE7" w:rsidP="00C0187D">
      <w:pPr>
        <w:spacing w:line="360" w:lineRule="auto"/>
        <w:rPr>
          <w:rFonts w:ascii="Arial" w:hAnsi="Arial" w:cs="Arial"/>
          <w:sz w:val="24"/>
          <w:szCs w:val="24"/>
        </w:rPr>
      </w:pPr>
      <w:r w:rsidRPr="00672A70">
        <w:rPr>
          <w:rFonts w:ascii="Arial" w:hAnsi="Arial" w:cs="Arial"/>
          <w:sz w:val="24"/>
          <w:szCs w:val="24"/>
        </w:rPr>
        <w:t>Rok 2025 przyniósł obniżenie wartości NPS do poziomu 16 punktów. Wynika to z mniejszego udziału promotorów oraz dużego odsetka odpowiedzi mieszczących się w kategorii pasywnych, co jest sygnałem umiarkowanego stosunku do Funduszy Europejskich i jednocześnie mniejszej pewności co do polecania ich znajomym. Mimo spadku w ostatnim pomiarze, ogólny obraz obejmujący osiem lat wskazuje, że opinie respondentów najczęściej układają się po stronie pozytywnych lub neutralnych ocen, a Fundusze Europejskie postrzegane są jako mechanizm wartościowy – choć w różnym stopniu, zależnie od roku</w:t>
      </w:r>
      <w:r w:rsidR="00ED2540" w:rsidRPr="00672A70">
        <w:rPr>
          <w:rFonts w:ascii="Arial" w:hAnsi="Arial" w:cs="Arial"/>
          <w:sz w:val="24"/>
          <w:szCs w:val="24"/>
        </w:rPr>
        <w:t>.</w:t>
      </w:r>
    </w:p>
    <w:p w14:paraId="570AB309" w14:textId="1D621D5E" w:rsidR="002E2AE7" w:rsidRPr="0028226B" w:rsidRDefault="002E2AE7" w:rsidP="002E2AE7">
      <w:pPr>
        <w:pStyle w:val="Legenda"/>
        <w:keepNext/>
        <w:rPr>
          <w:rFonts w:ascii="Arial" w:hAnsi="Arial" w:cs="Arial"/>
          <w:b/>
          <w:bCs/>
          <w:i w:val="0"/>
          <w:iCs w:val="0"/>
          <w:color w:val="auto"/>
          <w:sz w:val="24"/>
          <w:szCs w:val="24"/>
        </w:rPr>
      </w:pPr>
      <w:bookmarkStart w:id="54" w:name="_Toc219369265"/>
      <w:r w:rsidRPr="0028226B">
        <w:rPr>
          <w:rFonts w:ascii="Arial" w:hAnsi="Arial" w:cs="Arial"/>
          <w:b/>
          <w:bCs/>
          <w:i w:val="0"/>
          <w:iCs w:val="0"/>
          <w:color w:val="auto"/>
          <w:sz w:val="24"/>
          <w:szCs w:val="24"/>
        </w:rPr>
        <w:t xml:space="preserve">Wykres </w:t>
      </w:r>
      <w:r w:rsidRPr="0028226B">
        <w:rPr>
          <w:rFonts w:ascii="Arial" w:hAnsi="Arial" w:cs="Arial"/>
          <w:b/>
          <w:bCs/>
          <w:i w:val="0"/>
          <w:iCs w:val="0"/>
          <w:color w:val="auto"/>
          <w:sz w:val="24"/>
          <w:szCs w:val="24"/>
        </w:rPr>
        <w:fldChar w:fldCharType="begin"/>
      </w:r>
      <w:r w:rsidRPr="0028226B">
        <w:rPr>
          <w:rFonts w:ascii="Arial" w:hAnsi="Arial" w:cs="Arial"/>
          <w:b/>
          <w:bCs/>
          <w:i w:val="0"/>
          <w:iCs w:val="0"/>
          <w:color w:val="auto"/>
          <w:sz w:val="24"/>
          <w:szCs w:val="24"/>
        </w:rPr>
        <w:instrText xml:space="preserve"> SEQ Wykres \* ARABIC </w:instrText>
      </w:r>
      <w:r w:rsidRPr="0028226B">
        <w:rPr>
          <w:rFonts w:ascii="Arial" w:hAnsi="Arial" w:cs="Arial"/>
          <w:b/>
          <w:bCs/>
          <w:i w:val="0"/>
          <w:iCs w:val="0"/>
          <w:color w:val="auto"/>
          <w:sz w:val="24"/>
          <w:szCs w:val="24"/>
        </w:rPr>
        <w:fldChar w:fldCharType="separate"/>
      </w:r>
      <w:r w:rsidR="0055789E">
        <w:rPr>
          <w:rFonts w:ascii="Arial" w:hAnsi="Arial" w:cs="Arial"/>
          <w:b/>
          <w:bCs/>
          <w:i w:val="0"/>
          <w:iCs w:val="0"/>
          <w:noProof/>
          <w:color w:val="auto"/>
          <w:sz w:val="24"/>
          <w:szCs w:val="24"/>
        </w:rPr>
        <w:t>39</w:t>
      </w:r>
      <w:r w:rsidRPr="0028226B">
        <w:rPr>
          <w:rFonts w:ascii="Arial" w:hAnsi="Arial" w:cs="Arial"/>
          <w:b/>
          <w:bCs/>
          <w:i w:val="0"/>
          <w:iCs w:val="0"/>
          <w:color w:val="auto"/>
          <w:sz w:val="24"/>
          <w:szCs w:val="24"/>
        </w:rPr>
        <w:fldChar w:fldCharType="end"/>
      </w:r>
      <w:r w:rsidRPr="0028226B">
        <w:rPr>
          <w:rFonts w:ascii="Arial" w:hAnsi="Arial" w:cs="Arial"/>
          <w:b/>
          <w:bCs/>
          <w:i w:val="0"/>
          <w:iCs w:val="0"/>
          <w:color w:val="auto"/>
          <w:sz w:val="24"/>
          <w:szCs w:val="24"/>
        </w:rPr>
        <w:t>. Poziom skłonności Polaków do polecania ubiegania się o wsparcie z Funduszy Europejskich (NPS) w latach 2018–2025</w:t>
      </w:r>
      <w:r w:rsidR="008C15B7" w:rsidRPr="0028226B">
        <w:rPr>
          <w:rFonts w:ascii="Arial" w:hAnsi="Arial" w:cs="Arial"/>
          <w:b/>
          <w:bCs/>
          <w:i w:val="0"/>
          <w:iCs w:val="0"/>
          <w:color w:val="auto"/>
          <w:sz w:val="24"/>
          <w:szCs w:val="24"/>
        </w:rPr>
        <w:t xml:space="preserve"> (N=101)</w:t>
      </w:r>
      <w:bookmarkEnd w:id="54"/>
    </w:p>
    <w:p w14:paraId="28CACF08" w14:textId="77777777" w:rsidR="002E2AE7" w:rsidRPr="0028226B" w:rsidRDefault="002E2AE7" w:rsidP="002E2AE7">
      <w:pPr>
        <w:rPr>
          <w:rFonts w:ascii="Arial" w:hAnsi="Arial" w:cs="Arial"/>
          <w:sz w:val="24"/>
          <w:szCs w:val="24"/>
        </w:rPr>
      </w:pPr>
      <w:r w:rsidRPr="0028226B">
        <w:rPr>
          <w:rFonts w:ascii="Arial" w:hAnsi="Arial" w:cs="Arial"/>
          <w:noProof/>
          <w:sz w:val="24"/>
          <w:szCs w:val="24"/>
        </w:rPr>
        <w:drawing>
          <wp:inline distT="0" distB="0" distL="0" distR="0" wp14:anchorId="376EDBD2" wp14:editId="06E389D1">
            <wp:extent cx="5486400" cy="4052455"/>
            <wp:effectExtent l="0" t="0" r="0" b="0"/>
            <wp:docPr id="674581730" name="Wykres 5" descr="Wykres poziomy przedstawia rozkład odpowiedzi tworzących wskaźnik NPS (Net Promoter Score) dotyczący skłonności Polaków do polecania ubiegania się o wsparcie z Funduszy Europejskich. Dane obejmują lata 2018–2025. Każdy słupek to suma 100%, podzielona na trzy kategorie: Promotorzy (ciemny granat), Pasywni (szary) i Krytycy (jasnoszary).&#10;&#10;W 2018 r. 46% stanowili Promotorzy, 38% Pasywni, 16% Krytycy (NPS = 30).&#10;W 2019 r. udziały wyniosły odpowiednio 31%, 37% i 32% (NPS = –1), co pokazuje przewagę krytyków nad promotorami.&#10;W 2020 r. Promotorzy rosną do 53%, Pasywni mają 32%, a Krytycy 15% (NPS = 38).&#10;W 2021 r. wartości to 42%, 32% i 26% (NPS = 15).&#10;W 2022 r. obserwujemy 52% Promotorów, 34% Pasywnych i 12% Krytyków (NPS = 40).&#10;W 2023 r. proporcje zmieniają się na 59%, 19% i 22% (NPS = 37).&#10;W 2024 r. 46% odpowiada jako Promotorzy, 44% jako Pasywni i 9% jako Krytycy (NPS = 38).&#10;W 2025 r. udział Promotorów spada do 29%, Pasywnych wynosi 58%, a Krytyków 13% (NPS =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07753B41" w14:textId="4A46DD5F" w:rsidR="002E2AE7" w:rsidRPr="00672A70" w:rsidRDefault="002E2AE7" w:rsidP="002E2AE7">
      <w:pPr>
        <w:spacing w:before="240"/>
        <w:rPr>
          <w:rFonts w:ascii="Arial" w:hAnsi="Arial" w:cs="Arial"/>
          <w:sz w:val="24"/>
          <w:szCs w:val="24"/>
        </w:rPr>
      </w:pPr>
      <w:r w:rsidRPr="00672A70">
        <w:rPr>
          <w:rFonts w:ascii="Arial" w:hAnsi="Arial" w:cs="Arial"/>
          <w:sz w:val="24"/>
          <w:szCs w:val="24"/>
        </w:rPr>
        <w:t>Źródło: Opracowano na podstawie badania CAPI</w:t>
      </w:r>
      <w:r w:rsidR="008911AA">
        <w:rPr>
          <w:rFonts w:ascii="Arial" w:hAnsi="Arial" w:cs="Arial"/>
          <w:sz w:val="24"/>
          <w:szCs w:val="24"/>
        </w:rPr>
        <w:t>; odpowiadający: znający określenie FE lub FU</w:t>
      </w:r>
      <w:r w:rsidR="00A56EAB">
        <w:rPr>
          <w:rFonts w:ascii="Arial" w:hAnsi="Arial" w:cs="Arial"/>
          <w:sz w:val="24"/>
          <w:szCs w:val="24"/>
        </w:rPr>
        <w:t>, skłonni do polecenia</w:t>
      </w:r>
    </w:p>
    <w:p w14:paraId="593CBFDB" w14:textId="280DF1DD" w:rsidR="00256099" w:rsidRPr="00672A70" w:rsidRDefault="00256099" w:rsidP="00C0187D">
      <w:pPr>
        <w:spacing w:before="240" w:line="360" w:lineRule="auto"/>
        <w:rPr>
          <w:rFonts w:ascii="Arial" w:hAnsi="Arial" w:cs="Arial"/>
          <w:sz w:val="24"/>
          <w:szCs w:val="24"/>
        </w:rPr>
      </w:pPr>
      <w:r w:rsidRPr="00672A70">
        <w:rPr>
          <w:rFonts w:ascii="Arial" w:hAnsi="Arial" w:cs="Arial"/>
          <w:sz w:val="24"/>
          <w:szCs w:val="24"/>
        </w:rPr>
        <w:lastRenderedPageBreak/>
        <w:t xml:space="preserve">Dane dotyczące uczestnictwa w przedsięwzięciach lub szkoleniach dofinansowanych z Funduszy Europejskich wskazują, że doświadczenie to jest stosunkowo rzadkie – średnio 18% respondentów deklaruje, że brało udział w takim działaniu, podczas gdy 76% mówi, że nie miało takiego doświadczenia, a 5% nie pamięta lub nie potrafi tego określić. Różnice między kobietami i mężczyznami są niewielkie: udział deklaracji „tak” wynosi </w:t>
      </w:r>
      <w:r w:rsidR="002F5B21">
        <w:rPr>
          <w:rFonts w:ascii="Arial" w:hAnsi="Arial" w:cs="Arial"/>
          <w:sz w:val="24"/>
          <w:szCs w:val="24"/>
        </w:rPr>
        <w:t>20</w:t>
      </w:r>
      <w:r w:rsidRPr="00672A70">
        <w:rPr>
          <w:rFonts w:ascii="Arial" w:hAnsi="Arial" w:cs="Arial"/>
          <w:sz w:val="24"/>
          <w:szCs w:val="24"/>
        </w:rPr>
        <w:t>% u kobiet i 1</w:t>
      </w:r>
      <w:r w:rsidR="002F5B21">
        <w:rPr>
          <w:rFonts w:ascii="Arial" w:hAnsi="Arial" w:cs="Arial"/>
          <w:sz w:val="24"/>
          <w:szCs w:val="24"/>
        </w:rPr>
        <w:t>7</w:t>
      </w:r>
      <w:r w:rsidRPr="00672A70">
        <w:rPr>
          <w:rFonts w:ascii="Arial" w:hAnsi="Arial" w:cs="Arial"/>
          <w:sz w:val="24"/>
          <w:szCs w:val="24"/>
        </w:rPr>
        <w:t>% u mężczyzn.</w:t>
      </w:r>
    </w:p>
    <w:p w14:paraId="27FAF6CC" w14:textId="0F5B9E8C" w:rsidR="00E27EFA" w:rsidRPr="00E27EFA" w:rsidRDefault="00E27EFA" w:rsidP="00C0187D">
      <w:pPr>
        <w:spacing w:before="240" w:line="360" w:lineRule="auto"/>
        <w:rPr>
          <w:rFonts w:ascii="Arial" w:hAnsi="Arial" w:cs="Arial"/>
          <w:sz w:val="24"/>
          <w:szCs w:val="24"/>
        </w:rPr>
      </w:pPr>
      <w:r w:rsidRPr="00E27EFA">
        <w:rPr>
          <w:rFonts w:ascii="Arial" w:hAnsi="Arial" w:cs="Arial"/>
          <w:sz w:val="24"/>
          <w:szCs w:val="24"/>
        </w:rPr>
        <w:t xml:space="preserve">W przekroju wiekowym widoczne są pewne różnice, lecz nie układają się one w wyraźny trend wraz z wiekiem. Najwyższy udział odpowiedzi „tak” – wskazujących na osobisty kontakt z projektami współfinansowanymi z Funduszy Europejskich – odnotowano w grupach </w:t>
      </w:r>
      <w:r w:rsidRPr="004B75FE">
        <w:rPr>
          <w:rFonts w:ascii="Arial" w:hAnsi="Arial" w:cs="Arial"/>
          <w:sz w:val="24"/>
          <w:szCs w:val="24"/>
        </w:rPr>
        <w:t>20–24 lata (23%)</w:t>
      </w:r>
      <w:r w:rsidRPr="00E27EFA">
        <w:rPr>
          <w:rFonts w:ascii="Arial" w:hAnsi="Arial" w:cs="Arial"/>
          <w:sz w:val="24"/>
          <w:szCs w:val="24"/>
        </w:rPr>
        <w:t xml:space="preserve">, </w:t>
      </w:r>
      <w:r w:rsidRPr="004B75FE">
        <w:rPr>
          <w:rFonts w:ascii="Arial" w:hAnsi="Arial" w:cs="Arial"/>
          <w:sz w:val="24"/>
          <w:szCs w:val="24"/>
        </w:rPr>
        <w:t>45–54 lata (21%)</w:t>
      </w:r>
      <w:r w:rsidRPr="00E27EFA">
        <w:rPr>
          <w:rFonts w:ascii="Arial" w:hAnsi="Arial" w:cs="Arial"/>
          <w:sz w:val="24"/>
          <w:szCs w:val="24"/>
        </w:rPr>
        <w:t xml:space="preserve"> oraz </w:t>
      </w:r>
      <w:r w:rsidRPr="004B75FE">
        <w:rPr>
          <w:rFonts w:ascii="Arial" w:hAnsi="Arial" w:cs="Arial"/>
          <w:sz w:val="24"/>
          <w:szCs w:val="24"/>
        </w:rPr>
        <w:t>55–64 lata (22%)</w:t>
      </w:r>
      <w:r w:rsidRPr="00E27EFA">
        <w:rPr>
          <w:rFonts w:ascii="Arial" w:hAnsi="Arial" w:cs="Arial"/>
          <w:sz w:val="24"/>
          <w:szCs w:val="24"/>
        </w:rPr>
        <w:t xml:space="preserve">. Najniższe wartości występują natomiast wśród osób </w:t>
      </w:r>
      <w:r w:rsidRPr="004B75FE">
        <w:rPr>
          <w:rFonts w:ascii="Arial" w:hAnsi="Arial" w:cs="Arial"/>
          <w:sz w:val="24"/>
          <w:szCs w:val="24"/>
        </w:rPr>
        <w:t>35–44 lata (16%)</w:t>
      </w:r>
      <w:r w:rsidRPr="00E27EFA">
        <w:rPr>
          <w:rFonts w:ascii="Arial" w:hAnsi="Arial" w:cs="Arial"/>
          <w:sz w:val="24"/>
          <w:szCs w:val="24"/>
        </w:rPr>
        <w:t xml:space="preserve"> oraz </w:t>
      </w:r>
      <w:r w:rsidRPr="004B75FE">
        <w:rPr>
          <w:rFonts w:ascii="Arial" w:hAnsi="Arial" w:cs="Arial"/>
          <w:sz w:val="24"/>
          <w:szCs w:val="24"/>
        </w:rPr>
        <w:t>65+ (17%)</w:t>
      </w:r>
      <w:r w:rsidRPr="00E27EFA">
        <w:rPr>
          <w:rFonts w:ascii="Arial" w:hAnsi="Arial" w:cs="Arial"/>
          <w:sz w:val="24"/>
          <w:szCs w:val="24"/>
        </w:rPr>
        <w:t xml:space="preserve">. Mimo tych różnic, we wszystkich grupach wiekowych dominuje odpowiedź </w:t>
      </w:r>
      <w:r w:rsidRPr="004B75FE">
        <w:rPr>
          <w:rFonts w:ascii="Arial" w:hAnsi="Arial" w:cs="Arial"/>
          <w:sz w:val="24"/>
          <w:szCs w:val="24"/>
        </w:rPr>
        <w:t>„nie”</w:t>
      </w:r>
      <w:r w:rsidRPr="00E27EFA">
        <w:rPr>
          <w:rFonts w:ascii="Arial" w:hAnsi="Arial" w:cs="Arial"/>
          <w:sz w:val="24"/>
          <w:szCs w:val="24"/>
        </w:rPr>
        <w:t xml:space="preserve">, zwykle na poziomie </w:t>
      </w:r>
      <w:r w:rsidRPr="004B75FE">
        <w:rPr>
          <w:rFonts w:ascii="Arial" w:hAnsi="Arial" w:cs="Arial"/>
          <w:sz w:val="24"/>
          <w:szCs w:val="24"/>
        </w:rPr>
        <w:t>72–80%</w:t>
      </w:r>
      <w:r w:rsidRPr="00E27EFA">
        <w:rPr>
          <w:rFonts w:ascii="Arial" w:hAnsi="Arial" w:cs="Arial"/>
          <w:sz w:val="24"/>
          <w:szCs w:val="24"/>
        </w:rPr>
        <w:t>, co wskazuje, że niezależnie od wieku bezpośrednie korzystanie z efektów projektów finansowanych ze środków unijnych nie jest doświadczeniem powszechnym.</w:t>
      </w:r>
    </w:p>
    <w:p w14:paraId="2F2E752E" w14:textId="725D5122" w:rsidR="00256099" w:rsidRPr="00672A70" w:rsidRDefault="00256099" w:rsidP="00C0187D">
      <w:pPr>
        <w:spacing w:before="240" w:line="360" w:lineRule="auto"/>
        <w:rPr>
          <w:rFonts w:ascii="Arial" w:hAnsi="Arial" w:cs="Arial"/>
          <w:sz w:val="24"/>
          <w:szCs w:val="24"/>
        </w:rPr>
      </w:pPr>
      <w:r w:rsidRPr="00672A70">
        <w:rPr>
          <w:rFonts w:ascii="Arial" w:hAnsi="Arial" w:cs="Arial"/>
          <w:sz w:val="24"/>
          <w:szCs w:val="24"/>
        </w:rPr>
        <w:t xml:space="preserve">Struktura odpowiedzi różni się nieco w zależności od wykształcenia. Najwyższy udział uczestnictwa </w:t>
      </w:r>
      <w:r w:rsidR="00E9735B">
        <w:rPr>
          <w:rFonts w:ascii="Arial" w:hAnsi="Arial" w:cs="Arial"/>
          <w:sz w:val="24"/>
          <w:szCs w:val="24"/>
        </w:rPr>
        <w:t xml:space="preserve">w przedsięwzięciach FE </w:t>
      </w:r>
      <w:r w:rsidRPr="00672A70">
        <w:rPr>
          <w:rFonts w:ascii="Arial" w:hAnsi="Arial" w:cs="Arial"/>
          <w:sz w:val="24"/>
          <w:szCs w:val="24"/>
        </w:rPr>
        <w:t xml:space="preserve">deklarują osoby ze średnim wykształceniem (20%), natomiast najniższy – osoby z wykształceniem </w:t>
      </w:r>
      <w:r w:rsidR="00E9735B">
        <w:rPr>
          <w:rFonts w:ascii="Arial" w:hAnsi="Arial" w:cs="Arial"/>
          <w:sz w:val="24"/>
          <w:szCs w:val="24"/>
        </w:rPr>
        <w:t xml:space="preserve">w </w:t>
      </w:r>
      <w:r w:rsidRPr="00672A70">
        <w:rPr>
          <w:rFonts w:ascii="Arial" w:hAnsi="Arial" w:cs="Arial"/>
          <w:sz w:val="24"/>
          <w:szCs w:val="24"/>
        </w:rPr>
        <w:t xml:space="preserve">zawodowym (17%). We wszystkich grupach dominuje odpowiedź „nie”, przy czym jej poziom waha się od 72% (wykształcenie średnie) do 79% (wyższe). Odsetek odpowiedzi „nie wiem” waha się od 3% do </w:t>
      </w:r>
      <w:r w:rsidR="00577E54">
        <w:rPr>
          <w:rFonts w:ascii="Arial" w:hAnsi="Arial" w:cs="Arial"/>
          <w:sz w:val="24"/>
          <w:szCs w:val="24"/>
        </w:rPr>
        <w:t>8</w:t>
      </w:r>
      <w:r w:rsidRPr="00672A70">
        <w:rPr>
          <w:rFonts w:ascii="Arial" w:hAnsi="Arial" w:cs="Arial"/>
          <w:sz w:val="24"/>
          <w:szCs w:val="24"/>
        </w:rPr>
        <w:t>%.</w:t>
      </w:r>
    </w:p>
    <w:p w14:paraId="245243AC" w14:textId="60AE9AD2" w:rsidR="00256099" w:rsidRPr="00672A70" w:rsidRDefault="00256099" w:rsidP="00C0187D">
      <w:pPr>
        <w:spacing w:before="240" w:line="360" w:lineRule="auto"/>
        <w:rPr>
          <w:rFonts w:ascii="Arial" w:hAnsi="Arial" w:cs="Arial"/>
          <w:sz w:val="24"/>
          <w:szCs w:val="24"/>
        </w:rPr>
      </w:pPr>
      <w:r w:rsidRPr="00672A70">
        <w:rPr>
          <w:rFonts w:ascii="Arial" w:hAnsi="Arial" w:cs="Arial"/>
          <w:sz w:val="24"/>
          <w:szCs w:val="24"/>
        </w:rPr>
        <w:t>Zróżnicowanie widoczne jest również w zależności od wielkości miejscowości. Najczęściej w przedsięwzięciach lub szkoleniach dofinansowanych z FE uczestniczyli mieszkańcy małych miast do 20 tys. mieszkańców (2</w:t>
      </w:r>
      <w:r w:rsidR="00577E54">
        <w:rPr>
          <w:rFonts w:ascii="Arial" w:hAnsi="Arial" w:cs="Arial"/>
          <w:sz w:val="24"/>
          <w:szCs w:val="24"/>
        </w:rPr>
        <w:t>4</w:t>
      </w:r>
      <w:r w:rsidRPr="00672A70">
        <w:rPr>
          <w:rFonts w:ascii="Arial" w:hAnsi="Arial" w:cs="Arial"/>
          <w:sz w:val="24"/>
          <w:szCs w:val="24"/>
        </w:rPr>
        <w:t>%) oraz miast 20–49 tys. (21%). Najniższy udział uczestnictwa wystąpił w miastach 200–499 tys. mieszkańców (12%) oraz 50–199 tys. (1</w:t>
      </w:r>
      <w:r w:rsidR="00577E54">
        <w:rPr>
          <w:rFonts w:ascii="Arial" w:hAnsi="Arial" w:cs="Arial"/>
          <w:sz w:val="24"/>
          <w:szCs w:val="24"/>
        </w:rPr>
        <w:t>5</w:t>
      </w:r>
      <w:r w:rsidRPr="00672A70">
        <w:rPr>
          <w:rFonts w:ascii="Arial" w:hAnsi="Arial" w:cs="Arial"/>
          <w:sz w:val="24"/>
          <w:szCs w:val="24"/>
        </w:rPr>
        <w:t>%), gdzie dominuje wysoki odsetek odpowiedzi „nie” (odpowiednio 86% i 83%). Na wsi</w:t>
      </w:r>
      <w:r w:rsidR="00E9735B">
        <w:rPr>
          <w:rFonts w:ascii="Arial" w:hAnsi="Arial" w:cs="Arial"/>
          <w:sz w:val="24"/>
          <w:szCs w:val="24"/>
        </w:rPr>
        <w:t>,</w:t>
      </w:r>
      <w:r w:rsidRPr="00672A70">
        <w:rPr>
          <w:rFonts w:ascii="Arial" w:hAnsi="Arial" w:cs="Arial"/>
          <w:sz w:val="24"/>
          <w:szCs w:val="24"/>
        </w:rPr>
        <w:t xml:space="preserve"> uczestnictwo deklaruje 1</w:t>
      </w:r>
      <w:r w:rsidR="00577E54">
        <w:rPr>
          <w:rFonts w:ascii="Arial" w:hAnsi="Arial" w:cs="Arial"/>
          <w:sz w:val="24"/>
          <w:szCs w:val="24"/>
        </w:rPr>
        <w:t>8</w:t>
      </w:r>
      <w:r w:rsidRPr="00672A70">
        <w:rPr>
          <w:rFonts w:ascii="Arial" w:hAnsi="Arial" w:cs="Arial"/>
          <w:sz w:val="24"/>
          <w:szCs w:val="24"/>
        </w:rPr>
        <w:t>% badanych, a w miastach powyżej 500 tys. – 20%, przy jednocześnie najwyższym udziale odpowiedzi „nie wiem” (</w:t>
      </w:r>
      <w:r w:rsidR="00577E54">
        <w:rPr>
          <w:rFonts w:ascii="Arial" w:hAnsi="Arial" w:cs="Arial"/>
          <w:sz w:val="24"/>
          <w:szCs w:val="24"/>
        </w:rPr>
        <w:t>10</w:t>
      </w:r>
      <w:r w:rsidRPr="00672A70">
        <w:rPr>
          <w:rFonts w:ascii="Arial" w:hAnsi="Arial" w:cs="Arial"/>
          <w:sz w:val="24"/>
          <w:szCs w:val="24"/>
        </w:rPr>
        <w:t>%).</w:t>
      </w:r>
    </w:p>
    <w:p w14:paraId="02FAEEC9" w14:textId="47821D08" w:rsidR="00256099" w:rsidRDefault="00256099" w:rsidP="00C0187D">
      <w:pPr>
        <w:spacing w:before="240" w:line="360" w:lineRule="auto"/>
        <w:rPr>
          <w:rFonts w:ascii="Arial" w:hAnsi="Arial" w:cs="Arial"/>
          <w:sz w:val="24"/>
          <w:szCs w:val="24"/>
        </w:rPr>
      </w:pPr>
      <w:r w:rsidRPr="00672A70">
        <w:rPr>
          <w:rFonts w:ascii="Arial" w:hAnsi="Arial" w:cs="Arial"/>
          <w:sz w:val="24"/>
          <w:szCs w:val="24"/>
        </w:rPr>
        <w:t>Całościowo</w:t>
      </w:r>
      <w:r w:rsidR="00E9735B">
        <w:rPr>
          <w:rFonts w:ascii="Arial" w:hAnsi="Arial" w:cs="Arial"/>
          <w:sz w:val="24"/>
          <w:szCs w:val="24"/>
        </w:rPr>
        <w:t>,</w:t>
      </w:r>
      <w:r w:rsidRPr="00672A70">
        <w:rPr>
          <w:rFonts w:ascii="Arial" w:hAnsi="Arial" w:cs="Arial"/>
          <w:sz w:val="24"/>
          <w:szCs w:val="24"/>
        </w:rPr>
        <w:t xml:space="preserve"> dane pokazują, że udział w przedsięwzięciach lub szkoleniach finansowanych z Funduszy Europejskich deklaruje mniejszość respondentów, a </w:t>
      </w:r>
      <w:r w:rsidRPr="00672A70">
        <w:rPr>
          <w:rFonts w:ascii="Arial" w:hAnsi="Arial" w:cs="Arial"/>
          <w:sz w:val="24"/>
          <w:szCs w:val="24"/>
        </w:rPr>
        <w:lastRenderedPageBreak/>
        <w:t>różnice między grupami są umiarkowane. We wszystkich przekrojach dominuje odpowiedź „nie”, natomiast najwię</w:t>
      </w:r>
      <w:r w:rsidR="00376687">
        <w:rPr>
          <w:rFonts w:ascii="Arial" w:hAnsi="Arial" w:cs="Arial"/>
          <w:sz w:val="24"/>
          <w:szCs w:val="24"/>
        </w:rPr>
        <w:t xml:space="preserve">cej osób deklarujących, że uczestniczyło w tego typu działaniach </w:t>
      </w:r>
      <w:r w:rsidRPr="00672A70">
        <w:rPr>
          <w:rFonts w:ascii="Arial" w:hAnsi="Arial" w:cs="Arial"/>
          <w:sz w:val="24"/>
          <w:szCs w:val="24"/>
        </w:rPr>
        <w:t xml:space="preserve">występuje wśród młodych dorosłych </w:t>
      </w:r>
      <w:r w:rsidR="00376687">
        <w:rPr>
          <w:rFonts w:ascii="Arial" w:hAnsi="Arial" w:cs="Arial"/>
          <w:sz w:val="24"/>
          <w:szCs w:val="24"/>
        </w:rPr>
        <w:t xml:space="preserve">(20-24 lata) </w:t>
      </w:r>
      <w:r w:rsidRPr="00672A70">
        <w:rPr>
          <w:rFonts w:ascii="Arial" w:hAnsi="Arial" w:cs="Arial"/>
          <w:sz w:val="24"/>
          <w:szCs w:val="24"/>
        </w:rPr>
        <w:t>oraz mieszkańców miast</w:t>
      </w:r>
      <w:r w:rsidR="00376687">
        <w:rPr>
          <w:rFonts w:ascii="Arial" w:hAnsi="Arial" w:cs="Arial"/>
          <w:sz w:val="24"/>
          <w:szCs w:val="24"/>
        </w:rPr>
        <w:t xml:space="preserve"> do 20 tys. mieszkańców</w:t>
      </w:r>
      <w:r w:rsidRPr="00672A70">
        <w:rPr>
          <w:rFonts w:ascii="Arial" w:hAnsi="Arial" w:cs="Arial"/>
          <w:sz w:val="24"/>
          <w:szCs w:val="24"/>
        </w:rPr>
        <w:t>.</w:t>
      </w:r>
    </w:p>
    <w:p w14:paraId="2E888277" w14:textId="2F0D1AAD" w:rsidR="00256099" w:rsidRPr="00B75CDB" w:rsidRDefault="2EC77B4A" w:rsidP="00672A70">
      <w:pPr>
        <w:pStyle w:val="Legenda"/>
        <w:keepNext/>
        <w:rPr>
          <w:rFonts w:ascii="Arial" w:hAnsi="Arial" w:cs="Arial"/>
          <w:b/>
          <w:bCs/>
          <w:color w:val="000000" w:themeColor="text1"/>
          <w:sz w:val="24"/>
          <w:szCs w:val="24"/>
        </w:rPr>
      </w:pPr>
      <w:bookmarkStart w:id="55" w:name="_Toc219369266"/>
      <w:r w:rsidRPr="00672A70">
        <w:rPr>
          <w:rFonts w:ascii="Arial" w:hAnsi="Arial" w:cs="Arial"/>
          <w:b/>
          <w:bCs/>
          <w:i w:val="0"/>
          <w:iCs w:val="0"/>
          <w:color w:val="000000" w:themeColor="text1"/>
          <w:sz w:val="24"/>
          <w:szCs w:val="24"/>
        </w:rPr>
        <w:t xml:space="preserve">Wykres </w:t>
      </w:r>
      <w:r w:rsidR="00256099" w:rsidRPr="0028226B">
        <w:rPr>
          <w:rFonts w:ascii="Arial" w:hAnsi="Arial" w:cs="Arial"/>
          <w:b/>
          <w:bCs/>
          <w:i w:val="0"/>
          <w:iCs w:val="0"/>
          <w:color w:val="000000" w:themeColor="text1"/>
          <w:sz w:val="24"/>
          <w:szCs w:val="24"/>
        </w:rPr>
        <w:fldChar w:fldCharType="begin"/>
      </w:r>
      <w:r w:rsidR="00256099" w:rsidRPr="0028226B">
        <w:rPr>
          <w:rFonts w:ascii="Arial" w:hAnsi="Arial" w:cs="Arial"/>
          <w:b/>
          <w:bCs/>
          <w:i w:val="0"/>
          <w:iCs w:val="0"/>
          <w:color w:val="000000" w:themeColor="text1"/>
          <w:sz w:val="24"/>
          <w:szCs w:val="24"/>
        </w:rPr>
        <w:instrText xml:space="preserve"> SEQ Wykres \* ARABIC </w:instrText>
      </w:r>
      <w:r w:rsidR="00256099" w:rsidRPr="0028226B">
        <w:rPr>
          <w:rFonts w:ascii="Arial" w:hAnsi="Arial" w:cs="Arial"/>
          <w:b/>
          <w:bCs/>
          <w:i w:val="0"/>
          <w:iCs w:val="0"/>
          <w:color w:val="000000" w:themeColor="text1"/>
          <w:sz w:val="24"/>
          <w:szCs w:val="24"/>
        </w:rPr>
        <w:fldChar w:fldCharType="separate"/>
      </w:r>
      <w:r w:rsidR="0055789E">
        <w:rPr>
          <w:rFonts w:ascii="Arial" w:hAnsi="Arial" w:cs="Arial"/>
          <w:b/>
          <w:bCs/>
          <w:i w:val="0"/>
          <w:iCs w:val="0"/>
          <w:noProof/>
          <w:color w:val="000000" w:themeColor="text1"/>
          <w:sz w:val="24"/>
          <w:szCs w:val="24"/>
        </w:rPr>
        <w:t>40</w:t>
      </w:r>
      <w:r w:rsidR="00256099" w:rsidRPr="0028226B">
        <w:rPr>
          <w:rFonts w:ascii="Arial" w:hAnsi="Arial" w:cs="Arial"/>
          <w:b/>
          <w:bCs/>
          <w:i w:val="0"/>
          <w:iCs w:val="0"/>
          <w:color w:val="000000" w:themeColor="text1"/>
          <w:sz w:val="24"/>
          <w:szCs w:val="24"/>
        </w:rPr>
        <w:fldChar w:fldCharType="end"/>
      </w:r>
      <w:r w:rsidRPr="00672A70">
        <w:rPr>
          <w:rFonts w:ascii="Arial" w:hAnsi="Arial" w:cs="Arial"/>
          <w:b/>
          <w:bCs/>
          <w:i w:val="0"/>
          <w:iCs w:val="0"/>
          <w:color w:val="000000" w:themeColor="text1"/>
          <w:sz w:val="24"/>
          <w:szCs w:val="24"/>
        </w:rPr>
        <w:t>. P21. Czy kiedykolwiek uczestniczył(a) Pan(i) w przedsięwzięciu dofinansowanym z Funduszy Europejskich, lub korzystał(a) z bezpłatnego lub dofinansowanego z FE szkolenia?</w:t>
      </w:r>
      <w:bookmarkEnd w:id="55"/>
      <w:r w:rsidRPr="00672A70">
        <w:rPr>
          <w:rFonts w:ascii="Arial" w:hAnsi="Arial" w:cs="Arial"/>
          <w:b/>
          <w:bCs/>
          <w:i w:val="0"/>
          <w:iCs w:val="0"/>
          <w:color w:val="000000" w:themeColor="text1"/>
          <w:sz w:val="24"/>
          <w:szCs w:val="24"/>
        </w:rPr>
        <w:t xml:space="preserve"> </w:t>
      </w:r>
    </w:p>
    <w:p w14:paraId="0CD0974F" w14:textId="1A18F222" w:rsidR="00256099" w:rsidRPr="00672A70" w:rsidRDefault="00B75CDB" w:rsidP="00256099">
      <w:pPr>
        <w:spacing w:before="240"/>
        <w:rPr>
          <w:rFonts w:ascii="Arial" w:hAnsi="Arial" w:cs="Arial"/>
          <w:sz w:val="24"/>
          <w:szCs w:val="24"/>
        </w:rPr>
      </w:pPr>
      <w:r>
        <w:rPr>
          <w:noProof/>
        </w:rPr>
        <w:drawing>
          <wp:inline distT="0" distB="0" distL="0" distR="0" wp14:anchorId="452594A6" wp14:editId="45809E6E">
            <wp:extent cx="5778500" cy="6196818"/>
            <wp:effectExtent l="0" t="0" r="0" b="0"/>
            <wp:docPr id="1228923227" name="Wykres 4" descr="Wykres przedstawia odpowiedzi na pytanie, czy respondenci kiedykolwiek uczestniczyli w przedsięwzięciu dofinansowanym z Funduszy Europejskich lub korzystali z bezpłatnego bądź dofinansowanego z FE szkolenia. Dane (N=955) zaprezentowano w podziale na płeć, wiek, wykształcenie oraz wielkość miejscowości. Każdy słupek składa się z trzech odpowiedzi: „tak”, „nie” oraz „nie wiem / nie pamiętam”.&#10;&#10;Wyniki ogólne:&#10;18% badanych deklaruje udział w projektach lub szkoleniach finansowanych z FE, 76% – że nie uczestniczyło, a 5% nie pamięta.&#10;&#10;Płeć:&#10;Kobiety nieco częściej niż mężczyźni deklarują udział (20% vs 17%). Mężczyźni częściej wybierają odpowiedź „nie” (79%).&#10;&#10;Wiek:&#10;Najwyższy udział zgłasza grupa 55–64 lata (22%) oraz 45–54 lata (21%). Najniższy poziom uczestnictwa odnotowano w grupie 35–44 lata (16%). Odpowiedzi „nie wiem / nie pamiętam” są najczęstsze wśród najstarszych (65+) – 6%.&#10;&#10;Wykształcenie:&#10;Poziom uczestnictwa jest zbliżony we wszystkich grupach (17–20%). Osoby ze średnim wykształceniem częściej niż inne deklarują „nie pamiętam” (8%).&#10;&#10;Wielkość miejscowości:&#10;Najwyższy udział deklarują mieszkańcy miast 200–499 tys. (12%) oraz &gt;500 tys. (20%). Najniższy poziom mają mieszkańcy wsi (18%). Największy odsetek odpowiedzi „nie” występuje w miastach 50–199 tys. (83%). Odpowiedzi „nie pamiętam” najczęściej pojawiają się wśród mieszkańców największych mias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r w:rsidR="00256099" w:rsidRPr="00672A70">
        <w:rPr>
          <w:rFonts w:ascii="Arial" w:hAnsi="Arial" w:cs="Arial"/>
          <w:sz w:val="24"/>
          <w:szCs w:val="24"/>
        </w:rPr>
        <w:t>Źródło: Opracowano na podstawie badania CAPI</w:t>
      </w:r>
      <w:r w:rsidR="008911AA">
        <w:rPr>
          <w:rFonts w:ascii="Arial" w:hAnsi="Arial" w:cs="Arial"/>
          <w:sz w:val="24"/>
          <w:szCs w:val="24"/>
        </w:rPr>
        <w:t>; odpowiadający: znający określenie FE lub FU</w:t>
      </w:r>
    </w:p>
    <w:p w14:paraId="0CACC68A" w14:textId="63192B3D" w:rsidR="00FF26BD" w:rsidRPr="0028226B" w:rsidRDefault="00FF26BD" w:rsidP="00ED2540">
      <w:pPr>
        <w:pStyle w:val="Nagwek1"/>
        <w:shd w:val="clear" w:color="auto" w:fill="061A3D"/>
        <w:rPr>
          <w:rFonts w:ascii="Arial" w:hAnsi="Arial" w:cs="Arial"/>
          <w:b/>
          <w:bCs/>
          <w:color w:val="FFFFFF" w:themeColor="background1"/>
          <w:sz w:val="24"/>
          <w:szCs w:val="24"/>
        </w:rPr>
      </w:pPr>
      <w:bookmarkStart w:id="56" w:name="_Toc219375244"/>
      <w:r w:rsidRPr="0028226B">
        <w:rPr>
          <w:rFonts w:ascii="Arial" w:hAnsi="Arial" w:cs="Arial"/>
          <w:b/>
          <w:bCs/>
          <w:color w:val="FFFFFF" w:themeColor="background1"/>
          <w:sz w:val="24"/>
          <w:szCs w:val="24"/>
        </w:rPr>
        <w:lastRenderedPageBreak/>
        <w:t>Opinie na temat szans na uzyskanie dofinansowania</w:t>
      </w:r>
      <w:bookmarkEnd w:id="56"/>
    </w:p>
    <w:p w14:paraId="77CDD21D" w14:textId="382E013D" w:rsidR="000B0A1D" w:rsidRPr="000B0A1D" w:rsidRDefault="000B0A1D" w:rsidP="00C0187D">
      <w:pPr>
        <w:spacing w:before="240" w:line="360" w:lineRule="auto"/>
        <w:rPr>
          <w:rFonts w:ascii="Arial" w:hAnsi="Arial" w:cs="Arial"/>
          <w:sz w:val="24"/>
          <w:szCs w:val="24"/>
        </w:rPr>
      </w:pPr>
      <w:r w:rsidRPr="000B0A1D">
        <w:rPr>
          <w:rFonts w:ascii="Arial" w:hAnsi="Arial" w:cs="Arial"/>
          <w:sz w:val="24"/>
          <w:szCs w:val="24"/>
        </w:rPr>
        <w:t xml:space="preserve">Wieloletnia analiza pokazuje, że zainteresowanie ubieganiem się o wsparcie z Funduszy Europejskich pozostaje na niskim i stabilnym poziomie. Od 2014 roku odsetek osób planujących aplikować rzadko przekraczał 10%, a wyjątkowo wysoki wynik z 2015 roku (21%) miał charakter incydentalny. Najniższy poziom odnotowano w 2019 roku (4%). Od 2020 roku wskaźniki ponownie stabilizują się, a w latach 2022–2025 utrzymują się konsekwentnie na poziomie około 8%, co potwierdza ograniczoną i niezmienną skłonność do ubiegania się o wsparcie. We wszystkich latach dominowała odpowiedź „nie” – najczęściej powyżej 60%, z maksimum 74% w 2019 roku. W ostatnich dwóch latach, </w:t>
      </w:r>
      <w:r w:rsidRPr="004B75FE">
        <w:rPr>
          <w:rFonts w:ascii="Arial" w:hAnsi="Arial" w:cs="Arial"/>
          <w:sz w:val="24"/>
          <w:szCs w:val="24"/>
        </w:rPr>
        <w:t>w tym w najnowszym pomiarze z 2025 roku</w:t>
      </w:r>
      <w:r w:rsidRPr="000B0A1D">
        <w:rPr>
          <w:rFonts w:ascii="Arial" w:hAnsi="Arial" w:cs="Arial"/>
          <w:sz w:val="24"/>
          <w:szCs w:val="24"/>
        </w:rPr>
        <w:t>, odsetek deklaracji negatywnych obniża się do 53–54%, co może wskazywać na lekkie zmniejszenie sceptycyzmu, choć nadal większość respondentów nie planuje ubiegać się o środki. Wyraźnie widoczny jest także wysoki udział odpowiedzi „nie wiem / trudno powiedzieć”, szczególnie od 2020 roku – w latach 2023–2025 pozostaje on na poziomie 35–40%, co świadczy o utrzymującej się niepewności co do zasad lub sensowności aplikowania. Odmowy odpowiedzi występują sporadycznie i nie wpływają na ogólny obraz wyników.</w:t>
      </w:r>
    </w:p>
    <w:p w14:paraId="634F1D9B" w14:textId="36DDD8AA" w:rsidR="008C15B7" w:rsidRPr="007E4B5C" w:rsidRDefault="008C15B7" w:rsidP="00C0187D">
      <w:pPr>
        <w:spacing w:line="360" w:lineRule="auto"/>
        <w:rPr>
          <w:rFonts w:ascii="Arial" w:hAnsi="Arial" w:cs="Arial"/>
          <w:sz w:val="24"/>
          <w:szCs w:val="24"/>
        </w:rPr>
      </w:pPr>
      <w:r w:rsidRPr="007E4B5C">
        <w:rPr>
          <w:rFonts w:ascii="Arial" w:hAnsi="Arial" w:cs="Arial"/>
          <w:sz w:val="24"/>
          <w:szCs w:val="24"/>
        </w:rPr>
        <w:t>Odmowa odpowiedzi pojawiała się sporadycznie i nie przekraczała kilku procent rocznie.</w:t>
      </w:r>
    </w:p>
    <w:p w14:paraId="0B14DD93" w14:textId="76D5D855" w:rsidR="007A27F7" w:rsidRPr="0028226B" w:rsidRDefault="007A27F7" w:rsidP="007A27F7">
      <w:pPr>
        <w:pStyle w:val="Legenda"/>
        <w:keepNext/>
        <w:rPr>
          <w:rFonts w:ascii="Arial" w:hAnsi="Arial" w:cs="Arial"/>
          <w:b/>
          <w:bCs/>
          <w:i w:val="0"/>
          <w:iCs w:val="0"/>
          <w:color w:val="auto"/>
          <w:sz w:val="24"/>
          <w:szCs w:val="24"/>
        </w:rPr>
      </w:pPr>
      <w:bookmarkStart w:id="57" w:name="_Toc219369267"/>
      <w:r w:rsidRPr="0028226B">
        <w:rPr>
          <w:rFonts w:ascii="Arial" w:hAnsi="Arial" w:cs="Arial"/>
          <w:b/>
          <w:bCs/>
          <w:i w:val="0"/>
          <w:iCs w:val="0"/>
          <w:color w:val="auto"/>
          <w:sz w:val="24"/>
          <w:szCs w:val="24"/>
        </w:rPr>
        <w:lastRenderedPageBreak/>
        <w:t xml:space="preserve">Wykres </w:t>
      </w:r>
      <w:r w:rsidRPr="0028226B">
        <w:rPr>
          <w:rFonts w:ascii="Arial" w:hAnsi="Arial" w:cs="Arial"/>
          <w:b/>
          <w:bCs/>
          <w:i w:val="0"/>
          <w:iCs w:val="0"/>
          <w:color w:val="auto"/>
          <w:sz w:val="24"/>
          <w:szCs w:val="24"/>
        </w:rPr>
        <w:fldChar w:fldCharType="begin"/>
      </w:r>
      <w:r w:rsidRPr="0028226B">
        <w:rPr>
          <w:rFonts w:ascii="Arial" w:hAnsi="Arial" w:cs="Arial"/>
          <w:b/>
          <w:bCs/>
          <w:i w:val="0"/>
          <w:iCs w:val="0"/>
          <w:color w:val="auto"/>
          <w:sz w:val="24"/>
          <w:szCs w:val="24"/>
        </w:rPr>
        <w:instrText xml:space="preserve"> SEQ Wykres \* ARABIC </w:instrText>
      </w:r>
      <w:r w:rsidRPr="0028226B">
        <w:rPr>
          <w:rFonts w:ascii="Arial" w:hAnsi="Arial" w:cs="Arial"/>
          <w:b/>
          <w:bCs/>
          <w:i w:val="0"/>
          <w:iCs w:val="0"/>
          <w:color w:val="auto"/>
          <w:sz w:val="24"/>
          <w:szCs w:val="24"/>
        </w:rPr>
        <w:fldChar w:fldCharType="separate"/>
      </w:r>
      <w:r w:rsidR="0055789E">
        <w:rPr>
          <w:rFonts w:ascii="Arial" w:hAnsi="Arial" w:cs="Arial"/>
          <w:b/>
          <w:bCs/>
          <w:i w:val="0"/>
          <w:iCs w:val="0"/>
          <w:noProof/>
          <w:color w:val="auto"/>
          <w:sz w:val="24"/>
          <w:szCs w:val="24"/>
        </w:rPr>
        <w:t>41</w:t>
      </w:r>
      <w:r w:rsidRPr="0028226B">
        <w:rPr>
          <w:rFonts w:ascii="Arial" w:hAnsi="Arial" w:cs="Arial"/>
          <w:b/>
          <w:bCs/>
          <w:i w:val="0"/>
          <w:iCs w:val="0"/>
          <w:color w:val="auto"/>
          <w:sz w:val="24"/>
          <w:szCs w:val="24"/>
        </w:rPr>
        <w:fldChar w:fldCharType="end"/>
      </w:r>
      <w:r w:rsidRPr="0028226B">
        <w:rPr>
          <w:rFonts w:ascii="Arial" w:hAnsi="Arial" w:cs="Arial"/>
          <w:b/>
          <w:bCs/>
          <w:i w:val="0"/>
          <w:iCs w:val="0"/>
          <w:color w:val="auto"/>
          <w:sz w:val="24"/>
          <w:szCs w:val="24"/>
        </w:rPr>
        <w:t xml:space="preserve">. </w:t>
      </w:r>
      <w:r w:rsidR="00E60CAD" w:rsidRPr="0028226B">
        <w:rPr>
          <w:rFonts w:ascii="Arial" w:hAnsi="Arial" w:cs="Arial"/>
          <w:b/>
          <w:bCs/>
          <w:i w:val="0"/>
          <w:iCs w:val="0"/>
          <w:color w:val="auto"/>
          <w:sz w:val="24"/>
          <w:szCs w:val="24"/>
        </w:rPr>
        <w:t xml:space="preserve">P24. Czy zamierza Pan(i) ubiegać się o wsparcie w ramach Funduszy Europejskich? - </w:t>
      </w:r>
      <w:r w:rsidRPr="0028226B">
        <w:rPr>
          <w:rFonts w:ascii="Arial" w:hAnsi="Arial" w:cs="Arial"/>
          <w:b/>
          <w:bCs/>
          <w:i w:val="0"/>
          <w:iCs w:val="0"/>
          <w:color w:val="auto"/>
          <w:sz w:val="24"/>
          <w:szCs w:val="24"/>
        </w:rPr>
        <w:t>w latach 2014–2025</w:t>
      </w:r>
      <w:bookmarkEnd w:id="57"/>
    </w:p>
    <w:p w14:paraId="52FEEA99" w14:textId="77777777" w:rsidR="007A27F7" w:rsidRPr="0028226B" w:rsidRDefault="007A27F7" w:rsidP="007A27F7">
      <w:pPr>
        <w:rPr>
          <w:rFonts w:ascii="Arial" w:hAnsi="Arial" w:cs="Arial"/>
          <w:sz w:val="24"/>
          <w:szCs w:val="24"/>
        </w:rPr>
      </w:pPr>
      <w:r w:rsidRPr="0028226B">
        <w:rPr>
          <w:rFonts w:ascii="Arial" w:hAnsi="Arial" w:cs="Arial"/>
          <w:noProof/>
          <w:sz w:val="24"/>
          <w:szCs w:val="24"/>
        </w:rPr>
        <w:drawing>
          <wp:inline distT="0" distB="0" distL="0" distR="0" wp14:anchorId="38B94F7A" wp14:editId="7E81B500">
            <wp:extent cx="5880296" cy="3886200"/>
            <wp:effectExtent l="0" t="0" r="0" b="0"/>
            <wp:docPr id="1884863894" name="Wykres 5" descr="Wykres poziomy przedstawia odpowiedzi na pytanie „Czy zamierza Pan(i) ubiegać się o wsparcie w ramach Funduszy Europejskich?” w latach 2014–2025. Każdy słupek składa się z czterech kategorii odpowiedzi: „tak”, „nie”, „nie wiem / trudno powiedzieć” oraz „odmowa”. Wyniki uporządkowano chronologicznie.&#10;&#10;Odpowiedzi „tak” utrzymują się na niskim poziomie – od 4% do 21%. Najwyższy poziom deklaracji zanotowano w 2015 r. (21%), a najniższy w 2019 r. (4%). W ostatnich latach (2023–2025) odsetek „tak” wynosi 8%, pozostając stabilny.&#10;&#10;Odpowiedzi „nie” dominują w całym okresie i sięgają od 45% do 74%. Najwyższe wskazanie odnotowano w 2019 r. (74%) i 2014 r. (74%). W latach 2023–2025 poziom „nie” waha się między 49% a 54%.&#10;&#10;Odpowiedzi „nie wiem / trudno powiedzieć” mają znaczący udział – od 20% do 40%. Najwyższe wartości (33–40%) widoczne są w latach 2017–2023. W 2025 r. kategoria ta stanowi 35%.&#10;&#10;Odmowa odpowiedzi jest marginalna (1–6%), najwyższa w 2021 r. (6%) i 2024–2025 (3%)."/>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14:paraId="187AC3E1" w14:textId="6265DECA" w:rsidR="007A27F7" w:rsidRPr="00672A70" w:rsidRDefault="007A27F7" w:rsidP="007A27F7">
      <w:pPr>
        <w:spacing w:before="240"/>
        <w:rPr>
          <w:rFonts w:ascii="Arial" w:hAnsi="Arial" w:cs="Arial"/>
          <w:sz w:val="24"/>
          <w:szCs w:val="24"/>
        </w:rPr>
      </w:pPr>
      <w:r w:rsidRPr="00672A70">
        <w:rPr>
          <w:rFonts w:ascii="Arial" w:hAnsi="Arial" w:cs="Arial"/>
          <w:sz w:val="24"/>
          <w:szCs w:val="24"/>
        </w:rPr>
        <w:t>Źródło: Opracowano na podstawie badania CAPI</w:t>
      </w:r>
      <w:r w:rsidR="008911AA">
        <w:rPr>
          <w:rFonts w:ascii="Arial" w:hAnsi="Arial" w:cs="Arial"/>
          <w:sz w:val="24"/>
          <w:szCs w:val="24"/>
        </w:rPr>
        <w:t>; odpowiadający: znający określenie FE lub FU</w:t>
      </w:r>
    </w:p>
    <w:p w14:paraId="570021FC" w14:textId="77777777" w:rsidR="008102C7" w:rsidRPr="00672A70" w:rsidRDefault="008102C7" w:rsidP="00C0187D">
      <w:pPr>
        <w:spacing w:before="240" w:line="360" w:lineRule="auto"/>
        <w:rPr>
          <w:rFonts w:ascii="Arial" w:hAnsi="Arial" w:cs="Arial"/>
          <w:sz w:val="24"/>
          <w:szCs w:val="24"/>
        </w:rPr>
      </w:pPr>
      <w:r w:rsidRPr="00672A70">
        <w:rPr>
          <w:rFonts w:ascii="Arial" w:hAnsi="Arial" w:cs="Arial"/>
          <w:sz w:val="24"/>
          <w:szCs w:val="24"/>
        </w:rPr>
        <w:t>Zestawienie przedstawia zróżnicowanie deklaracji dotyczących planów ubiegania się o wsparcie z Funduszy Europejskich w zależności od cech społeczno-demograficznych respondentów. Najbardziej zdecydowaną postawę obserwujemy wśród osób w wieku 20–24 lata, gdzie odsetek planujących ubiegać się o wsparcie jest najwyższy. Z kolei najmniejszą skłonność do aplikowania deklarują mieszkańcy miast średniej wielkości oraz osoby z wykształceniem zawodowym.</w:t>
      </w:r>
    </w:p>
    <w:p w14:paraId="3B2496CA" w14:textId="4ABCFCBE" w:rsidR="008102C7" w:rsidRPr="00672A70" w:rsidRDefault="008102C7" w:rsidP="00C0187D">
      <w:pPr>
        <w:spacing w:before="240" w:line="360" w:lineRule="auto"/>
        <w:rPr>
          <w:rFonts w:ascii="Arial" w:hAnsi="Arial" w:cs="Arial"/>
          <w:sz w:val="24"/>
          <w:szCs w:val="24"/>
        </w:rPr>
      </w:pPr>
      <w:r w:rsidRPr="00672A70">
        <w:rPr>
          <w:rFonts w:ascii="Arial" w:hAnsi="Arial" w:cs="Arial"/>
          <w:sz w:val="24"/>
          <w:szCs w:val="24"/>
        </w:rPr>
        <w:t>W grupach płci różnice pozostają umiarkowane: kobiety nie</w:t>
      </w:r>
      <w:r w:rsidR="007E4B5C">
        <w:rPr>
          <w:rFonts w:ascii="Arial" w:hAnsi="Arial" w:cs="Arial"/>
          <w:sz w:val="24"/>
          <w:szCs w:val="24"/>
        </w:rPr>
        <w:t>znacznie</w:t>
      </w:r>
      <w:r w:rsidRPr="00672A70">
        <w:rPr>
          <w:rFonts w:ascii="Arial" w:hAnsi="Arial" w:cs="Arial"/>
          <w:sz w:val="24"/>
          <w:szCs w:val="24"/>
        </w:rPr>
        <w:t xml:space="preserve"> częściej niż mężczyźni deklarują chęć złożenia wniosku, </w:t>
      </w:r>
      <w:r w:rsidR="007E4B5C">
        <w:rPr>
          <w:rFonts w:ascii="Arial" w:hAnsi="Arial" w:cs="Arial"/>
          <w:sz w:val="24"/>
          <w:szCs w:val="24"/>
        </w:rPr>
        <w:t>natomiast</w:t>
      </w:r>
      <w:r w:rsidRPr="00672A70">
        <w:rPr>
          <w:rFonts w:ascii="Arial" w:hAnsi="Arial" w:cs="Arial"/>
          <w:sz w:val="24"/>
          <w:szCs w:val="24"/>
        </w:rPr>
        <w:t xml:space="preserve"> wśród mężczyzn częściej pojawia się odpowiedź „nie wiem, trudno powiedzieć”. W przekrojach wiekowych wyraźnie widoczna jest przewaga odpowiedzi „nie wiem” wśród najmłodszych (15–19 lat), co może sugerować niski poziom wiedzy o dostępnych możliwościach finansowania.</w:t>
      </w:r>
    </w:p>
    <w:p w14:paraId="05B99FD9" w14:textId="3D8D157C" w:rsidR="008102C7" w:rsidRPr="00672A70" w:rsidRDefault="008102C7" w:rsidP="00C0187D">
      <w:pPr>
        <w:spacing w:before="240" w:line="360" w:lineRule="auto"/>
        <w:rPr>
          <w:rFonts w:ascii="Arial" w:hAnsi="Arial" w:cs="Arial"/>
          <w:sz w:val="24"/>
          <w:szCs w:val="24"/>
        </w:rPr>
      </w:pPr>
      <w:r w:rsidRPr="00672A70">
        <w:rPr>
          <w:rFonts w:ascii="Arial" w:hAnsi="Arial" w:cs="Arial"/>
          <w:sz w:val="24"/>
          <w:szCs w:val="24"/>
        </w:rPr>
        <w:lastRenderedPageBreak/>
        <w:t>Wielkość miejsca zamieszkania również wpływa na postawy respondentów. Mieszkańcy najmniejszych miejscowości częściej wahają się co do ewentualnego ubiegania się o wsparcie, natomiast w miastach 50–199 tys. mieszkańców</w:t>
      </w:r>
      <w:r w:rsidR="007E4B5C">
        <w:rPr>
          <w:rFonts w:ascii="Arial" w:hAnsi="Arial" w:cs="Arial"/>
          <w:sz w:val="24"/>
          <w:szCs w:val="24"/>
        </w:rPr>
        <w:t>,</w:t>
      </w:r>
      <w:r w:rsidRPr="00672A70">
        <w:rPr>
          <w:rFonts w:ascii="Arial" w:hAnsi="Arial" w:cs="Arial"/>
          <w:sz w:val="24"/>
          <w:szCs w:val="24"/>
        </w:rPr>
        <w:t xml:space="preserve"> częściej pojawia się jednoznaczna odpowiedź „nie”. Całościowo patrząc, deklaracje dotyczące planów aplikowania o środki unijne pozostają raczej ostrożne, a dominującą postawą w większości analizowanych grup jest niechęć lub niepewność wobec ubiegania się o wsparcie.</w:t>
      </w:r>
    </w:p>
    <w:p w14:paraId="6973710D" w14:textId="72D932FB" w:rsidR="005D581C" w:rsidRPr="00672A70" w:rsidRDefault="406867C5" w:rsidP="00C0187D">
      <w:pPr>
        <w:spacing w:before="240" w:line="360" w:lineRule="auto"/>
        <w:rPr>
          <w:rFonts w:ascii="Arial" w:hAnsi="Arial" w:cs="Arial"/>
          <w:sz w:val="24"/>
          <w:szCs w:val="24"/>
        </w:rPr>
      </w:pPr>
      <w:r w:rsidRPr="00672A70">
        <w:rPr>
          <w:rFonts w:ascii="Arial" w:hAnsi="Arial" w:cs="Arial"/>
          <w:sz w:val="24"/>
          <w:szCs w:val="24"/>
        </w:rPr>
        <w:t>Pytając o cele, na które respondent zamierza ubiegać się o Fundusze Europejskie (N=71), pojawiają się dwa główne typy postaw. Po pierwsze, bardzo liczna jest grupa osób, które nie potrafią wskazać konkretnego celu – wielokrotnie pojawia się odpowiedź „nie wiem”. Oznacza to, że część badanych co prawda dopuszcza możliwość sięgnięcia po środki unijne, ale nie ma jeszcze sprecyzowanego planu, na co dokładnie mogłaby je przeznaczyć.</w:t>
      </w:r>
    </w:p>
    <w:p w14:paraId="0CC4FE94" w14:textId="77777777" w:rsidR="005D581C" w:rsidRPr="00672A70" w:rsidRDefault="005D581C" w:rsidP="00C0187D">
      <w:pPr>
        <w:spacing w:before="240" w:line="360" w:lineRule="auto"/>
        <w:rPr>
          <w:rFonts w:ascii="Arial" w:hAnsi="Arial" w:cs="Arial"/>
          <w:sz w:val="24"/>
          <w:szCs w:val="24"/>
        </w:rPr>
      </w:pPr>
      <w:r w:rsidRPr="00672A70">
        <w:rPr>
          <w:rFonts w:ascii="Arial" w:hAnsi="Arial" w:cs="Arial"/>
          <w:sz w:val="24"/>
          <w:szCs w:val="24"/>
        </w:rPr>
        <w:t>Wśród osób, które podają konkretny cel, dominują zamiary związane z rozwojem zawodowym i gospodarczym. Wskazywano m.in. chęć założenia własnej działalności, otwarcia biznesu lub sklepu, rozwoju własnej (często małej) firmy, rozbudowy przedsiębiorstwa czy inwestycji w rozwój technologiczny firmy. Silnie widoczny jest także wątek rolniczy: respondenci chcieliby korzystać ze środków na zakup sprzętu rolniczego, modernizację gospodarstwa i ogólny rozwój rolnictwa.</w:t>
      </w:r>
    </w:p>
    <w:p w14:paraId="7C673B18" w14:textId="77777777" w:rsidR="005D581C" w:rsidRPr="00672A70" w:rsidRDefault="005D581C" w:rsidP="00C0187D">
      <w:pPr>
        <w:spacing w:before="240" w:line="360" w:lineRule="auto"/>
        <w:rPr>
          <w:rFonts w:ascii="Arial" w:hAnsi="Arial" w:cs="Arial"/>
          <w:sz w:val="24"/>
          <w:szCs w:val="24"/>
        </w:rPr>
      </w:pPr>
      <w:r w:rsidRPr="00672A70">
        <w:rPr>
          <w:rFonts w:ascii="Arial" w:hAnsi="Arial" w:cs="Arial"/>
          <w:sz w:val="24"/>
          <w:szCs w:val="24"/>
        </w:rPr>
        <w:t>Druga duża grupa celów dotyczy inwestycji w kapitał ludzki. Badani wymieniają kursy i szkolenia zawodowe, kursy komputerowe, językowe, prawo jazdy, szkolenia dla młodzieży i dorosłych, podnoszenie kwalifikacji oraz edukację dzieci. Widać więc, że środki unijne są postrzegane jako możliwość sfinansowania nauki i zdobycia nowych umiejętności.</w:t>
      </w:r>
    </w:p>
    <w:p w14:paraId="1F5304ED" w14:textId="77777777" w:rsidR="005D581C" w:rsidRPr="00672A70" w:rsidRDefault="005D581C" w:rsidP="00C0187D">
      <w:pPr>
        <w:spacing w:before="240" w:line="360" w:lineRule="auto"/>
        <w:rPr>
          <w:rFonts w:ascii="Arial" w:hAnsi="Arial" w:cs="Arial"/>
          <w:sz w:val="24"/>
          <w:szCs w:val="24"/>
        </w:rPr>
      </w:pPr>
      <w:r w:rsidRPr="00672A70">
        <w:rPr>
          <w:rFonts w:ascii="Arial" w:hAnsi="Arial" w:cs="Arial"/>
          <w:sz w:val="24"/>
          <w:szCs w:val="24"/>
        </w:rPr>
        <w:t xml:space="preserve">Kolejna kategoria to poprawa warunków życia i mieszkaniowych. W odpowiedziach pojawiają się remonty mieszkań, łazienek, dachów i całych budynków, modernizacja mieszkania, lepsze wyposażenie domu, budowa garażu czy domu, a także ogólna „poprawa warunków życia”. Część wskazań dotyczy działań </w:t>
      </w:r>
      <w:proofErr w:type="spellStart"/>
      <w:r w:rsidRPr="00672A70">
        <w:rPr>
          <w:rFonts w:ascii="Arial" w:hAnsi="Arial" w:cs="Arial"/>
          <w:sz w:val="24"/>
          <w:szCs w:val="24"/>
        </w:rPr>
        <w:t>prośrodowiskowych</w:t>
      </w:r>
      <w:proofErr w:type="spellEnd"/>
      <w:r w:rsidRPr="00672A70">
        <w:rPr>
          <w:rFonts w:ascii="Arial" w:hAnsi="Arial" w:cs="Arial"/>
          <w:sz w:val="24"/>
          <w:szCs w:val="24"/>
        </w:rPr>
        <w:t xml:space="preserve"> i energetycznych: wymiana pieca, wymiana okien, termomodernizacja budynku, ocieplenie domu, panele słoneczne, odnawialne źródła energii, lepsze ogrzewanie, poprawa środowiska.</w:t>
      </w:r>
    </w:p>
    <w:p w14:paraId="4EF0BFA7" w14:textId="77777777" w:rsidR="005D581C" w:rsidRPr="00672A70" w:rsidRDefault="005D581C" w:rsidP="00C0187D">
      <w:pPr>
        <w:spacing w:before="240" w:line="360" w:lineRule="auto"/>
        <w:rPr>
          <w:rFonts w:ascii="Arial" w:hAnsi="Arial" w:cs="Arial"/>
          <w:sz w:val="24"/>
          <w:szCs w:val="24"/>
        </w:rPr>
      </w:pPr>
      <w:r w:rsidRPr="00672A70">
        <w:rPr>
          <w:rFonts w:ascii="Arial" w:hAnsi="Arial" w:cs="Arial"/>
          <w:sz w:val="24"/>
          <w:szCs w:val="24"/>
        </w:rPr>
        <w:lastRenderedPageBreak/>
        <w:t>Wreszcie pojawiają się cele związane z rozwojem infrastruktury i usług: remont szkoły, zakup sprzętu medycznego, doposażenie warsztatu, zakup sprzętu do pracy czy biura, stworzenie nowych miejsc pracy. Pojedyncze odpowiedzi dotyczą bardziej ogólnie „inwestycji” czy „nowego startu w pracy”, co pokazuje, że fundusze europejskie są również kojarzone z możliwością życiowej zmiany i poprawy sytuacji zawodowej.</w:t>
      </w:r>
    </w:p>
    <w:p w14:paraId="285EC0F9" w14:textId="011B3419" w:rsidR="008102C7" w:rsidRPr="0028226B" w:rsidRDefault="008102C7" w:rsidP="008102C7">
      <w:pPr>
        <w:pStyle w:val="Legenda"/>
        <w:keepNext/>
        <w:rPr>
          <w:rFonts w:ascii="Arial" w:hAnsi="Arial" w:cs="Arial"/>
          <w:b/>
          <w:bCs/>
          <w:i w:val="0"/>
          <w:iCs w:val="0"/>
          <w:color w:val="auto"/>
          <w:sz w:val="24"/>
          <w:szCs w:val="24"/>
        </w:rPr>
      </w:pPr>
      <w:bookmarkStart w:id="58" w:name="_Toc219369268"/>
      <w:r w:rsidRPr="0028226B">
        <w:rPr>
          <w:rFonts w:ascii="Arial" w:hAnsi="Arial" w:cs="Arial"/>
          <w:b/>
          <w:bCs/>
          <w:i w:val="0"/>
          <w:iCs w:val="0"/>
          <w:color w:val="auto"/>
          <w:sz w:val="24"/>
          <w:szCs w:val="24"/>
        </w:rPr>
        <w:t xml:space="preserve">Wykres </w:t>
      </w:r>
      <w:r w:rsidRPr="0028226B">
        <w:rPr>
          <w:rFonts w:ascii="Arial" w:hAnsi="Arial" w:cs="Arial"/>
          <w:b/>
          <w:bCs/>
          <w:i w:val="0"/>
          <w:iCs w:val="0"/>
          <w:color w:val="auto"/>
          <w:sz w:val="24"/>
          <w:szCs w:val="24"/>
        </w:rPr>
        <w:fldChar w:fldCharType="begin"/>
      </w:r>
      <w:r w:rsidRPr="0028226B">
        <w:rPr>
          <w:rFonts w:ascii="Arial" w:hAnsi="Arial" w:cs="Arial"/>
          <w:b/>
          <w:bCs/>
          <w:i w:val="0"/>
          <w:iCs w:val="0"/>
          <w:color w:val="auto"/>
          <w:sz w:val="24"/>
          <w:szCs w:val="24"/>
        </w:rPr>
        <w:instrText xml:space="preserve"> SEQ Wykres \* ARABIC </w:instrText>
      </w:r>
      <w:r w:rsidRPr="0028226B">
        <w:rPr>
          <w:rFonts w:ascii="Arial" w:hAnsi="Arial" w:cs="Arial"/>
          <w:b/>
          <w:bCs/>
          <w:i w:val="0"/>
          <w:iCs w:val="0"/>
          <w:color w:val="auto"/>
          <w:sz w:val="24"/>
          <w:szCs w:val="24"/>
        </w:rPr>
        <w:fldChar w:fldCharType="separate"/>
      </w:r>
      <w:r w:rsidR="0055789E">
        <w:rPr>
          <w:rFonts w:ascii="Arial" w:hAnsi="Arial" w:cs="Arial"/>
          <w:b/>
          <w:bCs/>
          <w:i w:val="0"/>
          <w:iCs w:val="0"/>
          <w:noProof/>
          <w:color w:val="auto"/>
          <w:sz w:val="24"/>
          <w:szCs w:val="24"/>
        </w:rPr>
        <w:t>42</w:t>
      </w:r>
      <w:r w:rsidRPr="0028226B">
        <w:rPr>
          <w:rFonts w:ascii="Arial" w:hAnsi="Arial" w:cs="Arial"/>
          <w:b/>
          <w:bCs/>
          <w:i w:val="0"/>
          <w:iCs w:val="0"/>
          <w:color w:val="auto"/>
          <w:sz w:val="24"/>
          <w:szCs w:val="24"/>
        </w:rPr>
        <w:fldChar w:fldCharType="end"/>
      </w:r>
      <w:r w:rsidRPr="0028226B">
        <w:rPr>
          <w:rFonts w:ascii="Arial" w:hAnsi="Arial" w:cs="Arial"/>
          <w:b/>
          <w:bCs/>
          <w:i w:val="0"/>
          <w:iCs w:val="0"/>
          <w:color w:val="auto"/>
          <w:sz w:val="24"/>
          <w:szCs w:val="24"/>
        </w:rPr>
        <w:t xml:space="preserve">. </w:t>
      </w:r>
      <w:r w:rsidR="00E60CAD" w:rsidRPr="0028226B">
        <w:rPr>
          <w:rFonts w:ascii="Arial" w:hAnsi="Arial" w:cs="Arial"/>
          <w:b/>
          <w:bCs/>
          <w:i w:val="0"/>
          <w:iCs w:val="0"/>
          <w:color w:val="auto"/>
          <w:sz w:val="24"/>
          <w:szCs w:val="24"/>
        </w:rPr>
        <w:t xml:space="preserve">P24. Czy zamierza Pan(i) ubiegać się o wsparcie w ramach Funduszy Europejskich? - </w:t>
      </w:r>
      <w:r w:rsidRPr="0028226B">
        <w:rPr>
          <w:rFonts w:ascii="Arial" w:hAnsi="Arial" w:cs="Arial"/>
          <w:b/>
          <w:bCs/>
          <w:i w:val="0"/>
          <w:iCs w:val="0"/>
          <w:color w:val="auto"/>
          <w:sz w:val="24"/>
          <w:szCs w:val="24"/>
        </w:rPr>
        <w:t>według cech demograficznych</w:t>
      </w:r>
      <w:bookmarkEnd w:id="58"/>
    </w:p>
    <w:p w14:paraId="5F67795E" w14:textId="77777777" w:rsidR="008102C7" w:rsidRPr="0028226B" w:rsidRDefault="008102C7" w:rsidP="008102C7">
      <w:pPr>
        <w:rPr>
          <w:rFonts w:ascii="Arial" w:hAnsi="Arial" w:cs="Arial"/>
          <w:sz w:val="24"/>
          <w:szCs w:val="24"/>
        </w:rPr>
      </w:pPr>
      <w:r w:rsidRPr="0028226B">
        <w:rPr>
          <w:rFonts w:ascii="Arial" w:hAnsi="Arial" w:cs="Arial"/>
          <w:noProof/>
          <w:sz w:val="24"/>
          <w:szCs w:val="24"/>
        </w:rPr>
        <w:drawing>
          <wp:inline distT="0" distB="0" distL="0" distR="0" wp14:anchorId="073C4D42" wp14:editId="2B98A064">
            <wp:extent cx="5486400" cy="5135880"/>
            <wp:effectExtent l="0" t="0" r="0" b="0"/>
            <wp:docPr id="1439665282" name="Wykres 5" descr="Wykres poziomy przedstawia odpowiedzi na pytanie: „Czy zamierza Pan(i) ubiegać się o wsparcie w ramach Funduszy Europejskich?” z podziałem na cechy demograficzne: płeć, wiek, wykształcenie i wielkość miejscowości. Każdy wiersz to słupek o sumie 100%, podzielony na cztery kategorie: „tak”, „nie”, „nie wiem” oraz „odmowa odpowiedzi”. Wskazania procentowe umieszczono na słupkach.&#10;&#10;Wyniki ogółem pokazują: 8% deklaruje zamiar ubiegania się o wsparcie, 54% odpowiada „nie”, 35% „nie wiem”, a 3% odmawia odpowiedzi. Kobiety nieznacznie częściej deklarują chęć ubiegania się (9%) niż mężczyźni (7%), podczas gdy mężczyźni częściej wskazują „nie wiem” (38%).&#10;&#10;W podziale na wiek największe zainteresowanie pozyskaniem wsparcia wykazują osoby 20–24 lata (13%), natomiast najmniejsze osoby 25–34 lata (7%). Jednocześnie najmniej pewną postawę („nie wiem”) prezentują osoby 15–19 lat (44%) oraz mieszkańcy miast 50–199 tys. (63%).&#10;&#10;W kategoriach wykształcenia deklaracje „tak” wahają się od 5% (zawodowe) do 9% (wyższe, średnie).&#10;&#10;W podziale na wielkość miejscowości odsetek odpowiedzi „tak” jest wyrównany (7–9%). Najwięcej niepewności („nie wiem”) występuje wśród mieszkańców miast 50–199 tys. (27%) oraz w największych aglomeracjach 500 tys.+ (32%). Kategorie „odmowa odpowiedzi” nie przekraczają 7%.&#10;&#10;Wniosek ogólny: zamiar ubiegania się o środki jest niski we wszystkich grupach, dominuje niechęć lub niepewność, a różnice demograficzne mają charakter umiarkowany."/>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14:paraId="1FA7E657" w14:textId="5ACAC03D" w:rsidR="008102C7" w:rsidRPr="0028226B" w:rsidRDefault="008102C7" w:rsidP="008102C7">
      <w:pPr>
        <w:spacing w:before="240"/>
        <w:rPr>
          <w:rFonts w:ascii="Arial" w:hAnsi="Arial" w:cs="Arial"/>
          <w:sz w:val="24"/>
          <w:szCs w:val="24"/>
        </w:rPr>
      </w:pPr>
      <w:r w:rsidRPr="0028226B">
        <w:rPr>
          <w:rFonts w:ascii="Arial" w:hAnsi="Arial" w:cs="Arial"/>
          <w:sz w:val="24"/>
          <w:szCs w:val="24"/>
        </w:rPr>
        <w:t>Źródło: Opracowano na podstawie badania CAPI</w:t>
      </w:r>
      <w:r w:rsidR="008911AA">
        <w:rPr>
          <w:rFonts w:ascii="Arial" w:hAnsi="Arial" w:cs="Arial"/>
          <w:sz w:val="24"/>
          <w:szCs w:val="24"/>
        </w:rPr>
        <w:t>; odpowiadający: znający określenie FE lub FU</w:t>
      </w:r>
    </w:p>
    <w:p w14:paraId="39694A21" w14:textId="3BA42EA9" w:rsidR="00325969" w:rsidRPr="00672A70" w:rsidRDefault="00325969" w:rsidP="00C0187D">
      <w:pPr>
        <w:spacing w:line="360" w:lineRule="auto"/>
        <w:rPr>
          <w:rFonts w:ascii="Arial" w:hAnsi="Arial" w:cs="Arial"/>
          <w:sz w:val="24"/>
          <w:szCs w:val="24"/>
        </w:rPr>
      </w:pPr>
      <w:r w:rsidRPr="00672A70">
        <w:rPr>
          <w:rFonts w:ascii="Arial" w:hAnsi="Arial" w:cs="Arial"/>
          <w:sz w:val="24"/>
          <w:szCs w:val="24"/>
        </w:rPr>
        <w:t>Wykres</w:t>
      </w:r>
      <w:r w:rsidR="002232F8" w:rsidRPr="00672A70">
        <w:rPr>
          <w:rFonts w:ascii="Arial" w:hAnsi="Arial" w:cs="Arial"/>
          <w:sz w:val="24"/>
          <w:szCs w:val="24"/>
        </w:rPr>
        <w:t xml:space="preserve"> 44</w:t>
      </w:r>
      <w:r w:rsidRPr="00672A70">
        <w:rPr>
          <w:rFonts w:ascii="Arial" w:hAnsi="Arial" w:cs="Arial"/>
          <w:sz w:val="24"/>
          <w:szCs w:val="24"/>
        </w:rPr>
        <w:t xml:space="preserve"> przedstawia zmiany opinii na temat równości szans w uzyskaniu dofinansowania z Funduszy Europejskich w latach 2014–2025. Dane pokazują wyraźną zmienność ocen w całym analizowanym okresie.</w:t>
      </w:r>
    </w:p>
    <w:p w14:paraId="174D970D" w14:textId="77777777" w:rsidR="00325969" w:rsidRPr="00672A70" w:rsidRDefault="00325969" w:rsidP="00C0187D">
      <w:pPr>
        <w:spacing w:line="360" w:lineRule="auto"/>
        <w:rPr>
          <w:rFonts w:ascii="Arial" w:hAnsi="Arial" w:cs="Arial"/>
          <w:sz w:val="24"/>
          <w:szCs w:val="24"/>
        </w:rPr>
      </w:pPr>
      <w:r w:rsidRPr="00672A70">
        <w:rPr>
          <w:rFonts w:ascii="Arial" w:hAnsi="Arial" w:cs="Arial"/>
          <w:sz w:val="24"/>
          <w:szCs w:val="24"/>
        </w:rPr>
        <w:lastRenderedPageBreak/>
        <w:t>W początkowych latach, tj. 2014–2016, odsetek odpowiedzi „tak” (wskazujących na poczucie równości szans) oscylował między 33% a 42%. W latach 2017–2019 następuje stopniowe osłabienie ocen pozytywnych – najniższy poziom odnotowano w 2019 roku (29%), co oznacza wyraźne pogorszenie percepcji dostępności środków. W tym samym okresie rośnie udział odpowiedzi „nie”, a także utrzymują się stosunkowo wysokie poziomy kategorii „nie wiem / trudno powiedzieć”, co może wskazywać na niejednoznaczność opinii i brak klarownych przekonań wśród części badanych.</w:t>
      </w:r>
    </w:p>
    <w:p w14:paraId="16A89701" w14:textId="77777777" w:rsidR="00325969" w:rsidRPr="00672A70" w:rsidRDefault="00325969" w:rsidP="00C0187D">
      <w:pPr>
        <w:spacing w:line="360" w:lineRule="auto"/>
        <w:rPr>
          <w:rFonts w:ascii="Arial" w:hAnsi="Arial" w:cs="Arial"/>
          <w:sz w:val="24"/>
          <w:szCs w:val="24"/>
        </w:rPr>
      </w:pPr>
      <w:r w:rsidRPr="00672A70">
        <w:rPr>
          <w:rFonts w:ascii="Arial" w:hAnsi="Arial" w:cs="Arial"/>
          <w:sz w:val="24"/>
          <w:szCs w:val="24"/>
        </w:rPr>
        <w:t>Od 2020 roku widoczny jest ponowny wzrost odsetka ocen pozytywnych. Szczególnie wyróżnia się rok 2021, w którym odsetek odpowiedzi „tak” osiągnął najwyższą wartość w całej serii pomiarów – 52%. W latach 2022 i 2023 pozytywne oceny pozostają na relatywnie wysokim poziomie (48%), a ich stabilność sugeruje utrzymujące się korzystniejsze postrzeganie dostępności dofinansowań.</w:t>
      </w:r>
    </w:p>
    <w:p w14:paraId="5CB5CD90" w14:textId="77777777" w:rsidR="00325969" w:rsidRPr="00672A70" w:rsidRDefault="00325969" w:rsidP="00C0187D">
      <w:pPr>
        <w:spacing w:line="360" w:lineRule="auto"/>
        <w:rPr>
          <w:rFonts w:ascii="Arial" w:hAnsi="Arial" w:cs="Arial"/>
          <w:sz w:val="24"/>
          <w:szCs w:val="24"/>
        </w:rPr>
      </w:pPr>
      <w:r w:rsidRPr="00672A70">
        <w:rPr>
          <w:rFonts w:ascii="Arial" w:hAnsi="Arial" w:cs="Arial"/>
          <w:sz w:val="24"/>
          <w:szCs w:val="24"/>
        </w:rPr>
        <w:t>W roku 2024 wskaźnik ponownie spada do 42%, jednak nadal utrzymuje się wyżej niż w latach 2017–2019. W ostatnim pomiarze, w 2025 roku, odsetek odpowiedzi „tak” wyniósł 44%, czyli nieco więcej niż rok wcześniej. Wynik ten lokuje edycję 2025 w górnej części historycznego zakresu wartości, choć nadal poniżej rekordowego roku 2021.</w:t>
      </w:r>
    </w:p>
    <w:p w14:paraId="459C031A" w14:textId="77777777" w:rsidR="00325969" w:rsidRPr="00672A70" w:rsidRDefault="00325969" w:rsidP="00C0187D">
      <w:pPr>
        <w:spacing w:line="360" w:lineRule="auto"/>
        <w:rPr>
          <w:rFonts w:ascii="Arial" w:hAnsi="Arial" w:cs="Arial"/>
          <w:sz w:val="24"/>
          <w:szCs w:val="24"/>
        </w:rPr>
      </w:pPr>
      <w:r w:rsidRPr="00672A70">
        <w:rPr>
          <w:rFonts w:ascii="Arial" w:hAnsi="Arial" w:cs="Arial"/>
          <w:sz w:val="24"/>
          <w:szCs w:val="24"/>
        </w:rPr>
        <w:t>Warto zwrócić uwagę, że odpowiedzi „nie wiem / trudno powiedzieć” w całym analizowanym okresie utrzymują się na stosunkowo wysokim poziomie — najczęściej około 25–38%. Wskazuje to na istotną grupę osób, które nie mają wyrobionej opinii lub posiadają ograniczoną wiedzę na temat zasad przyznawania dofinansowań.</w:t>
      </w:r>
    </w:p>
    <w:p w14:paraId="0D2FC49B" w14:textId="77777777" w:rsidR="00325969" w:rsidRDefault="00325969" w:rsidP="00C0187D">
      <w:pPr>
        <w:spacing w:line="360" w:lineRule="auto"/>
        <w:rPr>
          <w:rFonts w:ascii="Arial" w:hAnsi="Arial" w:cs="Arial"/>
          <w:sz w:val="24"/>
          <w:szCs w:val="24"/>
        </w:rPr>
      </w:pPr>
      <w:r w:rsidRPr="00672A70">
        <w:rPr>
          <w:rFonts w:ascii="Arial" w:hAnsi="Arial" w:cs="Arial"/>
          <w:sz w:val="24"/>
          <w:szCs w:val="24"/>
        </w:rPr>
        <w:t>Podsumowując, dane z lat 2014–2025 pokazują zarówno okresy osłabienia ocen dotyczących równości szans (szczególnie 2017–2019), jak i wyraźne odbicie w latach 2020–2023. Ostatnie dwa lata (2024–2025) prezentują umiarkowany poziom ocen pozytywnych, stabilniejszy niż w latach wcześniejszych, lecz niższy niż w szczytowym 2021 roku.</w:t>
      </w:r>
    </w:p>
    <w:p w14:paraId="544987C4" w14:textId="3DB7B86B" w:rsidR="00EA47D3" w:rsidRPr="00672A70" w:rsidRDefault="00EA47D3" w:rsidP="00C0187D">
      <w:pPr>
        <w:spacing w:line="360" w:lineRule="auto"/>
        <w:rPr>
          <w:rFonts w:ascii="Arial" w:hAnsi="Arial" w:cs="Arial"/>
          <w:sz w:val="24"/>
          <w:szCs w:val="24"/>
        </w:rPr>
      </w:pPr>
      <w:r w:rsidRPr="00EA47D3">
        <w:rPr>
          <w:rFonts w:ascii="Arial" w:hAnsi="Arial" w:cs="Arial"/>
          <w:sz w:val="24"/>
          <w:szCs w:val="24"/>
        </w:rPr>
        <w:t xml:space="preserve">Warto podkreślić, że w najnowszej edycji badania z 2025 roku odsetek odpowiedzi „nie” wyniósł jedynie 20%, co jest najniższym poziomem negatywnych ocen w </w:t>
      </w:r>
      <w:r>
        <w:rPr>
          <w:rFonts w:ascii="Arial" w:hAnsi="Arial" w:cs="Arial"/>
          <w:sz w:val="24"/>
          <w:szCs w:val="24"/>
        </w:rPr>
        <w:t>całym analizowanym okres</w:t>
      </w:r>
      <w:r w:rsidRPr="00EA47D3">
        <w:rPr>
          <w:rFonts w:ascii="Arial" w:hAnsi="Arial" w:cs="Arial"/>
          <w:sz w:val="24"/>
          <w:szCs w:val="24"/>
        </w:rPr>
        <w:t>i</w:t>
      </w:r>
      <w:r>
        <w:rPr>
          <w:rFonts w:ascii="Arial" w:hAnsi="Arial" w:cs="Arial"/>
          <w:sz w:val="24"/>
          <w:szCs w:val="24"/>
        </w:rPr>
        <w:t>e</w:t>
      </w:r>
      <w:r w:rsidRPr="00EA47D3">
        <w:rPr>
          <w:rFonts w:ascii="Arial" w:hAnsi="Arial" w:cs="Arial"/>
          <w:sz w:val="24"/>
          <w:szCs w:val="24"/>
        </w:rPr>
        <w:t xml:space="preserve"> </w:t>
      </w:r>
      <w:r>
        <w:rPr>
          <w:rFonts w:ascii="Arial" w:hAnsi="Arial" w:cs="Arial"/>
          <w:sz w:val="24"/>
          <w:szCs w:val="24"/>
        </w:rPr>
        <w:t xml:space="preserve">i może </w:t>
      </w:r>
      <w:r w:rsidRPr="00EA47D3">
        <w:rPr>
          <w:rFonts w:ascii="Arial" w:hAnsi="Arial" w:cs="Arial"/>
          <w:sz w:val="24"/>
          <w:szCs w:val="24"/>
        </w:rPr>
        <w:t>świadczy</w:t>
      </w:r>
      <w:r>
        <w:rPr>
          <w:rFonts w:ascii="Arial" w:hAnsi="Arial" w:cs="Arial"/>
          <w:sz w:val="24"/>
          <w:szCs w:val="24"/>
        </w:rPr>
        <w:t>ć</w:t>
      </w:r>
      <w:r w:rsidRPr="00EA47D3">
        <w:rPr>
          <w:rFonts w:ascii="Arial" w:hAnsi="Arial" w:cs="Arial"/>
          <w:sz w:val="24"/>
          <w:szCs w:val="24"/>
        </w:rPr>
        <w:t xml:space="preserve"> o wyraźnym spadku przekonania o nierówności szans w dostępie do dofinansowań</w:t>
      </w:r>
      <w:r w:rsidR="00C0187D">
        <w:rPr>
          <w:rFonts w:ascii="Arial" w:hAnsi="Arial" w:cs="Arial"/>
          <w:sz w:val="24"/>
          <w:szCs w:val="24"/>
        </w:rPr>
        <w:t>.</w:t>
      </w:r>
    </w:p>
    <w:p w14:paraId="62B27AEB" w14:textId="26F798C5" w:rsidR="00736FB8" w:rsidRPr="0028226B" w:rsidRDefault="6A502326" w:rsidP="7A361059">
      <w:pPr>
        <w:pStyle w:val="Legenda"/>
        <w:keepNext/>
        <w:rPr>
          <w:rFonts w:ascii="Arial" w:hAnsi="Arial" w:cs="Arial"/>
          <w:b/>
          <w:bCs/>
          <w:i w:val="0"/>
          <w:iCs w:val="0"/>
          <w:sz w:val="24"/>
          <w:szCs w:val="24"/>
        </w:rPr>
      </w:pPr>
      <w:bookmarkStart w:id="59" w:name="_Toc219369269"/>
      <w:r w:rsidRPr="0028226B">
        <w:rPr>
          <w:rFonts w:ascii="Arial" w:hAnsi="Arial" w:cs="Arial"/>
          <w:b/>
          <w:bCs/>
          <w:i w:val="0"/>
          <w:iCs w:val="0"/>
          <w:color w:val="auto"/>
          <w:sz w:val="24"/>
          <w:szCs w:val="24"/>
        </w:rPr>
        <w:lastRenderedPageBreak/>
        <w:t xml:space="preserve">Wykres </w:t>
      </w:r>
      <w:r w:rsidR="00736FB8" w:rsidRPr="0028226B">
        <w:rPr>
          <w:rFonts w:ascii="Arial" w:hAnsi="Arial" w:cs="Arial"/>
          <w:b/>
          <w:bCs/>
          <w:i w:val="0"/>
          <w:iCs w:val="0"/>
          <w:color w:val="auto"/>
          <w:sz w:val="24"/>
          <w:szCs w:val="24"/>
        </w:rPr>
        <w:fldChar w:fldCharType="begin"/>
      </w:r>
      <w:r w:rsidR="00736FB8" w:rsidRPr="0028226B">
        <w:rPr>
          <w:rFonts w:ascii="Arial" w:hAnsi="Arial" w:cs="Arial"/>
          <w:b/>
          <w:bCs/>
          <w:i w:val="0"/>
          <w:iCs w:val="0"/>
          <w:color w:val="auto"/>
          <w:sz w:val="24"/>
          <w:szCs w:val="24"/>
        </w:rPr>
        <w:instrText xml:space="preserve"> SEQ Wykres \* ARABIC </w:instrText>
      </w:r>
      <w:r w:rsidR="00736FB8" w:rsidRPr="0028226B">
        <w:rPr>
          <w:rFonts w:ascii="Arial" w:hAnsi="Arial" w:cs="Arial"/>
          <w:b/>
          <w:bCs/>
          <w:i w:val="0"/>
          <w:iCs w:val="0"/>
          <w:color w:val="auto"/>
          <w:sz w:val="24"/>
          <w:szCs w:val="24"/>
        </w:rPr>
        <w:fldChar w:fldCharType="separate"/>
      </w:r>
      <w:r w:rsidR="0055789E">
        <w:rPr>
          <w:rFonts w:ascii="Arial" w:hAnsi="Arial" w:cs="Arial"/>
          <w:b/>
          <w:bCs/>
          <w:i w:val="0"/>
          <w:iCs w:val="0"/>
          <w:noProof/>
          <w:color w:val="auto"/>
          <w:sz w:val="24"/>
          <w:szCs w:val="24"/>
        </w:rPr>
        <w:t>43</w:t>
      </w:r>
      <w:r w:rsidR="00736FB8" w:rsidRPr="0028226B">
        <w:rPr>
          <w:rFonts w:ascii="Arial" w:hAnsi="Arial" w:cs="Arial"/>
          <w:b/>
          <w:bCs/>
          <w:i w:val="0"/>
          <w:iCs w:val="0"/>
          <w:color w:val="auto"/>
          <w:sz w:val="24"/>
          <w:szCs w:val="24"/>
        </w:rPr>
        <w:fldChar w:fldCharType="end"/>
      </w:r>
      <w:r w:rsidRPr="0028226B">
        <w:rPr>
          <w:rFonts w:ascii="Arial" w:hAnsi="Arial" w:cs="Arial"/>
          <w:b/>
          <w:bCs/>
          <w:i w:val="0"/>
          <w:iCs w:val="0"/>
          <w:color w:val="auto"/>
          <w:sz w:val="24"/>
          <w:szCs w:val="24"/>
        </w:rPr>
        <w:t xml:space="preserve">. </w:t>
      </w:r>
      <w:r w:rsidR="7050B785" w:rsidRPr="0028226B">
        <w:rPr>
          <w:rFonts w:ascii="Arial" w:hAnsi="Arial" w:cs="Arial"/>
          <w:b/>
          <w:bCs/>
          <w:i w:val="0"/>
          <w:iCs w:val="0"/>
          <w:color w:val="auto"/>
          <w:sz w:val="24"/>
          <w:szCs w:val="24"/>
        </w:rPr>
        <w:t xml:space="preserve">P29. Czy każdy uprawniony ma, Pana(i) zdaniem, takie same szanse na uzyskanie dofinansowania w ramach Funduszy Europejskich? - </w:t>
      </w:r>
      <w:r w:rsidRPr="0028226B">
        <w:rPr>
          <w:rFonts w:ascii="Arial" w:hAnsi="Arial" w:cs="Arial"/>
          <w:b/>
          <w:bCs/>
          <w:i w:val="0"/>
          <w:iCs w:val="0"/>
          <w:color w:val="auto"/>
          <w:sz w:val="24"/>
          <w:szCs w:val="24"/>
        </w:rPr>
        <w:t xml:space="preserve">w latach </w:t>
      </w:r>
      <w:r w:rsidR="4A06C346" w:rsidRPr="0028226B">
        <w:rPr>
          <w:rFonts w:ascii="Arial" w:hAnsi="Arial" w:cs="Arial"/>
          <w:b/>
          <w:bCs/>
          <w:i w:val="0"/>
          <w:iCs w:val="0"/>
          <w:color w:val="auto"/>
          <w:sz w:val="24"/>
          <w:szCs w:val="24"/>
        </w:rPr>
        <w:t>2014</w:t>
      </w:r>
      <w:r w:rsidRPr="0028226B">
        <w:rPr>
          <w:rFonts w:ascii="Arial" w:hAnsi="Arial" w:cs="Arial"/>
          <w:b/>
          <w:bCs/>
          <w:i w:val="0"/>
          <w:iCs w:val="0"/>
          <w:color w:val="auto"/>
          <w:sz w:val="24"/>
          <w:szCs w:val="24"/>
        </w:rPr>
        <w:t>–2025</w:t>
      </w:r>
      <w:bookmarkEnd w:id="59"/>
    </w:p>
    <w:p w14:paraId="79A32060" w14:textId="77777777" w:rsidR="00736FB8" w:rsidRPr="0028226B" w:rsidRDefault="00736FB8" w:rsidP="00736FB8">
      <w:pPr>
        <w:rPr>
          <w:rFonts w:ascii="Arial" w:hAnsi="Arial" w:cs="Arial"/>
          <w:sz w:val="24"/>
          <w:szCs w:val="24"/>
        </w:rPr>
      </w:pPr>
      <w:r w:rsidRPr="0028226B">
        <w:rPr>
          <w:rFonts w:ascii="Arial" w:hAnsi="Arial" w:cs="Arial"/>
          <w:noProof/>
          <w:sz w:val="24"/>
          <w:szCs w:val="24"/>
        </w:rPr>
        <w:drawing>
          <wp:inline distT="0" distB="0" distL="0" distR="0" wp14:anchorId="517D89A3" wp14:editId="22EEA646">
            <wp:extent cx="5486400" cy="4668982"/>
            <wp:effectExtent l="0" t="0" r="0" b="0"/>
            <wp:docPr id="609584304" name="Wykres 5" descr="Wykres poziomy przedstawia odpowiedzi na pytanie: „Czy każdy uprawniony ma, Pana(i) zdaniem, takie same szanse na uzyskanie dofinansowania w ramach Funduszy Europejskich?” w latach 2014–2025. Każdy słupek ma trzy segmenty: „tak”, „nie” oraz „nie wiem / trudno powiedzieć”. Dane uporządkowano chronologicznie.&#10;&#10;Odsetek odpowiedzi „tak” waha się w przedziale 29–52%. Najwyższy poziom zanotowano w 2021 roku (52%), a najniższy w 2019 roku (29%). W latach 2022–2025 wyniki stabilizują się na relatywnie wysokim poziomie (42–48%).&#10;Odpowiedzi „nie” przyjmują wartości od 20% do 34%. Najwyższy odsetek wystąpił w 2019 roku (34%). W ostatnich latach (2023–2025) poziom „nie” pozostaje umiarkowany — od 20% do 31%.&#10;Odpowiedzi „nie wiem / trudno powiedzieć” są relatywnie stabilne, na poziomie 23–38%. Największy udział tej kategorii wystąpił w latach 2017–2020 (37–38%), a najmniejszy w 2021 roku (23%).&#10;&#10;Wniosek ogólny: choć w kilku latach zaznacza się wyraźny wzrost przekonania, że wszyscy uprawnieni mają równe szanse (szczególnie w 2021 i 2022 roku), to odpowiedzi wskazujące brak wiedzy oraz brak wiary w równość szans pozostają istotne, co świadczy o dużej niejednoznaczności społecznej oceny tego zagadnienia."/>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14:paraId="021DEF9A" w14:textId="2A48F2AA" w:rsidR="00736FB8" w:rsidRPr="00672A70" w:rsidRDefault="00736FB8" w:rsidP="00736FB8">
      <w:pPr>
        <w:spacing w:before="240"/>
        <w:rPr>
          <w:rFonts w:ascii="Arial" w:hAnsi="Arial" w:cs="Arial"/>
          <w:sz w:val="24"/>
          <w:szCs w:val="24"/>
        </w:rPr>
      </w:pPr>
      <w:r w:rsidRPr="00672A70">
        <w:rPr>
          <w:rFonts w:ascii="Arial" w:hAnsi="Arial" w:cs="Arial"/>
          <w:sz w:val="24"/>
          <w:szCs w:val="24"/>
        </w:rPr>
        <w:t>Źródło: Opracowano na podstawie badania CAPI</w:t>
      </w:r>
      <w:r w:rsidR="008911AA">
        <w:rPr>
          <w:rFonts w:ascii="Arial" w:hAnsi="Arial" w:cs="Arial"/>
          <w:sz w:val="24"/>
          <w:szCs w:val="24"/>
        </w:rPr>
        <w:t>; odpowiadający: znający określenie FE lub FU</w:t>
      </w:r>
    </w:p>
    <w:p w14:paraId="0CAB846F" w14:textId="4D6F51D0" w:rsidR="00900FDF" w:rsidRPr="00655FA7" w:rsidRDefault="00655FA7" w:rsidP="00C0187D">
      <w:pPr>
        <w:spacing w:line="360" w:lineRule="auto"/>
        <w:rPr>
          <w:rFonts w:ascii="Arial" w:hAnsi="Arial" w:cs="Arial"/>
          <w:sz w:val="24"/>
          <w:szCs w:val="24"/>
        </w:rPr>
      </w:pPr>
      <w:r>
        <w:rPr>
          <w:rFonts w:ascii="Arial" w:hAnsi="Arial" w:cs="Arial"/>
          <w:sz w:val="24"/>
          <w:szCs w:val="24"/>
        </w:rPr>
        <w:t>Osoby, które zadeklarowały, że ich zdaniem, nie każdy ma takie same szanse na uzyskanie dofinansowania zapytano, komu w takim razie jest łatwiej je otrzymać.</w:t>
      </w:r>
      <w:r w:rsidR="566C1F8E" w:rsidRPr="00655FA7">
        <w:rPr>
          <w:rFonts w:ascii="Arial" w:hAnsi="Arial" w:cs="Arial"/>
          <w:sz w:val="24"/>
          <w:szCs w:val="24"/>
        </w:rPr>
        <w:t xml:space="preserve"> </w:t>
      </w:r>
      <w:r>
        <w:rPr>
          <w:rFonts w:ascii="Arial" w:hAnsi="Arial" w:cs="Arial"/>
          <w:sz w:val="24"/>
          <w:szCs w:val="24"/>
        </w:rPr>
        <w:t xml:space="preserve">W odpowiedzi </w:t>
      </w:r>
      <w:r w:rsidR="566C1F8E" w:rsidRPr="00655FA7">
        <w:rPr>
          <w:rFonts w:ascii="Arial" w:hAnsi="Arial" w:cs="Arial"/>
          <w:sz w:val="24"/>
          <w:szCs w:val="24"/>
        </w:rPr>
        <w:t>najczęściej wskazywano</w:t>
      </w:r>
      <w:r>
        <w:rPr>
          <w:rFonts w:ascii="Arial" w:hAnsi="Arial" w:cs="Arial"/>
          <w:sz w:val="24"/>
          <w:szCs w:val="24"/>
        </w:rPr>
        <w:t xml:space="preserve"> na</w:t>
      </w:r>
      <w:r w:rsidR="566C1F8E" w:rsidRPr="00655FA7">
        <w:rPr>
          <w:rFonts w:ascii="Arial" w:hAnsi="Arial" w:cs="Arial"/>
          <w:sz w:val="24"/>
          <w:szCs w:val="24"/>
        </w:rPr>
        <w:t xml:space="preserve"> firmy i przedsiębiorstwa </w:t>
      </w:r>
      <w:r>
        <w:rPr>
          <w:rFonts w:ascii="Arial" w:hAnsi="Arial" w:cs="Arial"/>
          <w:sz w:val="24"/>
          <w:szCs w:val="24"/>
        </w:rPr>
        <w:t>(</w:t>
      </w:r>
      <w:r w:rsidR="566C1F8E" w:rsidRPr="00655FA7">
        <w:rPr>
          <w:rFonts w:ascii="Arial" w:hAnsi="Arial" w:cs="Arial"/>
          <w:sz w:val="24"/>
          <w:szCs w:val="24"/>
        </w:rPr>
        <w:t>65</w:t>
      </w:r>
      <w:r w:rsidR="7A7D23A2" w:rsidRPr="00655FA7">
        <w:rPr>
          <w:rFonts w:ascii="Arial" w:hAnsi="Arial" w:cs="Arial"/>
          <w:sz w:val="24"/>
          <w:szCs w:val="24"/>
        </w:rPr>
        <w:t>%</w:t>
      </w:r>
      <w:r w:rsidR="00B641C7">
        <w:rPr>
          <w:rFonts w:ascii="Arial" w:hAnsi="Arial" w:cs="Arial"/>
          <w:sz w:val="24"/>
          <w:szCs w:val="24"/>
        </w:rPr>
        <w:t xml:space="preserve">), a w dalszej kolejności na </w:t>
      </w:r>
      <w:r w:rsidR="566C1F8E" w:rsidRPr="00655FA7">
        <w:rPr>
          <w:rFonts w:ascii="Arial" w:hAnsi="Arial" w:cs="Arial"/>
          <w:sz w:val="24"/>
          <w:szCs w:val="24"/>
        </w:rPr>
        <w:t>samorządy lokalne, czyli gminy i starostwa (4</w:t>
      </w:r>
      <w:r w:rsidR="00C646D3">
        <w:rPr>
          <w:rFonts w:ascii="Arial" w:hAnsi="Arial" w:cs="Arial"/>
          <w:sz w:val="24"/>
          <w:szCs w:val="24"/>
        </w:rPr>
        <w:t>7</w:t>
      </w:r>
      <w:r w:rsidR="7A7D23A2" w:rsidRPr="00655FA7">
        <w:rPr>
          <w:rFonts w:ascii="Arial" w:hAnsi="Arial" w:cs="Arial"/>
          <w:sz w:val="24"/>
          <w:szCs w:val="24"/>
        </w:rPr>
        <w:t>%</w:t>
      </w:r>
      <w:r w:rsidR="566C1F8E" w:rsidRPr="00655FA7">
        <w:rPr>
          <w:rFonts w:ascii="Arial" w:hAnsi="Arial" w:cs="Arial"/>
          <w:sz w:val="24"/>
          <w:szCs w:val="24"/>
        </w:rPr>
        <w:t>)</w:t>
      </w:r>
      <w:r w:rsidR="00B641C7">
        <w:rPr>
          <w:rFonts w:ascii="Arial" w:hAnsi="Arial" w:cs="Arial"/>
          <w:sz w:val="24"/>
          <w:szCs w:val="24"/>
        </w:rPr>
        <w:t>. N</w:t>
      </w:r>
      <w:r w:rsidR="566C1F8E" w:rsidRPr="00655FA7">
        <w:rPr>
          <w:rFonts w:ascii="Arial" w:hAnsi="Arial" w:cs="Arial"/>
          <w:sz w:val="24"/>
          <w:szCs w:val="24"/>
        </w:rPr>
        <w:t xml:space="preserve">astępnie </w:t>
      </w:r>
      <w:r w:rsidR="00B641C7">
        <w:rPr>
          <w:rFonts w:ascii="Arial" w:hAnsi="Arial" w:cs="Arial"/>
          <w:sz w:val="24"/>
          <w:szCs w:val="24"/>
        </w:rPr>
        <w:t xml:space="preserve">wymieniano </w:t>
      </w:r>
      <w:r w:rsidR="566C1F8E" w:rsidRPr="00655FA7">
        <w:rPr>
          <w:rFonts w:ascii="Arial" w:hAnsi="Arial" w:cs="Arial"/>
          <w:sz w:val="24"/>
          <w:szCs w:val="24"/>
        </w:rPr>
        <w:t>placówki edukacyjne (</w:t>
      </w:r>
      <w:r w:rsidR="00C646D3">
        <w:rPr>
          <w:rFonts w:ascii="Arial" w:hAnsi="Arial" w:cs="Arial"/>
          <w:sz w:val="24"/>
          <w:szCs w:val="24"/>
        </w:rPr>
        <w:t>39</w:t>
      </w:r>
      <w:r w:rsidR="7A7D23A2" w:rsidRPr="00655FA7">
        <w:rPr>
          <w:rFonts w:ascii="Arial" w:hAnsi="Arial" w:cs="Arial"/>
          <w:sz w:val="24"/>
          <w:szCs w:val="24"/>
        </w:rPr>
        <w:t>%</w:t>
      </w:r>
      <w:r w:rsidR="566C1F8E" w:rsidRPr="00655FA7">
        <w:rPr>
          <w:rFonts w:ascii="Arial" w:hAnsi="Arial" w:cs="Arial"/>
          <w:sz w:val="24"/>
          <w:szCs w:val="24"/>
        </w:rPr>
        <w:t>) oraz jednostki ochrony zdrowia, takie jak przychodnie czy szpitale (3</w:t>
      </w:r>
      <w:r w:rsidR="00C646D3">
        <w:rPr>
          <w:rFonts w:ascii="Arial" w:hAnsi="Arial" w:cs="Arial"/>
          <w:sz w:val="24"/>
          <w:szCs w:val="24"/>
        </w:rPr>
        <w:t>8</w:t>
      </w:r>
      <w:r w:rsidR="7A7D23A2" w:rsidRPr="00655FA7">
        <w:rPr>
          <w:rFonts w:ascii="Arial" w:hAnsi="Arial" w:cs="Arial"/>
          <w:sz w:val="24"/>
          <w:szCs w:val="24"/>
        </w:rPr>
        <w:t>%</w:t>
      </w:r>
      <w:r w:rsidR="566C1F8E" w:rsidRPr="00655FA7">
        <w:rPr>
          <w:rFonts w:ascii="Arial" w:hAnsi="Arial" w:cs="Arial"/>
          <w:sz w:val="24"/>
          <w:szCs w:val="24"/>
        </w:rPr>
        <w:t>).</w:t>
      </w:r>
    </w:p>
    <w:p w14:paraId="2B045976" w14:textId="279B2D46" w:rsidR="00900FDF" w:rsidRPr="00655FA7" w:rsidRDefault="00900FDF" w:rsidP="00C0187D">
      <w:pPr>
        <w:spacing w:line="360" w:lineRule="auto"/>
        <w:rPr>
          <w:rFonts w:ascii="Arial" w:hAnsi="Arial" w:cs="Arial"/>
          <w:sz w:val="24"/>
          <w:szCs w:val="24"/>
        </w:rPr>
      </w:pPr>
      <w:r w:rsidRPr="00655FA7">
        <w:rPr>
          <w:rFonts w:ascii="Arial" w:hAnsi="Arial" w:cs="Arial"/>
          <w:sz w:val="24"/>
          <w:szCs w:val="24"/>
        </w:rPr>
        <w:t>Znacznie rzadziej wskazywano organizacje pozarządowe (</w:t>
      </w:r>
      <w:r w:rsidR="00C646D3">
        <w:rPr>
          <w:rFonts w:ascii="Arial" w:hAnsi="Arial" w:cs="Arial"/>
          <w:sz w:val="24"/>
          <w:szCs w:val="24"/>
        </w:rPr>
        <w:t>26</w:t>
      </w:r>
      <w:r w:rsidR="00061EA1" w:rsidRPr="00655FA7">
        <w:rPr>
          <w:rFonts w:ascii="Arial" w:hAnsi="Arial" w:cs="Arial"/>
          <w:sz w:val="24"/>
          <w:szCs w:val="24"/>
        </w:rPr>
        <w:t>%</w:t>
      </w:r>
      <w:r w:rsidRPr="00655FA7">
        <w:rPr>
          <w:rFonts w:ascii="Arial" w:hAnsi="Arial" w:cs="Arial"/>
          <w:sz w:val="24"/>
          <w:szCs w:val="24"/>
        </w:rPr>
        <w:t>), rolników (10</w:t>
      </w:r>
      <w:r w:rsidR="00061EA1" w:rsidRPr="00655FA7">
        <w:rPr>
          <w:rFonts w:ascii="Arial" w:hAnsi="Arial" w:cs="Arial"/>
          <w:sz w:val="24"/>
          <w:szCs w:val="24"/>
        </w:rPr>
        <w:t>%</w:t>
      </w:r>
      <w:r w:rsidRPr="00655FA7">
        <w:rPr>
          <w:rFonts w:ascii="Arial" w:hAnsi="Arial" w:cs="Arial"/>
          <w:sz w:val="24"/>
          <w:szCs w:val="24"/>
        </w:rPr>
        <w:t>) czy osoby z niepełnosprawnościami (8</w:t>
      </w:r>
      <w:r w:rsidR="00061EA1" w:rsidRPr="00655FA7">
        <w:rPr>
          <w:rFonts w:ascii="Arial" w:hAnsi="Arial" w:cs="Arial"/>
          <w:sz w:val="24"/>
          <w:szCs w:val="24"/>
        </w:rPr>
        <w:t>%</w:t>
      </w:r>
      <w:r w:rsidRPr="00655FA7">
        <w:rPr>
          <w:rFonts w:ascii="Arial" w:hAnsi="Arial" w:cs="Arial"/>
          <w:sz w:val="24"/>
          <w:szCs w:val="24"/>
        </w:rPr>
        <w:t>). Pojedyncze osoby uważały, że łatwiej jest również osobom planującym rozpoczęcie działalności gospodarczej (</w:t>
      </w:r>
      <w:r w:rsidR="00C646D3">
        <w:rPr>
          <w:rFonts w:ascii="Arial" w:hAnsi="Arial" w:cs="Arial"/>
          <w:sz w:val="24"/>
          <w:szCs w:val="24"/>
        </w:rPr>
        <w:t>3</w:t>
      </w:r>
      <w:r w:rsidR="00061EA1" w:rsidRPr="00655FA7">
        <w:rPr>
          <w:rFonts w:ascii="Arial" w:hAnsi="Arial" w:cs="Arial"/>
          <w:sz w:val="24"/>
          <w:szCs w:val="24"/>
        </w:rPr>
        <w:t>%</w:t>
      </w:r>
      <w:r w:rsidRPr="00655FA7">
        <w:rPr>
          <w:rFonts w:ascii="Arial" w:hAnsi="Arial" w:cs="Arial"/>
          <w:sz w:val="24"/>
          <w:szCs w:val="24"/>
        </w:rPr>
        <w:t>) czy bezrobotnym (</w:t>
      </w:r>
      <w:r w:rsidR="00C646D3">
        <w:rPr>
          <w:rFonts w:ascii="Arial" w:hAnsi="Arial" w:cs="Arial"/>
          <w:sz w:val="24"/>
          <w:szCs w:val="24"/>
        </w:rPr>
        <w:t>2</w:t>
      </w:r>
      <w:r w:rsidR="00061EA1" w:rsidRPr="00655FA7">
        <w:rPr>
          <w:rFonts w:ascii="Arial" w:hAnsi="Arial" w:cs="Arial"/>
          <w:sz w:val="24"/>
          <w:szCs w:val="24"/>
        </w:rPr>
        <w:t>%</w:t>
      </w:r>
      <w:r w:rsidRPr="00655FA7">
        <w:rPr>
          <w:rFonts w:ascii="Arial" w:hAnsi="Arial" w:cs="Arial"/>
          <w:sz w:val="24"/>
          <w:szCs w:val="24"/>
        </w:rPr>
        <w:t xml:space="preserve">). </w:t>
      </w:r>
    </w:p>
    <w:p w14:paraId="60E8D41D" w14:textId="42A27C11" w:rsidR="00900FDF" w:rsidRPr="00672A70" w:rsidRDefault="566C1F8E" w:rsidP="00C0187D">
      <w:pPr>
        <w:spacing w:line="360" w:lineRule="auto"/>
        <w:rPr>
          <w:rFonts w:ascii="Arial" w:hAnsi="Arial" w:cs="Arial"/>
          <w:sz w:val="24"/>
          <w:szCs w:val="24"/>
        </w:rPr>
      </w:pPr>
      <w:r w:rsidRPr="00655FA7">
        <w:rPr>
          <w:rFonts w:ascii="Arial" w:hAnsi="Arial" w:cs="Arial"/>
          <w:sz w:val="24"/>
          <w:szCs w:val="24"/>
        </w:rPr>
        <w:lastRenderedPageBreak/>
        <w:t xml:space="preserve">Układ wyników jasno pokazuje, że w opinii respondentów największe szanse na zdobycie wsparcia mają </w:t>
      </w:r>
      <w:r w:rsidRPr="00672A70">
        <w:rPr>
          <w:rFonts w:ascii="Arial" w:hAnsi="Arial" w:cs="Arial"/>
          <w:sz w:val="24"/>
          <w:szCs w:val="24"/>
        </w:rPr>
        <w:t xml:space="preserve">duże, zorganizowane podmioty – </w:t>
      </w:r>
      <w:proofErr w:type="gramStart"/>
      <w:r w:rsidR="00B641C7" w:rsidRPr="0028226B">
        <w:rPr>
          <w:rFonts w:ascii="Arial" w:hAnsi="Arial" w:cs="Arial"/>
          <w:sz w:val="24"/>
          <w:szCs w:val="24"/>
        </w:rPr>
        <w:t>przedsiębiorstwa  oraz</w:t>
      </w:r>
      <w:proofErr w:type="gramEnd"/>
      <w:r w:rsidR="00B641C7" w:rsidRPr="0028226B">
        <w:rPr>
          <w:rFonts w:ascii="Arial" w:hAnsi="Arial" w:cs="Arial"/>
          <w:sz w:val="24"/>
          <w:szCs w:val="24"/>
        </w:rPr>
        <w:t xml:space="preserve"> </w:t>
      </w:r>
      <w:r w:rsidRPr="00672A70">
        <w:rPr>
          <w:rFonts w:ascii="Arial" w:hAnsi="Arial" w:cs="Arial"/>
          <w:sz w:val="24"/>
          <w:szCs w:val="24"/>
        </w:rPr>
        <w:t xml:space="preserve">instytucje </w:t>
      </w:r>
      <w:proofErr w:type="gramStart"/>
      <w:r w:rsidRPr="00672A70">
        <w:rPr>
          <w:rFonts w:ascii="Arial" w:hAnsi="Arial" w:cs="Arial"/>
          <w:sz w:val="24"/>
          <w:szCs w:val="24"/>
        </w:rPr>
        <w:t>publiczne  –</w:t>
      </w:r>
      <w:proofErr w:type="gramEnd"/>
      <w:r w:rsidRPr="00672A70">
        <w:rPr>
          <w:rFonts w:ascii="Arial" w:hAnsi="Arial" w:cs="Arial"/>
          <w:sz w:val="24"/>
          <w:szCs w:val="24"/>
        </w:rPr>
        <w:t xml:space="preserve"> podczas gdy grupy indywidualne lub mniej uprzywilejowane postrzegane są jako mające dostęp zdecydowanie trudniejszy.</w:t>
      </w:r>
    </w:p>
    <w:p w14:paraId="3B479099" w14:textId="1BFA8925" w:rsidR="00900FDF" w:rsidRPr="0028226B" w:rsidRDefault="00900FDF" w:rsidP="00AA4EBE">
      <w:pPr>
        <w:pStyle w:val="Legenda"/>
        <w:keepNext/>
        <w:spacing w:after="0"/>
        <w:rPr>
          <w:rFonts w:ascii="Arial" w:hAnsi="Arial" w:cs="Arial"/>
          <w:b/>
          <w:bCs/>
          <w:i w:val="0"/>
          <w:iCs w:val="0"/>
          <w:sz w:val="24"/>
          <w:szCs w:val="24"/>
        </w:rPr>
      </w:pPr>
      <w:bookmarkStart w:id="60" w:name="_Toc219369270"/>
      <w:r w:rsidRPr="0028226B">
        <w:rPr>
          <w:rFonts w:ascii="Arial" w:hAnsi="Arial" w:cs="Arial"/>
          <w:b/>
          <w:bCs/>
          <w:i w:val="0"/>
          <w:iCs w:val="0"/>
          <w:color w:val="auto"/>
          <w:sz w:val="24"/>
          <w:szCs w:val="24"/>
        </w:rPr>
        <w:t xml:space="preserve">Wykres </w:t>
      </w:r>
      <w:r w:rsidRPr="0028226B">
        <w:rPr>
          <w:rFonts w:ascii="Arial" w:hAnsi="Arial" w:cs="Arial"/>
          <w:b/>
          <w:bCs/>
          <w:i w:val="0"/>
          <w:iCs w:val="0"/>
          <w:color w:val="auto"/>
          <w:sz w:val="24"/>
          <w:szCs w:val="24"/>
        </w:rPr>
        <w:fldChar w:fldCharType="begin"/>
      </w:r>
      <w:r w:rsidRPr="0028226B">
        <w:rPr>
          <w:rFonts w:ascii="Arial" w:hAnsi="Arial" w:cs="Arial"/>
          <w:b/>
          <w:bCs/>
          <w:i w:val="0"/>
          <w:iCs w:val="0"/>
          <w:color w:val="auto"/>
          <w:sz w:val="24"/>
          <w:szCs w:val="24"/>
        </w:rPr>
        <w:instrText xml:space="preserve"> SEQ Wykres \* ARABIC </w:instrText>
      </w:r>
      <w:r w:rsidRPr="0028226B">
        <w:rPr>
          <w:rFonts w:ascii="Arial" w:hAnsi="Arial" w:cs="Arial"/>
          <w:b/>
          <w:bCs/>
          <w:i w:val="0"/>
          <w:iCs w:val="0"/>
          <w:color w:val="auto"/>
          <w:sz w:val="24"/>
          <w:szCs w:val="24"/>
        </w:rPr>
        <w:fldChar w:fldCharType="separate"/>
      </w:r>
      <w:r w:rsidR="0055789E">
        <w:rPr>
          <w:rFonts w:ascii="Arial" w:hAnsi="Arial" w:cs="Arial"/>
          <w:b/>
          <w:bCs/>
          <w:i w:val="0"/>
          <w:iCs w:val="0"/>
          <w:noProof/>
          <w:color w:val="auto"/>
          <w:sz w:val="24"/>
          <w:szCs w:val="24"/>
        </w:rPr>
        <w:t>44</w:t>
      </w:r>
      <w:r w:rsidRPr="0028226B">
        <w:rPr>
          <w:rFonts w:ascii="Arial" w:hAnsi="Arial" w:cs="Arial"/>
          <w:b/>
          <w:bCs/>
          <w:i w:val="0"/>
          <w:iCs w:val="0"/>
          <w:color w:val="auto"/>
          <w:sz w:val="24"/>
          <w:szCs w:val="24"/>
        </w:rPr>
        <w:fldChar w:fldCharType="end"/>
      </w:r>
      <w:r w:rsidRPr="0028226B">
        <w:rPr>
          <w:rFonts w:ascii="Arial" w:hAnsi="Arial" w:cs="Arial"/>
          <w:b/>
          <w:bCs/>
          <w:i w:val="0"/>
          <w:iCs w:val="0"/>
          <w:color w:val="auto"/>
          <w:sz w:val="24"/>
          <w:szCs w:val="24"/>
        </w:rPr>
        <w:t xml:space="preserve">. </w:t>
      </w:r>
      <w:r w:rsidR="00403126" w:rsidRPr="0028226B">
        <w:rPr>
          <w:rFonts w:ascii="Arial" w:hAnsi="Arial" w:cs="Arial"/>
          <w:b/>
          <w:bCs/>
          <w:i w:val="0"/>
          <w:iCs w:val="0"/>
          <w:color w:val="auto"/>
          <w:sz w:val="24"/>
          <w:szCs w:val="24"/>
        </w:rPr>
        <w:t>P30. Skoro nie każdy ma równe szanse na uzyskanie dofinansowania, komu jest łatwiej je otrzymać?</w:t>
      </w:r>
      <w:r w:rsidR="00403126" w:rsidRPr="0028226B" w:rsidDel="00403126">
        <w:rPr>
          <w:rFonts w:ascii="Arial" w:hAnsi="Arial" w:cs="Arial"/>
          <w:b/>
          <w:bCs/>
          <w:i w:val="0"/>
          <w:iCs w:val="0"/>
          <w:color w:val="auto"/>
          <w:sz w:val="24"/>
          <w:szCs w:val="24"/>
        </w:rPr>
        <w:t xml:space="preserve"> </w:t>
      </w:r>
      <w:r w:rsidRPr="0028226B">
        <w:rPr>
          <w:rFonts w:ascii="Arial" w:hAnsi="Arial" w:cs="Arial"/>
          <w:b/>
          <w:bCs/>
          <w:i w:val="0"/>
          <w:iCs w:val="0"/>
          <w:color w:val="auto"/>
          <w:sz w:val="24"/>
          <w:szCs w:val="24"/>
        </w:rPr>
        <w:t>(N=193)</w:t>
      </w:r>
      <w:bookmarkEnd w:id="60"/>
    </w:p>
    <w:p w14:paraId="4E6715AA" w14:textId="7C0F0965" w:rsidR="00900FDF" w:rsidRPr="0028226B" w:rsidRDefault="00900FDF" w:rsidP="00900FDF">
      <w:pPr>
        <w:rPr>
          <w:rFonts w:ascii="Arial" w:hAnsi="Arial" w:cs="Arial"/>
          <w:sz w:val="24"/>
          <w:szCs w:val="24"/>
        </w:rPr>
      </w:pPr>
      <w:r w:rsidRPr="0028226B">
        <w:rPr>
          <w:rFonts w:ascii="Arial" w:hAnsi="Arial" w:cs="Arial"/>
          <w:noProof/>
          <w:sz w:val="24"/>
          <w:szCs w:val="24"/>
        </w:rPr>
        <w:drawing>
          <wp:inline distT="0" distB="0" distL="0" distR="0" wp14:anchorId="67E86CE9" wp14:editId="24108DD4">
            <wp:extent cx="5760720" cy="4623759"/>
            <wp:effectExtent l="0" t="0" r="0" b="5715"/>
            <wp:docPr id="444793030" name="Wykres 1" descr="Wykres poziomy przedstawia odpowiedzi na pytanie: „Skoro nie każdy ma równe szanse na uzyskanie dofinansowania, komu jest łatwiej je otrzymać?”. Dane pochodzą z badania N=193 i obejmują jedenaście kategorii uporządkowanych malejąco według odsetka wskazań.&#10;&#10;Największą grupą, której — zdaniem respondentów — najłatwiej uzyskać dofinansowanie, są firmy i przedsiębiorstwa prywatne lub państwowe (66%). Kolejne miejsca zajmują: samorządy (47%), placówki edukacyjne — takie jak przedszkola, szkoły i uczelnie (39%), oraz placówki służby zdrowia, w tym przychodnie i szpitale (38%). Organizacje pozarządowe wskazano w 26% przypadków, a 21% respondentów uważa, że łatwiej jest je otrzymać „mnie samemu jako mieszkańcowi Polski”.&#10;&#10;Rzadziej wskazywane grupy to: rolnicy (10%), osoby z niepełnosprawnościami (8%), osoby planujące rozpoczęcie działalności gospodarczej (3%) oraz osoby bezrobotne (2%). Kategoria „inne” uzyskała 1%.&#10;&#10;Wykres pokazuje, że respondenci postrzegają największe możliwości pozyskiwania środków przede wszystkim wśród instytucji publicznych, dużych organizacji oraz firm, a znacznie rzadziej wśród osób indywidualnych i grup wymagających szczególnego wsparcia."/>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14:paraId="63B6F8CA" w14:textId="1E83CE09" w:rsidR="00900FDF" w:rsidRPr="00672A70" w:rsidRDefault="00900FDF" w:rsidP="00900FDF">
      <w:pPr>
        <w:spacing w:before="240"/>
        <w:rPr>
          <w:rFonts w:ascii="Arial" w:hAnsi="Arial" w:cs="Arial"/>
          <w:sz w:val="24"/>
          <w:szCs w:val="24"/>
        </w:rPr>
      </w:pPr>
      <w:r w:rsidRPr="00672A70">
        <w:rPr>
          <w:rFonts w:ascii="Arial" w:hAnsi="Arial" w:cs="Arial"/>
          <w:sz w:val="24"/>
          <w:szCs w:val="24"/>
        </w:rPr>
        <w:t>Źródło: Opracowano na podstawie badania CAPI</w:t>
      </w:r>
      <w:r w:rsidR="008911AA">
        <w:rPr>
          <w:rFonts w:ascii="Arial" w:hAnsi="Arial" w:cs="Arial"/>
          <w:sz w:val="24"/>
          <w:szCs w:val="24"/>
        </w:rPr>
        <w:t>; odpowiadający: znający określenie FE lub FU, potrafiący wymienić przykłady</w:t>
      </w:r>
    </w:p>
    <w:p w14:paraId="450CF677" w14:textId="77335AE3" w:rsidR="00325969" w:rsidRPr="00672A70" w:rsidRDefault="00325969" w:rsidP="00C0187D">
      <w:pPr>
        <w:spacing w:line="360" w:lineRule="auto"/>
        <w:rPr>
          <w:rFonts w:ascii="Arial" w:hAnsi="Arial" w:cs="Arial"/>
          <w:sz w:val="24"/>
          <w:szCs w:val="24"/>
        </w:rPr>
      </w:pPr>
      <w:r w:rsidRPr="00672A70">
        <w:rPr>
          <w:rFonts w:ascii="Arial" w:hAnsi="Arial" w:cs="Arial"/>
          <w:sz w:val="24"/>
          <w:szCs w:val="24"/>
        </w:rPr>
        <w:t xml:space="preserve">W danych obejmujących lata 2014–2025 widoczna jest wyraźna zmienność ocen dotyczących </w:t>
      </w:r>
      <w:r w:rsidR="00D132E0">
        <w:rPr>
          <w:rFonts w:ascii="Arial" w:hAnsi="Arial" w:cs="Arial"/>
          <w:sz w:val="24"/>
          <w:szCs w:val="24"/>
        </w:rPr>
        <w:t xml:space="preserve">oceny </w:t>
      </w:r>
      <w:r w:rsidRPr="00672A70">
        <w:rPr>
          <w:rFonts w:ascii="Arial" w:hAnsi="Arial" w:cs="Arial"/>
          <w:sz w:val="24"/>
          <w:szCs w:val="24"/>
        </w:rPr>
        <w:t>łatwości uzyskania dofinansowania z Unii Europejskiej. W latach 2014–2016, dominowały oceny wskazujące na trudności w pozyskaniu środków: odsetek odpowiedzi „trudno” wynosił wówczas 39–28%, podczas gdy wskazania „łatwo” utrzymywały się na niskim poziomie 9–13%.</w:t>
      </w:r>
    </w:p>
    <w:p w14:paraId="1D580401" w14:textId="5B425795" w:rsidR="00325969" w:rsidRPr="00672A70" w:rsidRDefault="00325969" w:rsidP="00C0187D">
      <w:pPr>
        <w:spacing w:line="360" w:lineRule="auto"/>
        <w:rPr>
          <w:rFonts w:ascii="Arial" w:hAnsi="Arial" w:cs="Arial"/>
          <w:sz w:val="24"/>
          <w:szCs w:val="24"/>
        </w:rPr>
      </w:pPr>
      <w:r w:rsidRPr="00672A70">
        <w:rPr>
          <w:rFonts w:ascii="Arial" w:hAnsi="Arial" w:cs="Arial"/>
          <w:sz w:val="24"/>
          <w:szCs w:val="24"/>
        </w:rPr>
        <w:t>W kolejnych latach (</w:t>
      </w:r>
      <w:r w:rsidR="00D132E0" w:rsidRPr="00672A70">
        <w:rPr>
          <w:rFonts w:ascii="Arial" w:hAnsi="Arial" w:cs="Arial"/>
          <w:sz w:val="24"/>
          <w:szCs w:val="24"/>
        </w:rPr>
        <w:t>201</w:t>
      </w:r>
      <w:r w:rsidR="00D132E0">
        <w:rPr>
          <w:rFonts w:ascii="Arial" w:hAnsi="Arial" w:cs="Arial"/>
          <w:sz w:val="24"/>
          <w:szCs w:val="24"/>
        </w:rPr>
        <w:t>7</w:t>
      </w:r>
      <w:r w:rsidRPr="00672A70">
        <w:rPr>
          <w:rFonts w:ascii="Arial" w:hAnsi="Arial" w:cs="Arial"/>
          <w:sz w:val="24"/>
          <w:szCs w:val="24"/>
        </w:rPr>
        <w:t>–2018) poziom ocen „łatwo” stopniowo wzrastał i osiągnął</w:t>
      </w:r>
      <w:r w:rsidR="00D132E0">
        <w:rPr>
          <w:rFonts w:ascii="Arial" w:hAnsi="Arial" w:cs="Arial"/>
          <w:sz w:val="24"/>
          <w:szCs w:val="24"/>
        </w:rPr>
        <w:t xml:space="preserve"> poziom</w:t>
      </w:r>
      <w:r w:rsidRPr="00672A70">
        <w:rPr>
          <w:rFonts w:ascii="Arial" w:hAnsi="Arial" w:cs="Arial"/>
          <w:sz w:val="24"/>
          <w:szCs w:val="24"/>
        </w:rPr>
        <w:t xml:space="preserve"> 15%. Jednocześnie odpowiedzi „trudno” obniżyły się do poziomu 23–24%, co </w:t>
      </w:r>
      <w:r w:rsidRPr="00672A70">
        <w:rPr>
          <w:rFonts w:ascii="Arial" w:hAnsi="Arial" w:cs="Arial"/>
          <w:sz w:val="24"/>
          <w:szCs w:val="24"/>
        </w:rPr>
        <w:lastRenderedPageBreak/>
        <w:t xml:space="preserve">wskazuje na stopniowe łagodzenie postrzeganych barier. W 2019 i 2020 roku wartości te nieco się obniżyły (odpowiednio </w:t>
      </w:r>
      <w:r w:rsidR="00D132E0">
        <w:rPr>
          <w:rFonts w:ascii="Arial" w:hAnsi="Arial" w:cs="Arial"/>
          <w:sz w:val="24"/>
          <w:szCs w:val="24"/>
        </w:rPr>
        <w:t xml:space="preserve">po </w:t>
      </w:r>
      <w:r w:rsidRPr="00672A70">
        <w:rPr>
          <w:rFonts w:ascii="Arial" w:hAnsi="Arial" w:cs="Arial"/>
          <w:sz w:val="24"/>
          <w:szCs w:val="24"/>
        </w:rPr>
        <w:t>12</w:t>
      </w:r>
      <w:proofErr w:type="gramStart"/>
      <w:r w:rsidRPr="00672A70">
        <w:rPr>
          <w:rFonts w:ascii="Arial" w:hAnsi="Arial" w:cs="Arial"/>
          <w:sz w:val="24"/>
          <w:szCs w:val="24"/>
        </w:rPr>
        <w:t xml:space="preserve">% </w:t>
      </w:r>
      <w:r w:rsidR="00D132E0">
        <w:rPr>
          <w:rFonts w:ascii="Arial" w:hAnsi="Arial" w:cs="Arial"/>
          <w:sz w:val="24"/>
          <w:szCs w:val="24"/>
        </w:rPr>
        <w:t xml:space="preserve"> dla</w:t>
      </w:r>
      <w:proofErr w:type="gramEnd"/>
      <w:r w:rsidR="00D132E0">
        <w:rPr>
          <w:rFonts w:ascii="Arial" w:hAnsi="Arial" w:cs="Arial"/>
          <w:sz w:val="24"/>
          <w:szCs w:val="24"/>
        </w:rPr>
        <w:t xml:space="preserve"> </w:t>
      </w:r>
      <w:r w:rsidRPr="00672A70">
        <w:rPr>
          <w:rFonts w:ascii="Arial" w:hAnsi="Arial" w:cs="Arial"/>
          <w:sz w:val="24"/>
          <w:szCs w:val="24"/>
        </w:rPr>
        <w:t>ocen</w:t>
      </w:r>
      <w:r w:rsidR="00D132E0">
        <w:rPr>
          <w:rFonts w:ascii="Arial" w:hAnsi="Arial" w:cs="Arial"/>
          <w:sz w:val="24"/>
          <w:szCs w:val="24"/>
        </w:rPr>
        <w:t>y</w:t>
      </w:r>
      <w:r w:rsidRPr="00672A70">
        <w:rPr>
          <w:rFonts w:ascii="Arial" w:hAnsi="Arial" w:cs="Arial"/>
          <w:sz w:val="24"/>
          <w:szCs w:val="24"/>
        </w:rPr>
        <w:t xml:space="preserve"> „łatwo”), przy stabilnym poziomie wskazań „trudno” (23</w:t>
      </w:r>
      <w:r w:rsidR="00D132E0">
        <w:rPr>
          <w:rFonts w:ascii="Arial" w:hAnsi="Arial" w:cs="Arial"/>
          <w:sz w:val="24"/>
          <w:szCs w:val="24"/>
        </w:rPr>
        <w:t xml:space="preserve">%, </w:t>
      </w:r>
      <w:r w:rsidRPr="00672A70">
        <w:rPr>
          <w:rFonts w:ascii="Arial" w:hAnsi="Arial" w:cs="Arial"/>
          <w:sz w:val="24"/>
          <w:szCs w:val="24"/>
        </w:rPr>
        <w:t>28%).</w:t>
      </w:r>
    </w:p>
    <w:p w14:paraId="549E6CDC" w14:textId="77777777" w:rsidR="00325969" w:rsidRPr="00672A70" w:rsidRDefault="00325969" w:rsidP="00C0187D">
      <w:pPr>
        <w:spacing w:line="360" w:lineRule="auto"/>
        <w:rPr>
          <w:rFonts w:ascii="Arial" w:hAnsi="Arial" w:cs="Arial"/>
          <w:sz w:val="24"/>
          <w:szCs w:val="24"/>
        </w:rPr>
      </w:pPr>
      <w:r w:rsidRPr="00672A70">
        <w:rPr>
          <w:rFonts w:ascii="Arial" w:hAnsi="Arial" w:cs="Arial"/>
          <w:sz w:val="24"/>
          <w:szCs w:val="24"/>
        </w:rPr>
        <w:t>Wyraźnym punktem zwrotnym pozostaje rok 2021 — w tej edycji odsetek odpowiedzi „łatwo” wzrósł do 24%, czyli najwyższego poziomu w całym badanym okresie, przy jednoczesnym spadku ocen „trudno” do 23%. Był to moment relatywnie najbardziej korzystnych ocen dostępności środków unijnych.</w:t>
      </w:r>
    </w:p>
    <w:p w14:paraId="5CC30D3C" w14:textId="1B26DC01" w:rsidR="00325969" w:rsidRPr="00672A70" w:rsidRDefault="00D132E0" w:rsidP="00C0187D">
      <w:pPr>
        <w:spacing w:line="360" w:lineRule="auto"/>
        <w:rPr>
          <w:rFonts w:ascii="Arial" w:hAnsi="Arial" w:cs="Arial"/>
          <w:sz w:val="24"/>
          <w:szCs w:val="24"/>
        </w:rPr>
      </w:pPr>
      <w:r w:rsidRPr="00D132E0">
        <w:rPr>
          <w:rFonts w:ascii="Arial" w:hAnsi="Arial" w:cs="Arial"/>
          <w:sz w:val="24"/>
          <w:szCs w:val="24"/>
        </w:rPr>
        <w:t>W latach 2022–2023 odsetek odpowiedzi „łatwo” spada do 16–18%, a „trudno” utrzymuje się na poziomie 22–25%. W 2024 roku wyniki są podobne: 18% wskazań „łatwo” i 27% „trudno”.</w:t>
      </w:r>
    </w:p>
    <w:p w14:paraId="41DFA46B" w14:textId="26D64FA1" w:rsidR="00325969" w:rsidRPr="00672A70" w:rsidRDefault="00325969" w:rsidP="00C0187D">
      <w:pPr>
        <w:spacing w:line="360" w:lineRule="auto"/>
        <w:rPr>
          <w:rFonts w:ascii="Arial" w:hAnsi="Arial" w:cs="Arial"/>
          <w:sz w:val="24"/>
          <w:szCs w:val="24"/>
        </w:rPr>
      </w:pPr>
      <w:r w:rsidRPr="00672A70">
        <w:rPr>
          <w:rFonts w:ascii="Arial" w:hAnsi="Arial" w:cs="Arial"/>
          <w:sz w:val="24"/>
          <w:szCs w:val="24"/>
        </w:rPr>
        <w:t xml:space="preserve">W 2025 roku oceny </w:t>
      </w:r>
      <w:r w:rsidR="00003EE3">
        <w:rPr>
          <w:rFonts w:ascii="Arial" w:hAnsi="Arial" w:cs="Arial"/>
          <w:sz w:val="24"/>
          <w:szCs w:val="24"/>
        </w:rPr>
        <w:t>są</w:t>
      </w:r>
      <w:r w:rsidR="00003EE3" w:rsidRPr="00672A70">
        <w:rPr>
          <w:rFonts w:ascii="Arial" w:hAnsi="Arial" w:cs="Arial"/>
          <w:sz w:val="24"/>
          <w:szCs w:val="24"/>
        </w:rPr>
        <w:t xml:space="preserve"> </w:t>
      </w:r>
      <w:r w:rsidRPr="00672A70">
        <w:rPr>
          <w:rFonts w:ascii="Arial" w:hAnsi="Arial" w:cs="Arial"/>
          <w:sz w:val="24"/>
          <w:szCs w:val="24"/>
        </w:rPr>
        <w:t xml:space="preserve">umiarkowane: 17% respondentów uznało uzyskanie dofinansowania </w:t>
      </w:r>
      <w:r w:rsidR="009921B2">
        <w:rPr>
          <w:rFonts w:ascii="Arial" w:hAnsi="Arial" w:cs="Arial"/>
          <w:sz w:val="24"/>
          <w:szCs w:val="24"/>
        </w:rPr>
        <w:t>za</w:t>
      </w:r>
      <w:r w:rsidR="009921B2" w:rsidRPr="00672A70">
        <w:rPr>
          <w:rFonts w:ascii="Arial" w:hAnsi="Arial" w:cs="Arial"/>
          <w:sz w:val="24"/>
          <w:szCs w:val="24"/>
        </w:rPr>
        <w:t xml:space="preserve"> </w:t>
      </w:r>
      <w:r w:rsidRPr="00672A70">
        <w:rPr>
          <w:rFonts w:ascii="Arial" w:hAnsi="Arial" w:cs="Arial"/>
          <w:sz w:val="24"/>
          <w:szCs w:val="24"/>
        </w:rPr>
        <w:t xml:space="preserve">łatwe, </w:t>
      </w:r>
      <w:r w:rsidR="009921B2">
        <w:rPr>
          <w:rFonts w:ascii="Arial" w:hAnsi="Arial" w:cs="Arial"/>
          <w:sz w:val="24"/>
          <w:szCs w:val="24"/>
        </w:rPr>
        <w:t>a</w:t>
      </w:r>
      <w:r w:rsidR="009921B2" w:rsidRPr="00672A70">
        <w:rPr>
          <w:rFonts w:ascii="Arial" w:hAnsi="Arial" w:cs="Arial"/>
          <w:sz w:val="24"/>
          <w:szCs w:val="24"/>
        </w:rPr>
        <w:t xml:space="preserve"> </w:t>
      </w:r>
      <w:r w:rsidRPr="00672A70">
        <w:rPr>
          <w:rFonts w:ascii="Arial" w:hAnsi="Arial" w:cs="Arial"/>
          <w:sz w:val="24"/>
          <w:szCs w:val="24"/>
        </w:rPr>
        <w:t xml:space="preserve">21% </w:t>
      </w:r>
      <w:r w:rsidR="009921B2">
        <w:rPr>
          <w:rFonts w:ascii="Arial" w:hAnsi="Arial" w:cs="Arial"/>
          <w:sz w:val="24"/>
          <w:szCs w:val="24"/>
        </w:rPr>
        <w:t>za</w:t>
      </w:r>
      <w:r w:rsidRPr="00672A70">
        <w:rPr>
          <w:rFonts w:ascii="Arial" w:hAnsi="Arial" w:cs="Arial"/>
          <w:sz w:val="24"/>
          <w:szCs w:val="24"/>
        </w:rPr>
        <w:t xml:space="preserve"> trudne. </w:t>
      </w:r>
      <w:r w:rsidR="009921B2">
        <w:rPr>
          <w:rFonts w:ascii="Arial" w:hAnsi="Arial" w:cs="Arial"/>
          <w:sz w:val="24"/>
          <w:szCs w:val="24"/>
        </w:rPr>
        <w:t>Pokazuje to</w:t>
      </w:r>
      <w:r w:rsidRPr="00672A70">
        <w:rPr>
          <w:rFonts w:ascii="Arial" w:hAnsi="Arial" w:cs="Arial"/>
          <w:sz w:val="24"/>
          <w:szCs w:val="24"/>
        </w:rPr>
        <w:t xml:space="preserve"> bardziej zrównoważon</w:t>
      </w:r>
      <w:r w:rsidR="009921B2">
        <w:rPr>
          <w:rFonts w:ascii="Arial" w:hAnsi="Arial" w:cs="Arial"/>
          <w:sz w:val="24"/>
          <w:szCs w:val="24"/>
        </w:rPr>
        <w:t>e</w:t>
      </w:r>
      <w:r w:rsidRPr="00672A70">
        <w:rPr>
          <w:rFonts w:ascii="Arial" w:hAnsi="Arial" w:cs="Arial"/>
          <w:sz w:val="24"/>
          <w:szCs w:val="24"/>
        </w:rPr>
        <w:t xml:space="preserve"> opini</w:t>
      </w:r>
      <w:r w:rsidR="009921B2">
        <w:rPr>
          <w:rFonts w:ascii="Arial" w:hAnsi="Arial" w:cs="Arial"/>
          <w:sz w:val="24"/>
          <w:szCs w:val="24"/>
        </w:rPr>
        <w:t>e i</w:t>
      </w:r>
      <w:r w:rsidRPr="00672A70">
        <w:rPr>
          <w:rFonts w:ascii="Arial" w:hAnsi="Arial" w:cs="Arial"/>
          <w:sz w:val="24"/>
          <w:szCs w:val="24"/>
        </w:rPr>
        <w:t xml:space="preserve"> braku powrotu do bardzo wysokich poziomów trudności </w:t>
      </w:r>
      <w:r w:rsidR="009921B2">
        <w:rPr>
          <w:rFonts w:ascii="Arial" w:hAnsi="Arial" w:cs="Arial"/>
          <w:sz w:val="24"/>
          <w:szCs w:val="24"/>
        </w:rPr>
        <w:t>z</w:t>
      </w:r>
      <w:r w:rsidRPr="00672A70">
        <w:rPr>
          <w:rFonts w:ascii="Arial" w:hAnsi="Arial" w:cs="Arial"/>
          <w:sz w:val="24"/>
          <w:szCs w:val="24"/>
        </w:rPr>
        <w:t xml:space="preserve"> pierwszych lat pomiaru.</w:t>
      </w:r>
      <w:r w:rsidR="00003EE3">
        <w:rPr>
          <w:rFonts w:ascii="Arial" w:hAnsi="Arial" w:cs="Arial"/>
          <w:sz w:val="24"/>
          <w:szCs w:val="24"/>
        </w:rPr>
        <w:t xml:space="preserve"> </w:t>
      </w:r>
    </w:p>
    <w:p w14:paraId="3BB36CBF" w14:textId="1FDFA16D" w:rsidR="00325969" w:rsidRPr="0028226B" w:rsidRDefault="00325969" w:rsidP="00C0187D">
      <w:pPr>
        <w:spacing w:line="360" w:lineRule="auto"/>
        <w:rPr>
          <w:rFonts w:ascii="Arial" w:hAnsi="Arial" w:cs="Arial"/>
          <w:sz w:val="24"/>
          <w:szCs w:val="24"/>
        </w:rPr>
      </w:pPr>
      <w:r w:rsidRPr="00672A70">
        <w:rPr>
          <w:rFonts w:ascii="Arial" w:hAnsi="Arial" w:cs="Arial"/>
          <w:sz w:val="24"/>
          <w:szCs w:val="24"/>
        </w:rPr>
        <w:t>W ujęciu wieloletnim widoczna jest ogólna tendencja ograniczania poczucia trudności w porównaniu z okresem 2014–2015 oraz stopniowy wzrost odsetka wskazań „łatwo”, choć ich poziom — poza rokiem 2021 — nadal pozostaje umiarkowany. Dane sugerują, że część barier związanych z postrzeganiem procesu mogła ulec złagodzeniu, ale jednocześnie respondenci nie postrzegają procedur jako jednoznacznie prostych.</w:t>
      </w:r>
      <w:r w:rsidR="00607004" w:rsidRPr="00672A70">
        <w:rPr>
          <w:rFonts w:ascii="Arial" w:hAnsi="Arial" w:cs="Arial"/>
          <w:sz w:val="24"/>
          <w:szCs w:val="24"/>
        </w:rPr>
        <w:t xml:space="preserve"> </w:t>
      </w:r>
    </w:p>
    <w:p w14:paraId="76345C05" w14:textId="115DBB5F" w:rsidR="00346B6E" w:rsidRPr="0028226B" w:rsidRDefault="00346B6E" w:rsidP="00346B6E">
      <w:pPr>
        <w:pStyle w:val="Legenda"/>
        <w:keepNext/>
        <w:rPr>
          <w:rFonts w:ascii="Arial" w:hAnsi="Arial" w:cs="Arial"/>
          <w:b/>
          <w:bCs/>
          <w:i w:val="0"/>
          <w:iCs w:val="0"/>
          <w:color w:val="auto"/>
          <w:sz w:val="24"/>
          <w:szCs w:val="24"/>
        </w:rPr>
      </w:pPr>
      <w:bookmarkStart w:id="61" w:name="_Toc219369271"/>
      <w:r w:rsidRPr="0028226B">
        <w:rPr>
          <w:rFonts w:ascii="Arial" w:hAnsi="Arial" w:cs="Arial"/>
          <w:b/>
          <w:bCs/>
          <w:i w:val="0"/>
          <w:iCs w:val="0"/>
          <w:color w:val="auto"/>
          <w:sz w:val="24"/>
          <w:szCs w:val="24"/>
        </w:rPr>
        <w:lastRenderedPageBreak/>
        <w:t xml:space="preserve">Wykres </w:t>
      </w:r>
      <w:r w:rsidRPr="0028226B">
        <w:rPr>
          <w:rFonts w:ascii="Arial" w:hAnsi="Arial" w:cs="Arial"/>
          <w:b/>
          <w:bCs/>
          <w:i w:val="0"/>
          <w:iCs w:val="0"/>
          <w:color w:val="auto"/>
          <w:sz w:val="24"/>
          <w:szCs w:val="24"/>
        </w:rPr>
        <w:fldChar w:fldCharType="begin"/>
      </w:r>
      <w:r w:rsidRPr="0028226B">
        <w:rPr>
          <w:rFonts w:ascii="Arial" w:hAnsi="Arial" w:cs="Arial"/>
          <w:b/>
          <w:bCs/>
          <w:i w:val="0"/>
          <w:iCs w:val="0"/>
          <w:color w:val="auto"/>
          <w:sz w:val="24"/>
          <w:szCs w:val="24"/>
        </w:rPr>
        <w:instrText xml:space="preserve"> SEQ Wykres \* ARABIC </w:instrText>
      </w:r>
      <w:r w:rsidRPr="0028226B">
        <w:rPr>
          <w:rFonts w:ascii="Arial" w:hAnsi="Arial" w:cs="Arial"/>
          <w:b/>
          <w:bCs/>
          <w:i w:val="0"/>
          <w:iCs w:val="0"/>
          <w:color w:val="auto"/>
          <w:sz w:val="24"/>
          <w:szCs w:val="24"/>
        </w:rPr>
        <w:fldChar w:fldCharType="separate"/>
      </w:r>
      <w:r w:rsidR="0055789E">
        <w:rPr>
          <w:rFonts w:ascii="Arial" w:hAnsi="Arial" w:cs="Arial"/>
          <w:b/>
          <w:bCs/>
          <w:i w:val="0"/>
          <w:iCs w:val="0"/>
          <w:noProof/>
          <w:color w:val="auto"/>
          <w:sz w:val="24"/>
          <w:szCs w:val="24"/>
        </w:rPr>
        <w:t>45</w:t>
      </w:r>
      <w:r w:rsidRPr="0028226B">
        <w:rPr>
          <w:rFonts w:ascii="Arial" w:hAnsi="Arial" w:cs="Arial"/>
          <w:b/>
          <w:bCs/>
          <w:i w:val="0"/>
          <w:iCs w:val="0"/>
          <w:color w:val="auto"/>
          <w:sz w:val="24"/>
          <w:szCs w:val="24"/>
        </w:rPr>
        <w:fldChar w:fldCharType="end"/>
      </w:r>
      <w:r w:rsidRPr="0028226B">
        <w:rPr>
          <w:rFonts w:ascii="Arial" w:hAnsi="Arial" w:cs="Arial"/>
          <w:b/>
          <w:bCs/>
          <w:i w:val="0"/>
          <w:iCs w:val="0"/>
          <w:color w:val="auto"/>
          <w:sz w:val="24"/>
          <w:szCs w:val="24"/>
        </w:rPr>
        <w:t>.</w:t>
      </w:r>
      <w:r w:rsidR="00403126" w:rsidRPr="0028226B">
        <w:rPr>
          <w:rFonts w:ascii="Arial" w:hAnsi="Arial" w:cs="Arial"/>
          <w:sz w:val="24"/>
          <w:szCs w:val="24"/>
        </w:rPr>
        <w:t xml:space="preserve"> </w:t>
      </w:r>
      <w:r w:rsidR="00403126" w:rsidRPr="0028226B">
        <w:rPr>
          <w:rFonts w:ascii="Arial" w:hAnsi="Arial" w:cs="Arial"/>
          <w:b/>
          <w:bCs/>
          <w:i w:val="0"/>
          <w:iCs w:val="0"/>
          <w:color w:val="auto"/>
          <w:sz w:val="24"/>
          <w:szCs w:val="24"/>
        </w:rPr>
        <w:t xml:space="preserve">P31. Czy, Pana(i) zdaniem, łatwo jest uzyskać dofinansowanie z Unii </w:t>
      </w:r>
      <w:proofErr w:type="gramStart"/>
      <w:r w:rsidR="00403126" w:rsidRPr="0028226B">
        <w:rPr>
          <w:rFonts w:ascii="Arial" w:hAnsi="Arial" w:cs="Arial"/>
          <w:b/>
          <w:bCs/>
          <w:i w:val="0"/>
          <w:iCs w:val="0"/>
          <w:color w:val="auto"/>
          <w:sz w:val="24"/>
          <w:szCs w:val="24"/>
        </w:rPr>
        <w:t>Europejskiej?-</w:t>
      </w:r>
      <w:proofErr w:type="gramEnd"/>
      <w:r w:rsidR="00403126" w:rsidRPr="0028226B">
        <w:rPr>
          <w:rFonts w:ascii="Arial" w:hAnsi="Arial" w:cs="Arial"/>
          <w:b/>
          <w:bCs/>
          <w:i w:val="0"/>
          <w:iCs w:val="0"/>
          <w:color w:val="auto"/>
          <w:sz w:val="24"/>
          <w:szCs w:val="24"/>
        </w:rPr>
        <w:t xml:space="preserve"> </w:t>
      </w:r>
      <w:r w:rsidRPr="0028226B">
        <w:rPr>
          <w:rFonts w:ascii="Arial" w:hAnsi="Arial" w:cs="Arial"/>
          <w:b/>
          <w:bCs/>
          <w:i w:val="0"/>
          <w:iCs w:val="0"/>
          <w:color w:val="auto"/>
          <w:sz w:val="24"/>
          <w:szCs w:val="24"/>
        </w:rPr>
        <w:t xml:space="preserve">w latach </w:t>
      </w:r>
      <w:r w:rsidR="00325969" w:rsidRPr="0028226B">
        <w:rPr>
          <w:rFonts w:ascii="Arial" w:hAnsi="Arial" w:cs="Arial"/>
          <w:b/>
          <w:bCs/>
          <w:i w:val="0"/>
          <w:iCs w:val="0"/>
          <w:color w:val="auto"/>
          <w:sz w:val="24"/>
          <w:szCs w:val="24"/>
        </w:rPr>
        <w:t>2014</w:t>
      </w:r>
      <w:r w:rsidRPr="0028226B">
        <w:rPr>
          <w:rFonts w:ascii="Arial" w:hAnsi="Arial" w:cs="Arial"/>
          <w:b/>
          <w:bCs/>
          <w:i w:val="0"/>
          <w:iCs w:val="0"/>
          <w:color w:val="auto"/>
          <w:sz w:val="24"/>
          <w:szCs w:val="24"/>
        </w:rPr>
        <w:t>–2025 (porównanie odpowiedzi „łatwo” i „trudno”)</w:t>
      </w:r>
      <w:bookmarkEnd w:id="61"/>
    </w:p>
    <w:p w14:paraId="43595712" w14:textId="7EDAFB0B" w:rsidR="00346B6E" w:rsidRPr="0028226B" w:rsidRDefault="00346B6E" w:rsidP="007A27F7">
      <w:pPr>
        <w:rPr>
          <w:rFonts w:ascii="Arial" w:hAnsi="Arial" w:cs="Arial"/>
          <w:color w:val="FFFFFF" w:themeColor="background1"/>
          <w:sz w:val="24"/>
          <w:szCs w:val="24"/>
        </w:rPr>
      </w:pPr>
      <w:r w:rsidRPr="0028226B">
        <w:rPr>
          <w:rFonts w:ascii="Arial" w:hAnsi="Arial" w:cs="Arial"/>
          <w:noProof/>
          <w:color w:val="FFFFFF" w:themeColor="background1"/>
          <w:sz w:val="24"/>
          <w:szCs w:val="24"/>
        </w:rPr>
        <w:drawing>
          <wp:inline distT="0" distB="0" distL="0" distR="0" wp14:anchorId="31DDD3DA" wp14:editId="79293F0A">
            <wp:extent cx="6273800" cy="4586068"/>
            <wp:effectExtent l="0" t="0" r="0" b="0"/>
            <wp:docPr id="1600943544" name="Wykres 1" descr="Wykres obszarowy przedstawia porównanie odpowiedzi „łatwo” i „trudno” na pytanie, czy – zdaniem respondentów – łatwo jest uzyskać dofinansowanie z Unii Europejskiej, w latach 2014–2025. Dolny, ciemnogranatowy obszar pokazuje odsetek odpowiedzi „łatwo”, a górny, jasnoszary – odsetek odpowiedzi „trudno”. Na osi X znajdują się kolejne lata wraz z liczebnościami prób.&#10;&#10;Odsetek odpowiedzi „łatwo” waha się w granicach 10–24%. Najniższy poziom odnotowano w 2014 roku (10%), a najwyższy w 2021 roku (24%). W pozostałych latach wartości oscylują głównie między 12% a 18%.&#10;Odsetek odpowiedzi „trudno” jest wyraźnie wyższy – od 21% do 39%. Najwyższy poziom wskazań „trudno” zaobserwowano w 2014 roku (39%) oraz w 2022 roku (33%). W ostatnich latach (2023–2025) poziom ten stopniowo spada z 25% do 21%.&#10;&#10;Wniosek ogólny: w całym okresie 2014–2025 znacznie większa grupa respondentów uznaje uzyskanie dofinansowania za trudne niż łatwe, choć zarówno oceny trudności, jak i łatwości wykazują umiarkowane wahania, bez wyraźnego trendu wzrostowego lub spadkowego."/>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14:paraId="0C11979B" w14:textId="22E70C79" w:rsidR="00346B6E" w:rsidRPr="0028226B" w:rsidRDefault="00346B6E" w:rsidP="00346B6E">
      <w:pPr>
        <w:spacing w:before="240"/>
        <w:rPr>
          <w:rFonts w:ascii="Arial" w:hAnsi="Arial" w:cs="Arial"/>
          <w:sz w:val="24"/>
          <w:szCs w:val="24"/>
        </w:rPr>
      </w:pPr>
      <w:r w:rsidRPr="0028226B">
        <w:rPr>
          <w:rFonts w:ascii="Arial" w:hAnsi="Arial" w:cs="Arial"/>
          <w:sz w:val="24"/>
          <w:szCs w:val="24"/>
        </w:rPr>
        <w:t>Źródło: Opracowano na podstawie badania CAPI</w:t>
      </w:r>
      <w:r w:rsidR="008911AA">
        <w:rPr>
          <w:rFonts w:ascii="Arial" w:hAnsi="Arial" w:cs="Arial"/>
          <w:sz w:val="24"/>
          <w:szCs w:val="24"/>
        </w:rPr>
        <w:t>; odpowiadający: znający określenie FE lub FU</w:t>
      </w:r>
    </w:p>
    <w:p w14:paraId="50BEAFA2" w14:textId="1FB4D2FE" w:rsidR="00386EE3" w:rsidRPr="00672A70" w:rsidRDefault="00386EE3" w:rsidP="00C0187D">
      <w:pPr>
        <w:spacing w:line="360" w:lineRule="auto"/>
        <w:rPr>
          <w:rFonts w:ascii="Arial" w:hAnsi="Arial" w:cs="Arial"/>
          <w:sz w:val="24"/>
          <w:szCs w:val="24"/>
        </w:rPr>
      </w:pPr>
      <w:r w:rsidRPr="00672A70">
        <w:rPr>
          <w:rFonts w:ascii="Arial" w:hAnsi="Arial" w:cs="Arial"/>
          <w:sz w:val="24"/>
          <w:szCs w:val="24"/>
        </w:rPr>
        <w:t>Zestawienie pokazuje, jak przedstawiciele różnych grup społeczno-demograficznych postrzegają trudność w uzyskaniu dofinansowania z Unii Europejskiej. Warto zwrócić uwagę, że:</w:t>
      </w:r>
      <w:r w:rsidRPr="00672A70">
        <w:rPr>
          <w:rFonts w:ascii="Arial" w:hAnsi="Arial" w:cs="Arial"/>
          <w:sz w:val="24"/>
          <w:szCs w:val="24"/>
        </w:rPr>
        <w:br/>
        <w:t xml:space="preserve">– kobiety nieco częściej niż mężczyźni wskazują na trudności, natomiast mężczyźni częściej deklarują, że „różnie </w:t>
      </w:r>
      <w:r w:rsidR="009921B2">
        <w:rPr>
          <w:rFonts w:ascii="Arial" w:hAnsi="Arial" w:cs="Arial"/>
          <w:sz w:val="24"/>
          <w:szCs w:val="24"/>
        </w:rPr>
        <w:t>- raz łatwo, raz trudno</w:t>
      </w:r>
      <w:r w:rsidRPr="00672A70">
        <w:rPr>
          <w:rFonts w:ascii="Arial" w:hAnsi="Arial" w:cs="Arial"/>
          <w:sz w:val="24"/>
          <w:szCs w:val="24"/>
        </w:rPr>
        <w:t>”;</w:t>
      </w:r>
      <w:r w:rsidRPr="00672A70">
        <w:rPr>
          <w:rFonts w:ascii="Arial" w:hAnsi="Arial" w:cs="Arial"/>
          <w:sz w:val="24"/>
          <w:szCs w:val="24"/>
        </w:rPr>
        <w:br/>
        <w:t>– osoby młodsze (15–24 lata) częściej zaznaczają odpowiedź „nie wiem”, co może wynikać z mniejszego doświadczenia w kontaktach z funduszami;</w:t>
      </w:r>
      <w:r w:rsidRPr="00672A70">
        <w:rPr>
          <w:rFonts w:ascii="Arial" w:hAnsi="Arial" w:cs="Arial"/>
          <w:sz w:val="24"/>
          <w:szCs w:val="24"/>
        </w:rPr>
        <w:br/>
        <w:t>– respondenci w średnim wieku i z wykształceniem średnim lub wyższym częściej dostrzegają złożoność procesu („różnie – raz łatwo, raz trudno”);</w:t>
      </w:r>
      <w:r w:rsidRPr="00672A70">
        <w:rPr>
          <w:rFonts w:ascii="Arial" w:hAnsi="Arial" w:cs="Arial"/>
          <w:sz w:val="24"/>
          <w:szCs w:val="24"/>
        </w:rPr>
        <w:br/>
        <w:t>– skrajne opinie („bardzo łatwo” oraz „bardzo trudno”) pojawiają się rzadko we wszystkich grupach.</w:t>
      </w:r>
    </w:p>
    <w:p w14:paraId="3E64AB99" w14:textId="77777777" w:rsidR="00386EE3" w:rsidRPr="00672A70" w:rsidRDefault="00386EE3" w:rsidP="00C0187D">
      <w:pPr>
        <w:spacing w:line="360" w:lineRule="auto"/>
        <w:rPr>
          <w:rFonts w:ascii="Arial" w:hAnsi="Arial" w:cs="Arial"/>
          <w:sz w:val="24"/>
          <w:szCs w:val="24"/>
        </w:rPr>
      </w:pPr>
      <w:r w:rsidRPr="00672A70">
        <w:rPr>
          <w:rFonts w:ascii="Arial" w:hAnsi="Arial" w:cs="Arial"/>
          <w:sz w:val="24"/>
          <w:szCs w:val="24"/>
        </w:rPr>
        <w:lastRenderedPageBreak/>
        <w:t>Łącznie wyniki pokazują, że ocena procedur unijnych jest mocno zróżnicowana, jednak dominuje przekonanie o umiarkowanej trudności – bardziej na poziomie praktycznych barier niż całkowitej niedostępności.</w:t>
      </w:r>
    </w:p>
    <w:p w14:paraId="638E2EBF" w14:textId="332A5ABB" w:rsidR="00386EE3" w:rsidRPr="004B75FE" w:rsidRDefault="00386EE3" w:rsidP="00386EE3">
      <w:pPr>
        <w:pStyle w:val="Legenda"/>
        <w:keepNext/>
        <w:rPr>
          <w:rFonts w:ascii="Arial" w:hAnsi="Arial" w:cs="Arial"/>
          <w:b/>
          <w:bCs/>
          <w:i w:val="0"/>
          <w:iCs w:val="0"/>
          <w:color w:val="auto"/>
          <w:sz w:val="24"/>
          <w:szCs w:val="24"/>
        </w:rPr>
      </w:pPr>
      <w:bookmarkStart w:id="62" w:name="_Toc219369272"/>
      <w:r w:rsidRPr="004B75FE">
        <w:rPr>
          <w:rFonts w:ascii="Arial" w:hAnsi="Arial" w:cs="Arial"/>
          <w:b/>
          <w:bCs/>
          <w:i w:val="0"/>
          <w:iCs w:val="0"/>
          <w:color w:val="auto"/>
          <w:sz w:val="24"/>
          <w:szCs w:val="24"/>
        </w:rPr>
        <w:t xml:space="preserve">Wykres </w:t>
      </w:r>
      <w:r w:rsidRPr="004B75FE">
        <w:rPr>
          <w:rFonts w:ascii="Arial" w:hAnsi="Arial" w:cs="Arial"/>
          <w:b/>
          <w:bCs/>
          <w:i w:val="0"/>
          <w:iCs w:val="0"/>
          <w:color w:val="auto"/>
          <w:sz w:val="24"/>
          <w:szCs w:val="24"/>
        </w:rPr>
        <w:fldChar w:fldCharType="begin"/>
      </w:r>
      <w:r w:rsidRPr="004B75FE">
        <w:rPr>
          <w:rFonts w:ascii="Arial" w:hAnsi="Arial" w:cs="Arial"/>
          <w:b/>
          <w:bCs/>
          <w:i w:val="0"/>
          <w:iCs w:val="0"/>
          <w:color w:val="auto"/>
          <w:sz w:val="24"/>
          <w:szCs w:val="24"/>
        </w:rPr>
        <w:instrText xml:space="preserve"> SEQ Wykres \* ARABIC </w:instrText>
      </w:r>
      <w:r w:rsidRPr="004B75FE">
        <w:rPr>
          <w:rFonts w:ascii="Arial" w:hAnsi="Arial" w:cs="Arial"/>
          <w:b/>
          <w:bCs/>
          <w:i w:val="0"/>
          <w:iCs w:val="0"/>
          <w:color w:val="auto"/>
          <w:sz w:val="24"/>
          <w:szCs w:val="24"/>
        </w:rPr>
        <w:fldChar w:fldCharType="separate"/>
      </w:r>
      <w:r w:rsidR="0055789E">
        <w:rPr>
          <w:rFonts w:ascii="Arial" w:hAnsi="Arial" w:cs="Arial"/>
          <w:b/>
          <w:bCs/>
          <w:i w:val="0"/>
          <w:iCs w:val="0"/>
          <w:noProof/>
          <w:color w:val="auto"/>
          <w:sz w:val="24"/>
          <w:szCs w:val="24"/>
        </w:rPr>
        <w:t>46</w:t>
      </w:r>
      <w:r w:rsidRPr="004B75FE">
        <w:rPr>
          <w:rFonts w:ascii="Arial" w:hAnsi="Arial" w:cs="Arial"/>
          <w:b/>
          <w:bCs/>
          <w:i w:val="0"/>
          <w:iCs w:val="0"/>
          <w:color w:val="auto"/>
          <w:sz w:val="24"/>
          <w:szCs w:val="24"/>
        </w:rPr>
        <w:fldChar w:fldCharType="end"/>
      </w:r>
      <w:r w:rsidRPr="004B75FE">
        <w:rPr>
          <w:rFonts w:ascii="Arial" w:hAnsi="Arial" w:cs="Arial"/>
          <w:b/>
          <w:bCs/>
          <w:i w:val="0"/>
          <w:iCs w:val="0"/>
          <w:color w:val="auto"/>
          <w:sz w:val="24"/>
          <w:szCs w:val="24"/>
        </w:rPr>
        <w:t xml:space="preserve">. </w:t>
      </w:r>
      <w:r w:rsidR="00403126" w:rsidRPr="004B75FE">
        <w:rPr>
          <w:rFonts w:ascii="Arial" w:hAnsi="Arial" w:cs="Arial"/>
          <w:b/>
          <w:bCs/>
          <w:i w:val="0"/>
          <w:iCs w:val="0"/>
          <w:color w:val="auto"/>
          <w:sz w:val="24"/>
          <w:szCs w:val="24"/>
        </w:rPr>
        <w:t>P31. Czy, Pana(i) zdaniem, łatwo jest uzyskać dofinansowanie z Unii Europejskiej?</w:t>
      </w:r>
      <w:r w:rsidR="009921B2" w:rsidRPr="004B75FE">
        <w:rPr>
          <w:rFonts w:ascii="Arial" w:hAnsi="Arial" w:cs="Arial"/>
          <w:b/>
          <w:bCs/>
          <w:i w:val="0"/>
          <w:iCs w:val="0"/>
          <w:color w:val="auto"/>
          <w:sz w:val="24"/>
          <w:szCs w:val="24"/>
        </w:rPr>
        <w:t xml:space="preserve"> - </w:t>
      </w:r>
      <w:r w:rsidR="00403126" w:rsidRPr="004B75FE">
        <w:rPr>
          <w:rFonts w:ascii="Arial" w:hAnsi="Arial" w:cs="Arial"/>
          <w:b/>
          <w:bCs/>
          <w:i w:val="0"/>
          <w:iCs w:val="0"/>
          <w:color w:val="auto"/>
          <w:sz w:val="24"/>
          <w:szCs w:val="24"/>
        </w:rPr>
        <w:t xml:space="preserve">według </w:t>
      </w:r>
      <w:r w:rsidRPr="004B75FE">
        <w:rPr>
          <w:rFonts w:ascii="Arial" w:hAnsi="Arial" w:cs="Arial"/>
          <w:b/>
          <w:bCs/>
          <w:i w:val="0"/>
          <w:iCs w:val="0"/>
          <w:color w:val="auto"/>
          <w:sz w:val="24"/>
          <w:szCs w:val="24"/>
        </w:rPr>
        <w:t>cech demograficznych</w:t>
      </w:r>
      <w:bookmarkEnd w:id="62"/>
    </w:p>
    <w:p w14:paraId="74D880A6" w14:textId="30CC575F" w:rsidR="00386EE3" w:rsidRPr="0028226B" w:rsidRDefault="00386EE3" w:rsidP="00672A70">
      <w:pPr>
        <w:spacing w:after="0"/>
        <w:rPr>
          <w:rFonts w:ascii="Arial" w:hAnsi="Arial" w:cs="Arial"/>
          <w:color w:val="FFFFFF" w:themeColor="background1"/>
          <w:sz w:val="24"/>
          <w:szCs w:val="24"/>
        </w:rPr>
      </w:pPr>
      <w:r w:rsidRPr="0028226B">
        <w:rPr>
          <w:rFonts w:ascii="Arial" w:hAnsi="Arial" w:cs="Arial"/>
          <w:noProof/>
          <w:sz w:val="24"/>
          <w:szCs w:val="24"/>
        </w:rPr>
        <w:drawing>
          <wp:inline distT="0" distB="0" distL="0" distR="0" wp14:anchorId="2A4093AE" wp14:editId="67555965">
            <wp:extent cx="5873262" cy="5285105"/>
            <wp:effectExtent l="0" t="0" r="0" b="0"/>
            <wp:docPr id="1622603540" name="Wykres 5" descr="Wykres prezentuje rozkład opinii na temat tego, czy – zdaniem respondentów – łatwo jest uzyskać dofinansowanie z Funduszy Europejskich. Dane pokazano w podziale na cechy demograficzne: płeć, wiek, wykształcenie oraz wielkość miejscowości. Każdy wiersz to słupek o sumie 100%, podzielony na sześć kategorii: „bardzo łatwo”, „łatwo”, „różnie – raz łatwo, raz trudno”, „trudno”, „bardzo trudno” i „nie wiem / trudno powiedzieć”.&#10;&#10;Wyniki ogółem pokazują, że oceny umiarkowane dominują: 37% uważa, że jest „różnie”, 19% że „trudno”, a 25% deklaruje „nie wiem”. Odpowiedzi „bardzo łatwo” i „łatwo” są rzadkie (łącznie 17%).&#10;&#10;W podziale na płeć kobiety i mężczyźni oceniają dostępność podobnie, przy czym mężczyźni nieco częściej wskazują „różnie” (40%).&#10;&#10;W grupach wieku największy odsetek odpowiedzi „trudno” występuje wśród osób 45–54 lata (44%) oraz 20–24 lata (31%). Najczęściej brak zdania („nie wiem”) zgłaszają osoby 15–19 lat (31%).&#10;&#10;W zależności od wykształcenia osoby z wyższym i średnim poziomem najczęściej wybierają odpowiedź „różnie” (38–39%). Osoby z wykształceniem zawodowym i podstawowym częściej wskazują „trudno” (21%).&#10;&#10;W podziale na wielkość miejscowości dominują odpowiedzi „różnie” (41–46%). Najczęściej ocenę „trudno” notuje grupa z miast 20–49 tys. mieszkańców (29%) oraz 50–199 tys. (25%). W każdej kategorii znaczący jest udział osób, które nie mają zdania (20–31%).&#10;&#10;Cały wykres pokazuje, że brak jednoznacznej opinii jest powszechny, a większość respondentów uważa, że uzyskanie dofinansowania nie jest ani łatwe, ani jednoznacznie trudne, lecz zależy od sytuacji."/>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14:paraId="73C3D2CB" w14:textId="2850C850" w:rsidR="00386EE3" w:rsidRPr="00672A70" w:rsidRDefault="00386EE3" w:rsidP="00386EE3">
      <w:pPr>
        <w:spacing w:before="240"/>
        <w:rPr>
          <w:rFonts w:ascii="Arial" w:hAnsi="Arial" w:cs="Arial"/>
          <w:sz w:val="24"/>
          <w:szCs w:val="24"/>
        </w:rPr>
      </w:pPr>
      <w:r w:rsidRPr="00672A70">
        <w:rPr>
          <w:rFonts w:ascii="Arial" w:hAnsi="Arial" w:cs="Arial"/>
          <w:sz w:val="24"/>
          <w:szCs w:val="24"/>
        </w:rPr>
        <w:t>Źródło: Opracowano na podstawie badania CAPI</w:t>
      </w:r>
      <w:r w:rsidR="008911AA">
        <w:rPr>
          <w:rFonts w:ascii="Arial" w:hAnsi="Arial" w:cs="Arial"/>
          <w:sz w:val="24"/>
          <w:szCs w:val="24"/>
        </w:rPr>
        <w:t>; odpowiadający: znający określenie FE lub FU</w:t>
      </w:r>
    </w:p>
    <w:p w14:paraId="0C88B63C" w14:textId="6E7E7A67" w:rsidR="00386EE3" w:rsidRPr="00672A70" w:rsidRDefault="00321AC1" w:rsidP="00C0187D">
      <w:pPr>
        <w:spacing w:line="360" w:lineRule="auto"/>
        <w:rPr>
          <w:rFonts w:ascii="Arial" w:hAnsi="Arial" w:cs="Arial"/>
          <w:color w:val="000000" w:themeColor="text1"/>
          <w:sz w:val="24"/>
          <w:szCs w:val="24"/>
        </w:rPr>
      </w:pPr>
      <w:r w:rsidRPr="00672A70">
        <w:rPr>
          <w:rFonts w:ascii="Arial" w:hAnsi="Arial" w:cs="Arial"/>
          <w:color w:val="000000" w:themeColor="text1"/>
          <w:sz w:val="24"/>
          <w:szCs w:val="24"/>
        </w:rPr>
        <w:t xml:space="preserve">Najczęściej wskazywanym powodem trudności w uzyskaniu dofinansowania z Unii Europejskiej </w:t>
      </w:r>
      <w:r w:rsidR="004C22E7">
        <w:rPr>
          <w:rFonts w:ascii="Arial" w:hAnsi="Arial" w:cs="Arial"/>
          <w:color w:val="000000" w:themeColor="text1"/>
          <w:sz w:val="24"/>
          <w:szCs w:val="24"/>
        </w:rPr>
        <w:t xml:space="preserve">są </w:t>
      </w:r>
      <w:r w:rsidRPr="00672A70">
        <w:rPr>
          <w:rFonts w:ascii="Arial" w:hAnsi="Arial" w:cs="Arial"/>
          <w:color w:val="000000" w:themeColor="text1"/>
          <w:sz w:val="24"/>
          <w:szCs w:val="24"/>
        </w:rPr>
        <w:t xml:space="preserve">biurokracja oraz skomplikowane procedury związane ze składaniem dokumentów i wniosków. Taką opinię wyraziło ponad </w:t>
      </w:r>
      <w:r w:rsidR="00AD2B4D">
        <w:rPr>
          <w:rFonts w:ascii="Arial" w:hAnsi="Arial" w:cs="Arial"/>
          <w:color w:val="000000" w:themeColor="text1"/>
          <w:sz w:val="24"/>
          <w:szCs w:val="24"/>
        </w:rPr>
        <w:t>trzech</w:t>
      </w:r>
      <w:r w:rsidR="00AD2B4D" w:rsidRPr="00672A70">
        <w:rPr>
          <w:rFonts w:ascii="Arial" w:hAnsi="Arial" w:cs="Arial"/>
          <w:color w:val="000000" w:themeColor="text1"/>
          <w:sz w:val="24"/>
          <w:szCs w:val="24"/>
        </w:rPr>
        <w:t xml:space="preserve"> </w:t>
      </w:r>
      <w:r w:rsidRPr="00672A70">
        <w:rPr>
          <w:rFonts w:ascii="Arial" w:hAnsi="Arial" w:cs="Arial"/>
          <w:color w:val="000000" w:themeColor="text1"/>
          <w:sz w:val="24"/>
          <w:szCs w:val="24"/>
        </w:rPr>
        <w:t xml:space="preserve">na </w:t>
      </w:r>
      <w:r w:rsidR="00AD2B4D">
        <w:rPr>
          <w:rFonts w:ascii="Arial" w:hAnsi="Arial" w:cs="Arial"/>
          <w:color w:val="000000" w:themeColor="text1"/>
          <w:sz w:val="24"/>
          <w:szCs w:val="24"/>
        </w:rPr>
        <w:t>pięciu</w:t>
      </w:r>
      <w:r w:rsidR="00AD2B4D" w:rsidRPr="00672A70">
        <w:rPr>
          <w:rFonts w:ascii="Arial" w:hAnsi="Arial" w:cs="Arial"/>
          <w:color w:val="000000" w:themeColor="text1"/>
          <w:sz w:val="24"/>
          <w:szCs w:val="24"/>
        </w:rPr>
        <w:t xml:space="preserve"> </w:t>
      </w:r>
      <w:r w:rsidRPr="00672A70">
        <w:rPr>
          <w:rFonts w:ascii="Arial" w:hAnsi="Arial" w:cs="Arial"/>
          <w:color w:val="000000" w:themeColor="text1"/>
          <w:sz w:val="24"/>
          <w:szCs w:val="24"/>
        </w:rPr>
        <w:t>respondentów</w:t>
      </w:r>
      <w:r w:rsidR="00CC49DF">
        <w:rPr>
          <w:rFonts w:ascii="Arial" w:hAnsi="Arial" w:cs="Arial"/>
          <w:color w:val="000000" w:themeColor="text1"/>
          <w:sz w:val="24"/>
          <w:szCs w:val="24"/>
        </w:rPr>
        <w:t>, którzy uznali, że trudno jest uzyskać dofinansowanie z UE</w:t>
      </w:r>
      <w:r w:rsidR="00EA47D3">
        <w:rPr>
          <w:rFonts w:ascii="Arial" w:hAnsi="Arial" w:cs="Arial"/>
          <w:color w:val="000000" w:themeColor="text1"/>
          <w:sz w:val="24"/>
          <w:szCs w:val="24"/>
        </w:rPr>
        <w:t xml:space="preserve"> (osoby, które uważały, </w:t>
      </w:r>
      <w:proofErr w:type="gramStart"/>
      <w:r w:rsidR="00EA47D3">
        <w:rPr>
          <w:rFonts w:ascii="Arial" w:hAnsi="Arial" w:cs="Arial"/>
          <w:color w:val="000000" w:themeColor="text1"/>
          <w:sz w:val="24"/>
          <w:szCs w:val="24"/>
        </w:rPr>
        <w:t>ze</w:t>
      </w:r>
      <w:proofErr w:type="gramEnd"/>
      <w:r w:rsidR="00EA47D3">
        <w:rPr>
          <w:rFonts w:ascii="Arial" w:hAnsi="Arial" w:cs="Arial"/>
          <w:color w:val="000000" w:themeColor="text1"/>
          <w:sz w:val="24"/>
          <w:szCs w:val="24"/>
        </w:rPr>
        <w:t xml:space="preserve"> </w:t>
      </w:r>
      <w:r w:rsidR="00AD2B4D">
        <w:rPr>
          <w:rFonts w:ascii="Arial" w:hAnsi="Arial" w:cs="Arial"/>
          <w:color w:val="000000" w:themeColor="text1"/>
          <w:sz w:val="24"/>
          <w:szCs w:val="24"/>
        </w:rPr>
        <w:t>uzyskanie</w:t>
      </w:r>
      <w:r w:rsidR="00EA47D3">
        <w:rPr>
          <w:rFonts w:ascii="Arial" w:hAnsi="Arial" w:cs="Arial"/>
          <w:color w:val="000000" w:themeColor="text1"/>
          <w:sz w:val="24"/>
          <w:szCs w:val="24"/>
        </w:rPr>
        <w:t xml:space="preserve"> dofinansowania z Unii Europejskiej jest trudne bądź bardzo trudne)</w:t>
      </w:r>
      <w:r w:rsidRPr="00672A70">
        <w:rPr>
          <w:rFonts w:ascii="Arial" w:hAnsi="Arial" w:cs="Arial"/>
          <w:color w:val="000000" w:themeColor="text1"/>
          <w:sz w:val="24"/>
          <w:szCs w:val="24"/>
        </w:rPr>
        <w:t xml:space="preserve">. Kolejną istotną barierą są rozbudowane wymagania formalne, które – według </w:t>
      </w:r>
      <w:r w:rsidRPr="00672A70">
        <w:rPr>
          <w:rFonts w:ascii="Arial" w:hAnsi="Arial" w:cs="Arial"/>
          <w:color w:val="000000" w:themeColor="text1"/>
          <w:sz w:val="24"/>
          <w:szCs w:val="24"/>
        </w:rPr>
        <w:lastRenderedPageBreak/>
        <w:t xml:space="preserve">badanych – trudno spełnić. Część osób zwraca uwagę na konieczność dobrej znajomości procedur oraz brak wystarczających informacji dotyczących procesu aplikowania. </w:t>
      </w:r>
    </w:p>
    <w:p w14:paraId="17FB1ACB" w14:textId="3ACA1490" w:rsidR="00321AC1" w:rsidRPr="0028226B" w:rsidRDefault="00321AC1" w:rsidP="00403126">
      <w:pPr>
        <w:pStyle w:val="Legenda"/>
        <w:keepNext/>
        <w:rPr>
          <w:rFonts w:ascii="Arial" w:hAnsi="Arial" w:cs="Arial"/>
          <w:b/>
          <w:bCs/>
          <w:i w:val="0"/>
          <w:iCs w:val="0"/>
          <w:color w:val="000000" w:themeColor="text1"/>
          <w:sz w:val="24"/>
          <w:szCs w:val="24"/>
        </w:rPr>
      </w:pPr>
      <w:bookmarkStart w:id="63" w:name="_Toc219369273"/>
      <w:r w:rsidRPr="0028226B">
        <w:rPr>
          <w:rFonts w:ascii="Arial" w:hAnsi="Arial" w:cs="Arial"/>
          <w:b/>
          <w:bCs/>
          <w:i w:val="0"/>
          <w:iCs w:val="0"/>
          <w:color w:val="000000" w:themeColor="text1"/>
          <w:sz w:val="24"/>
          <w:szCs w:val="24"/>
        </w:rPr>
        <w:t xml:space="preserve">Wykres </w:t>
      </w:r>
      <w:r w:rsidRPr="0028226B">
        <w:rPr>
          <w:rFonts w:ascii="Arial" w:hAnsi="Arial" w:cs="Arial"/>
          <w:b/>
          <w:bCs/>
          <w:i w:val="0"/>
          <w:iCs w:val="0"/>
          <w:color w:val="000000" w:themeColor="text1"/>
          <w:sz w:val="24"/>
          <w:szCs w:val="24"/>
        </w:rPr>
        <w:fldChar w:fldCharType="begin"/>
      </w:r>
      <w:r w:rsidRPr="0028226B">
        <w:rPr>
          <w:rFonts w:ascii="Arial" w:hAnsi="Arial" w:cs="Arial"/>
          <w:b/>
          <w:bCs/>
          <w:i w:val="0"/>
          <w:iCs w:val="0"/>
          <w:color w:val="000000" w:themeColor="text1"/>
          <w:sz w:val="24"/>
          <w:szCs w:val="24"/>
        </w:rPr>
        <w:instrText xml:space="preserve"> SEQ Wykres \* ARABIC </w:instrText>
      </w:r>
      <w:r w:rsidRPr="0028226B">
        <w:rPr>
          <w:rFonts w:ascii="Arial" w:hAnsi="Arial" w:cs="Arial"/>
          <w:b/>
          <w:bCs/>
          <w:i w:val="0"/>
          <w:iCs w:val="0"/>
          <w:color w:val="000000" w:themeColor="text1"/>
          <w:sz w:val="24"/>
          <w:szCs w:val="24"/>
        </w:rPr>
        <w:fldChar w:fldCharType="separate"/>
      </w:r>
      <w:r w:rsidR="0055789E">
        <w:rPr>
          <w:rFonts w:ascii="Arial" w:hAnsi="Arial" w:cs="Arial"/>
          <w:b/>
          <w:bCs/>
          <w:i w:val="0"/>
          <w:iCs w:val="0"/>
          <w:noProof/>
          <w:color w:val="000000" w:themeColor="text1"/>
          <w:sz w:val="24"/>
          <w:szCs w:val="24"/>
        </w:rPr>
        <w:t>47</w:t>
      </w:r>
      <w:r w:rsidRPr="0028226B">
        <w:rPr>
          <w:rFonts w:ascii="Arial" w:hAnsi="Arial" w:cs="Arial"/>
          <w:b/>
          <w:bCs/>
          <w:i w:val="0"/>
          <w:iCs w:val="0"/>
          <w:color w:val="000000" w:themeColor="text1"/>
          <w:sz w:val="24"/>
          <w:szCs w:val="24"/>
        </w:rPr>
        <w:fldChar w:fldCharType="end"/>
      </w:r>
      <w:r w:rsidRPr="0028226B">
        <w:rPr>
          <w:rFonts w:ascii="Arial" w:hAnsi="Arial" w:cs="Arial"/>
          <w:b/>
          <w:bCs/>
          <w:i w:val="0"/>
          <w:iCs w:val="0"/>
          <w:color w:val="000000" w:themeColor="text1"/>
          <w:sz w:val="24"/>
          <w:szCs w:val="24"/>
        </w:rPr>
        <w:t xml:space="preserve">. </w:t>
      </w:r>
      <w:r w:rsidR="00403126" w:rsidRPr="0028226B">
        <w:rPr>
          <w:rFonts w:ascii="Arial" w:hAnsi="Arial" w:cs="Arial"/>
          <w:b/>
          <w:bCs/>
          <w:i w:val="0"/>
          <w:iCs w:val="0"/>
          <w:color w:val="000000" w:themeColor="text1"/>
          <w:sz w:val="24"/>
          <w:szCs w:val="24"/>
        </w:rPr>
        <w:t xml:space="preserve">P32. Z jakich powodów uważa Pan(i), że trudno jest uzyskać dofinansowanie z Unii Europejskiej? </w:t>
      </w:r>
      <w:r w:rsidRPr="0028226B">
        <w:rPr>
          <w:rFonts w:ascii="Arial" w:hAnsi="Arial" w:cs="Arial"/>
          <w:b/>
          <w:bCs/>
          <w:i w:val="0"/>
          <w:iCs w:val="0"/>
          <w:color w:val="000000" w:themeColor="text1"/>
          <w:sz w:val="24"/>
          <w:szCs w:val="24"/>
        </w:rPr>
        <w:t xml:space="preserve"> (N=127)</w:t>
      </w:r>
      <w:bookmarkEnd w:id="63"/>
    </w:p>
    <w:p w14:paraId="298BE700" w14:textId="7729B567" w:rsidR="00C700F5" w:rsidRPr="0028226B" w:rsidRDefault="00C700F5" w:rsidP="00672A70">
      <w:pPr>
        <w:spacing w:after="0"/>
        <w:rPr>
          <w:rFonts w:ascii="Arial" w:hAnsi="Arial" w:cs="Arial"/>
          <w:color w:val="FFFFFF" w:themeColor="background1"/>
          <w:sz w:val="24"/>
          <w:szCs w:val="24"/>
        </w:rPr>
      </w:pPr>
      <w:r w:rsidRPr="0028226B">
        <w:rPr>
          <w:rFonts w:ascii="Arial" w:hAnsi="Arial" w:cs="Arial"/>
          <w:noProof/>
          <w:sz w:val="24"/>
          <w:szCs w:val="24"/>
        </w:rPr>
        <w:drawing>
          <wp:inline distT="0" distB="0" distL="0" distR="0" wp14:anchorId="1621186C" wp14:editId="34E11414">
            <wp:extent cx="5760720" cy="3345815"/>
            <wp:effectExtent l="0" t="0" r="0" b="6985"/>
            <wp:docPr id="2140826056" name="Wykres 1" descr="Wykres poziomy przedstawia odpowiedzi respondentów na pytanie „Dzięki Funduszom Europejskim mogę…”, na podstawie badania N=393. Pokazano dwanaście najczęściej wskazywanych korzyści, uporządkowanych malejąco według odsetka odpowiedzi.&#10;&#10;Najczęściej wskazywana korzyść to „czuć się bezpieczniej i mieć większy spokój” – 23%. Kolejne to: „korzystać z nowych usług, inwestycji i technologii” – 16%, „rozwijać się zawodowo i podnosić kwalifikacje” – 12%, „korzystać z edukacji i szkoleń” – 11% oraz „wygodniej się przemieszczać dzięki lepszemu transportowi” – 10%. Wskazania na poziomie 6% obejmują „pracować w lepszych warunkach” oraz „rozwijać firmę lub gospodarstwo i poprawiać finanse”. Po 5% uzyskały odpowiedzi: „korzystać z lepszego otoczenia i środowiska publicznego” oraz „poprawić warunki mieszkaniowe i energetyczne”. Rzadziej wybierane możliwości to „lepiej łączyć życie rodzinne i czas wolny” (3%), „korzystać z usług zdrowotnych i specjalistów” (2%) oraz „zdobyć lub utrzymać stabilną pracę” (2%). Wykres obrazuje, że dominują deklaracje związane z poczuciem bezpieczeństwa, dostępem do nowoczesnych usług oraz rozwojem zawodowym."/>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14:paraId="401FFEB7" w14:textId="09CEDECA" w:rsidR="00321AC1" w:rsidRDefault="00C700F5" w:rsidP="00321AC1">
      <w:pPr>
        <w:spacing w:before="240"/>
        <w:rPr>
          <w:rFonts w:ascii="Arial" w:hAnsi="Arial" w:cs="Arial"/>
          <w:sz w:val="24"/>
          <w:szCs w:val="24"/>
        </w:rPr>
      </w:pPr>
      <w:r w:rsidRPr="00672A70">
        <w:rPr>
          <w:rFonts w:ascii="Arial" w:hAnsi="Arial" w:cs="Arial"/>
          <w:sz w:val="24"/>
          <w:szCs w:val="24"/>
        </w:rPr>
        <w:t>Źródło: Opracowano na podstawie badania CAPI</w:t>
      </w:r>
      <w:r w:rsidR="008911AA">
        <w:rPr>
          <w:rFonts w:ascii="Arial" w:hAnsi="Arial" w:cs="Arial"/>
          <w:sz w:val="24"/>
          <w:szCs w:val="24"/>
        </w:rPr>
        <w:t>; odpowiadający: znający określenie FE lub FU, potrafiący wymienić przykłady</w:t>
      </w:r>
    </w:p>
    <w:p w14:paraId="1DF133F8" w14:textId="267B86B4" w:rsidR="00C700F5" w:rsidRPr="0028226B" w:rsidRDefault="00321AC1" w:rsidP="00321AC1">
      <w:pPr>
        <w:shd w:val="clear" w:color="auto" w:fill="061A3D"/>
        <w:rPr>
          <w:rFonts w:ascii="Arial" w:hAnsi="Arial" w:cs="Arial"/>
          <w:b/>
          <w:bCs/>
          <w:sz w:val="24"/>
          <w:szCs w:val="24"/>
        </w:rPr>
      </w:pPr>
      <w:r w:rsidRPr="0028226B">
        <w:rPr>
          <w:rFonts w:ascii="Arial" w:hAnsi="Arial" w:cs="Arial"/>
          <w:b/>
          <w:bCs/>
          <w:sz w:val="24"/>
          <w:szCs w:val="24"/>
        </w:rPr>
        <w:t>Wizerunek Funduszy Europejskich</w:t>
      </w:r>
    </w:p>
    <w:p w14:paraId="35A2ADEE" w14:textId="41213AB6" w:rsidR="001112D9" w:rsidRPr="00672A70" w:rsidRDefault="00CC49DF" w:rsidP="00C0187D">
      <w:pPr>
        <w:spacing w:line="360" w:lineRule="auto"/>
        <w:rPr>
          <w:rFonts w:ascii="Arial" w:hAnsi="Arial" w:cs="Arial"/>
          <w:noProof/>
          <w:sz w:val="24"/>
          <w:szCs w:val="24"/>
        </w:rPr>
      </w:pPr>
      <w:r>
        <w:rPr>
          <w:rFonts w:ascii="Arial" w:hAnsi="Arial" w:cs="Arial"/>
          <w:noProof/>
          <w:sz w:val="24"/>
          <w:szCs w:val="24"/>
        </w:rPr>
        <w:t>Osoby, które zadeklarowały, że dostrzegają zmiany w swoim najbliższym otoczeniu dzięki wykorzyst</w:t>
      </w:r>
      <w:r w:rsidR="00F15117">
        <w:rPr>
          <w:rFonts w:ascii="Arial" w:hAnsi="Arial" w:cs="Arial"/>
          <w:noProof/>
          <w:sz w:val="24"/>
          <w:szCs w:val="24"/>
        </w:rPr>
        <w:t>yw</w:t>
      </w:r>
      <w:r>
        <w:rPr>
          <w:rFonts w:ascii="Arial" w:hAnsi="Arial" w:cs="Arial"/>
          <w:noProof/>
          <w:sz w:val="24"/>
          <w:szCs w:val="24"/>
        </w:rPr>
        <w:t xml:space="preserve">aniu </w:t>
      </w:r>
      <w:r w:rsidR="00F15117">
        <w:rPr>
          <w:rFonts w:ascii="Arial" w:hAnsi="Arial" w:cs="Arial"/>
          <w:noProof/>
          <w:sz w:val="24"/>
          <w:szCs w:val="24"/>
        </w:rPr>
        <w:t>FE, zostały poproszone o dokończenie zdania: „dzięki Funduszom Europejskim mogę….”. N</w:t>
      </w:r>
      <w:r w:rsidR="01B0CBF3" w:rsidRPr="00672A70">
        <w:rPr>
          <w:rFonts w:ascii="Arial" w:hAnsi="Arial" w:cs="Arial"/>
          <w:noProof/>
          <w:sz w:val="24"/>
          <w:szCs w:val="24"/>
        </w:rPr>
        <w:t>ajczęściej pojawi</w:t>
      </w:r>
      <w:r w:rsidR="00F15117">
        <w:rPr>
          <w:rFonts w:ascii="Arial" w:hAnsi="Arial" w:cs="Arial"/>
          <w:noProof/>
          <w:sz w:val="24"/>
          <w:szCs w:val="24"/>
        </w:rPr>
        <w:t>ły</w:t>
      </w:r>
      <w:r w:rsidR="01B0CBF3" w:rsidRPr="00672A70">
        <w:rPr>
          <w:rFonts w:ascii="Arial" w:hAnsi="Arial" w:cs="Arial"/>
          <w:noProof/>
          <w:sz w:val="24"/>
          <w:szCs w:val="24"/>
        </w:rPr>
        <w:t xml:space="preserve"> się wskazani</w:t>
      </w:r>
      <w:r w:rsidR="00F15117">
        <w:rPr>
          <w:rFonts w:ascii="Arial" w:hAnsi="Arial" w:cs="Arial"/>
          <w:noProof/>
          <w:sz w:val="24"/>
          <w:szCs w:val="24"/>
        </w:rPr>
        <w:t>a</w:t>
      </w:r>
      <w:r w:rsidR="01B0CBF3" w:rsidRPr="00672A70">
        <w:rPr>
          <w:rFonts w:ascii="Arial" w:hAnsi="Arial" w:cs="Arial"/>
          <w:noProof/>
          <w:sz w:val="24"/>
          <w:szCs w:val="24"/>
        </w:rPr>
        <w:t xml:space="preserve"> dotyczące poprawy codziennego funkcjonowania i poczucia stabilności</w:t>
      </w:r>
      <w:r w:rsidR="00F15117">
        <w:rPr>
          <w:rFonts w:ascii="Arial" w:hAnsi="Arial" w:cs="Arial"/>
          <w:noProof/>
          <w:sz w:val="24"/>
          <w:szCs w:val="24"/>
        </w:rPr>
        <w:t xml:space="preserve"> (23%)</w:t>
      </w:r>
      <w:r w:rsidR="01B0CBF3" w:rsidRPr="00672A70">
        <w:rPr>
          <w:rFonts w:ascii="Arial" w:hAnsi="Arial" w:cs="Arial"/>
          <w:noProof/>
          <w:sz w:val="24"/>
          <w:szCs w:val="24"/>
        </w:rPr>
        <w:t xml:space="preserve">. </w:t>
      </w:r>
      <w:r w:rsidR="00F15117">
        <w:rPr>
          <w:rFonts w:ascii="Arial" w:hAnsi="Arial" w:cs="Arial"/>
          <w:noProof/>
          <w:sz w:val="24"/>
          <w:szCs w:val="24"/>
        </w:rPr>
        <w:t xml:space="preserve">FE umożliwiły również badanym </w:t>
      </w:r>
      <w:r w:rsidR="00C774B6">
        <w:rPr>
          <w:rFonts w:ascii="Arial" w:hAnsi="Arial" w:cs="Arial"/>
          <w:noProof/>
          <w:sz w:val="24"/>
          <w:szCs w:val="24"/>
        </w:rPr>
        <w:t>k</w:t>
      </w:r>
      <w:r w:rsidR="00F15117" w:rsidRPr="00F15117">
        <w:rPr>
          <w:rFonts w:ascii="Arial" w:hAnsi="Arial" w:cs="Arial"/>
          <w:noProof/>
          <w:sz w:val="24"/>
          <w:szCs w:val="24"/>
        </w:rPr>
        <w:t>orzystanie z nowych usług, inwestycji i technologii</w:t>
      </w:r>
      <w:r w:rsidR="00F15117">
        <w:rPr>
          <w:rFonts w:ascii="Arial" w:hAnsi="Arial" w:cs="Arial"/>
          <w:noProof/>
          <w:sz w:val="24"/>
          <w:szCs w:val="24"/>
        </w:rPr>
        <w:t xml:space="preserve"> (16%)</w:t>
      </w:r>
      <w:r w:rsidR="00C774B6">
        <w:rPr>
          <w:rFonts w:ascii="Arial" w:hAnsi="Arial" w:cs="Arial"/>
          <w:noProof/>
          <w:sz w:val="24"/>
          <w:szCs w:val="24"/>
        </w:rPr>
        <w:t xml:space="preserve">,  </w:t>
      </w:r>
      <w:r w:rsidR="01B0CBF3" w:rsidRPr="00672A70">
        <w:rPr>
          <w:rFonts w:ascii="Arial" w:hAnsi="Arial" w:cs="Arial"/>
          <w:noProof/>
          <w:sz w:val="24"/>
          <w:szCs w:val="24"/>
        </w:rPr>
        <w:t>rozw</w:t>
      </w:r>
      <w:r w:rsidR="00C774B6">
        <w:rPr>
          <w:rFonts w:ascii="Arial" w:hAnsi="Arial" w:cs="Arial"/>
          <w:noProof/>
          <w:sz w:val="24"/>
          <w:szCs w:val="24"/>
        </w:rPr>
        <w:t>ijanie</w:t>
      </w:r>
      <w:r w:rsidR="01B0CBF3" w:rsidRPr="00672A70">
        <w:rPr>
          <w:rFonts w:ascii="Arial" w:hAnsi="Arial" w:cs="Arial"/>
          <w:noProof/>
          <w:sz w:val="24"/>
          <w:szCs w:val="24"/>
        </w:rPr>
        <w:t xml:space="preserve"> kompetencji i kwalifikacji zawodowych (</w:t>
      </w:r>
      <w:r w:rsidR="00C646D3">
        <w:rPr>
          <w:rFonts w:ascii="Arial" w:hAnsi="Arial" w:cs="Arial"/>
          <w:noProof/>
          <w:sz w:val="24"/>
          <w:szCs w:val="24"/>
        </w:rPr>
        <w:t>12</w:t>
      </w:r>
      <w:r w:rsidR="01B0CBF3" w:rsidRPr="00672A70">
        <w:rPr>
          <w:rFonts w:ascii="Arial" w:hAnsi="Arial" w:cs="Arial"/>
          <w:noProof/>
          <w:sz w:val="24"/>
          <w:szCs w:val="24"/>
        </w:rPr>
        <w:t xml:space="preserve">%) oraz </w:t>
      </w:r>
      <w:r w:rsidR="00C774B6">
        <w:rPr>
          <w:rFonts w:ascii="Arial" w:hAnsi="Arial" w:cs="Arial"/>
          <w:noProof/>
          <w:sz w:val="24"/>
          <w:szCs w:val="24"/>
        </w:rPr>
        <w:t xml:space="preserve">dały </w:t>
      </w:r>
      <w:r w:rsidR="01B0CBF3" w:rsidRPr="00672A70">
        <w:rPr>
          <w:rFonts w:ascii="Arial" w:hAnsi="Arial" w:cs="Arial"/>
          <w:noProof/>
          <w:sz w:val="24"/>
          <w:szCs w:val="24"/>
        </w:rPr>
        <w:t>dostęp do edukacji i szkoleń (</w:t>
      </w:r>
      <w:r w:rsidR="00C646D3">
        <w:rPr>
          <w:rFonts w:ascii="Arial" w:hAnsi="Arial" w:cs="Arial"/>
          <w:noProof/>
          <w:sz w:val="24"/>
          <w:szCs w:val="24"/>
        </w:rPr>
        <w:t>11</w:t>
      </w:r>
      <w:r w:rsidR="01B0CBF3" w:rsidRPr="00672A70">
        <w:rPr>
          <w:rFonts w:ascii="Arial" w:hAnsi="Arial" w:cs="Arial"/>
          <w:noProof/>
          <w:sz w:val="24"/>
          <w:szCs w:val="24"/>
        </w:rPr>
        <w:t>%).</w:t>
      </w:r>
    </w:p>
    <w:p w14:paraId="3CF750CA" w14:textId="32D630FC" w:rsidR="001112D9" w:rsidRPr="00672A70" w:rsidRDefault="00C774B6" w:rsidP="00C0187D">
      <w:pPr>
        <w:spacing w:line="360" w:lineRule="auto"/>
        <w:rPr>
          <w:rFonts w:ascii="Arial" w:hAnsi="Arial" w:cs="Arial"/>
          <w:noProof/>
          <w:sz w:val="24"/>
          <w:szCs w:val="24"/>
        </w:rPr>
      </w:pPr>
      <w:r>
        <w:rPr>
          <w:rFonts w:ascii="Arial" w:hAnsi="Arial" w:cs="Arial"/>
          <w:noProof/>
          <w:sz w:val="24"/>
          <w:szCs w:val="24"/>
        </w:rPr>
        <w:t xml:space="preserve">Dzięki </w:t>
      </w:r>
      <w:r w:rsidR="001112D9" w:rsidRPr="00672A70">
        <w:rPr>
          <w:rFonts w:ascii="Arial" w:hAnsi="Arial" w:cs="Arial"/>
          <w:noProof/>
          <w:sz w:val="24"/>
          <w:szCs w:val="24"/>
        </w:rPr>
        <w:t>Fundusz</w:t>
      </w:r>
      <w:r>
        <w:rPr>
          <w:rFonts w:ascii="Arial" w:hAnsi="Arial" w:cs="Arial"/>
          <w:noProof/>
          <w:sz w:val="24"/>
          <w:szCs w:val="24"/>
        </w:rPr>
        <w:t>om</w:t>
      </w:r>
      <w:r w:rsidR="001112D9" w:rsidRPr="00672A70">
        <w:rPr>
          <w:rFonts w:ascii="Arial" w:hAnsi="Arial" w:cs="Arial"/>
          <w:noProof/>
          <w:sz w:val="24"/>
          <w:szCs w:val="24"/>
        </w:rPr>
        <w:t xml:space="preserve"> </w:t>
      </w:r>
      <w:r>
        <w:rPr>
          <w:rFonts w:ascii="Arial" w:hAnsi="Arial" w:cs="Arial"/>
          <w:noProof/>
          <w:sz w:val="24"/>
          <w:szCs w:val="24"/>
        </w:rPr>
        <w:t>E</w:t>
      </w:r>
      <w:r w:rsidR="001112D9" w:rsidRPr="00672A70">
        <w:rPr>
          <w:rFonts w:ascii="Arial" w:hAnsi="Arial" w:cs="Arial"/>
          <w:noProof/>
          <w:sz w:val="24"/>
          <w:szCs w:val="24"/>
        </w:rPr>
        <w:t>uropejski</w:t>
      </w:r>
      <w:r>
        <w:rPr>
          <w:rFonts w:ascii="Arial" w:hAnsi="Arial" w:cs="Arial"/>
          <w:noProof/>
          <w:sz w:val="24"/>
          <w:szCs w:val="24"/>
        </w:rPr>
        <w:t>m respondenci mogą wygodniej się przemieszczać (</w:t>
      </w:r>
      <w:r w:rsidR="00C646D3">
        <w:rPr>
          <w:rFonts w:ascii="Arial" w:hAnsi="Arial" w:cs="Arial"/>
          <w:noProof/>
          <w:sz w:val="24"/>
          <w:szCs w:val="24"/>
        </w:rPr>
        <w:t>10</w:t>
      </w:r>
      <w:r w:rsidR="001112D9" w:rsidRPr="00672A70">
        <w:rPr>
          <w:rFonts w:ascii="Arial" w:hAnsi="Arial" w:cs="Arial"/>
          <w:noProof/>
          <w:sz w:val="24"/>
          <w:szCs w:val="24"/>
        </w:rPr>
        <w:t>%</w:t>
      </w:r>
      <w:r>
        <w:rPr>
          <w:rFonts w:ascii="Arial" w:hAnsi="Arial" w:cs="Arial"/>
          <w:noProof/>
          <w:sz w:val="24"/>
          <w:szCs w:val="24"/>
        </w:rPr>
        <w:t>), mają lepsze warunki pracy</w:t>
      </w:r>
      <w:r w:rsidR="009F67FD">
        <w:rPr>
          <w:rFonts w:ascii="Arial" w:hAnsi="Arial" w:cs="Arial"/>
          <w:noProof/>
          <w:sz w:val="24"/>
          <w:szCs w:val="24"/>
        </w:rPr>
        <w:t xml:space="preserve"> </w:t>
      </w:r>
      <w:r>
        <w:rPr>
          <w:rFonts w:ascii="Arial" w:hAnsi="Arial" w:cs="Arial"/>
          <w:noProof/>
          <w:sz w:val="24"/>
          <w:szCs w:val="24"/>
        </w:rPr>
        <w:t>(</w:t>
      </w:r>
      <w:r w:rsidR="001112D9" w:rsidRPr="00672A70">
        <w:rPr>
          <w:rFonts w:ascii="Arial" w:hAnsi="Arial" w:cs="Arial"/>
          <w:noProof/>
          <w:sz w:val="24"/>
          <w:szCs w:val="24"/>
        </w:rPr>
        <w:t>6%</w:t>
      </w:r>
      <w:r>
        <w:rPr>
          <w:rFonts w:ascii="Arial" w:hAnsi="Arial" w:cs="Arial"/>
          <w:noProof/>
          <w:sz w:val="24"/>
          <w:szCs w:val="24"/>
        </w:rPr>
        <w:t>) oraz pomogły rozwinąć firmę, gospodarstwo lub ogólnie poprawiły sytuację finansową</w:t>
      </w:r>
      <w:r w:rsidR="001112D9" w:rsidRPr="00672A70">
        <w:rPr>
          <w:rFonts w:ascii="Arial" w:hAnsi="Arial" w:cs="Arial"/>
          <w:noProof/>
          <w:sz w:val="24"/>
          <w:szCs w:val="24"/>
        </w:rPr>
        <w:t xml:space="preserve"> </w:t>
      </w:r>
      <w:r>
        <w:rPr>
          <w:rFonts w:ascii="Arial" w:hAnsi="Arial" w:cs="Arial"/>
          <w:noProof/>
          <w:sz w:val="24"/>
          <w:szCs w:val="24"/>
        </w:rPr>
        <w:t>(</w:t>
      </w:r>
      <w:r w:rsidR="00C646D3">
        <w:rPr>
          <w:rFonts w:ascii="Arial" w:hAnsi="Arial" w:cs="Arial"/>
          <w:noProof/>
          <w:sz w:val="24"/>
          <w:szCs w:val="24"/>
        </w:rPr>
        <w:t>6</w:t>
      </w:r>
      <w:r w:rsidR="001112D9" w:rsidRPr="00672A70">
        <w:rPr>
          <w:rFonts w:ascii="Arial" w:hAnsi="Arial" w:cs="Arial"/>
          <w:noProof/>
          <w:sz w:val="24"/>
          <w:szCs w:val="24"/>
        </w:rPr>
        <w:t>%</w:t>
      </w:r>
      <w:r>
        <w:rPr>
          <w:rFonts w:ascii="Arial" w:hAnsi="Arial" w:cs="Arial"/>
          <w:noProof/>
          <w:sz w:val="24"/>
          <w:szCs w:val="24"/>
        </w:rPr>
        <w:t>).</w:t>
      </w:r>
      <w:r w:rsidR="001112D9" w:rsidRPr="00672A70">
        <w:rPr>
          <w:rFonts w:ascii="Arial" w:hAnsi="Arial" w:cs="Arial"/>
          <w:noProof/>
          <w:sz w:val="24"/>
          <w:szCs w:val="24"/>
        </w:rPr>
        <w:t xml:space="preserve"> Wskazania dotyczące usług zdrowotnych (</w:t>
      </w:r>
      <w:r w:rsidR="00C646D3">
        <w:rPr>
          <w:rFonts w:ascii="Arial" w:hAnsi="Arial" w:cs="Arial"/>
          <w:noProof/>
          <w:sz w:val="24"/>
          <w:szCs w:val="24"/>
        </w:rPr>
        <w:t>2</w:t>
      </w:r>
      <w:r w:rsidR="001112D9" w:rsidRPr="00672A70">
        <w:rPr>
          <w:rFonts w:ascii="Arial" w:hAnsi="Arial" w:cs="Arial"/>
          <w:noProof/>
          <w:sz w:val="24"/>
          <w:szCs w:val="24"/>
        </w:rPr>
        <w:t>%), życia rodzinnego i czasu wolnego (</w:t>
      </w:r>
      <w:r w:rsidR="00C646D3">
        <w:rPr>
          <w:rFonts w:ascii="Arial" w:hAnsi="Arial" w:cs="Arial"/>
          <w:noProof/>
          <w:sz w:val="24"/>
          <w:szCs w:val="24"/>
        </w:rPr>
        <w:t>3</w:t>
      </w:r>
      <w:r w:rsidR="001112D9" w:rsidRPr="00672A70">
        <w:rPr>
          <w:rFonts w:ascii="Arial" w:hAnsi="Arial" w:cs="Arial"/>
          <w:noProof/>
          <w:sz w:val="24"/>
          <w:szCs w:val="24"/>
        </w:rPr>
        <w:t>%) oraz warunków mieszkaniowych i energetycznych (</w:t>
      </w:r>
      <w:r w:rsidR="00C646D3">
        <w:rPr>
          <w:rFonts w:ascii="Arial" w:hAnsi="Arial" w:cs="Arial"/>
          <w:noProof/>
          <w:sz w:val="24"/>
          <w:szCs w:val="24"/>
        </w:rPr>
        <w:t>5</w:t>
      </w:r>
      <w:r w:rsidR="001112D9" w:rsidRPr="00672A70">
        <w:rPr>
          <w:rFonts w:ascii="Arial" w:hAnsi="Arial" w:cs="Arial"/>
          <w:noProof/>
          <w:sz w:val="24"/>
          <w:szCs w:val="24"/>
        </w:rPr>
        <w:t>%) pokazują, że środki unijne</w:t>
      </w:r>
      <w:r w:rsidR="009F67FD">
        <w:rPr>
          <w:rFonts w:ascii="Arial" w:hAnsi="Arial" w:cs="Arial"/>
          <w:noProof/>
          <w:sz w:val="24"/>
          <w:szCs w:val="24"/>
        </w:rPr>
        <w:t xml:space="preserve">, mimo że w </w:t>
      </w:r>
      <w:r w:rsidR="009F67FD">
        <w:rPr>
          <w:rFonts w:ascii="Arial" w:hAnsi="Arial" w:cs="Arial"/>
          <w:noProof/>
          <w:sz w:val="24"/>
          <w:szCs w:val="24"/>
        </w:rPr>
        <w:lastRenderedPageBreak/>
        <w:t>mniejszym stopniu</w:t>
      </w:r>
      <w:r w:rsidR="001112D9" w:rsidRPr="00672A70">
        <w:rPr>
          <w:rFonts w:ascii="Arial" w:hAnsi="Arial" w:cs="Arial"/>
          <w:noProof/>
          <w:sz w:val="24"/>
          <w:szCs w:val="24"/>
        </w:rPr>
        <w:t xml:space="preserve"> są pojmowane jako wsparcie także w wymiarze prywatnym i domowym.</w:t>
      </w:r>
    </w:p>
    <w:p w14:paraId="76E31A3D" w14:textId="54B05A9D" w:rsidR="001112D9" w:rsidRPr="00672A70" w:rsidRDefault="00C774B6" w:rsidP="00C0187D">
      <w:pPr>
        <w:spacing w:line="360" w:lineRule="auto"/>
        <w:rPr>
          <w:rFonts w:ascii="Arial" w:hAnsi="Arial" w:cs="Arial"/>
          <w:noProof/>
          <w:sz w:val="24"/>
          <w:szCs w:val="24"/>
        </w:rPr>
      </w:pPr>
      <w:r>
        <w:rPr>
          <w:rFonts w:ascii="Arial" w:hAnsi="Arial" w:cs="Arial"/>
          <w:noProof/>
          <w:sz w:val="24"/>
          <w:szCs w:val="24"/>
        </w:rPr>
        <w:t>F</w:t>
      </w:r>
      <w:r w:rsidR="001112D9" w:rsidRPr="00672A70">
        <w:rPr>
          <w:rFonts w:ascii="Arial" w:hAnsi="Arial" w:cs="Arial"/>
          <w:noProof/>
          <w:sz w:val="24"/>
          <w:szCs w:val="24"/>
        </w:rPr>
        <w:t xml:space="preserve">undusze </w:t>
      </w:r>
      <w:r>
        <w:rPr>
          <w:rFonts w:ascii="Arial" w:hAnsi="Arial" w:cs="Arial"/>
          <w:noProof/>
          <w:sz w:val="24"/>
          <w:szCs w:val="24"/>
        </w:rPr>
        <w:t>E</w:t>
      </w:r>
      <w:r w:rsidR="001112D9" w:rsidRPr="00672A70">
        <w:rPr>
          <w:rFonts w:ascii="Arial" w:hAnsi="Arial" w:cs="Arial"/>
          <w:noProof/>
          <w:sz w:val="24"/>
          <w:szCs w:val="24"/>
        </w:rPr>
        <w:t>uropejskie wpływają na bardzo szerokie spektrum obszarów życia – od kompetencji i zdrowia, przez transport, środowisko i warunki mieszkaniowe, po poczucie stabilności i bezpieczeństwa.</w:t>
      </w:r>
    </w:p>
    <w:p w14:paraId="33758D42" w14:textId="55A37877" w:rsidR="001112D9" w:rsidRPr="0028226B" w:rsidRDefault="001112D9" w:rsidP="001112D9">
      <w:pPr>
        <w:pStyle w:val="Legenda"/>
        <w:keepNext/>
        <w:rPr>
          <w:rFonts w:ascii="Arial" w:hAnsi="Arial" w:cs="Arial"/>
          <w:b/>
          <w:bCs/>
          <w:i w:val="0"/>
          <w:iCs w:val="0"/>
          <w:color w:val="auto"/>
          <w:sz w:val="24"/>
          <w:szCs w:val="24"/>
        </w:rPr>
      </w:pPr>
      <w:bookmarkStart w:id="64" w:name="_Toc219369274"/>
      <w:r w:rsidRPr="0028226B">
        <w:rPr>
          <w:rFonts w:ascii="Arial" w:hAnsi="Arial" w:cs="Arial"/>
          <w:b/>
          <w:bCs/>
          <w:i w:val="0"/>
          <w:iCs w:val="0"/>
          <w:color w:val="auto"/>
          <w:sz w:val="24"/>
          <w:szCs w:val="24"/>
        </w:rPr>
        <w:t xml:space="preserve">Wykres </w:t>
      </w:r>
      <w:r w:rsidRPr="0028226B">
        <w:rPr>
          <w:rFonts w:ascii="Arial" w:hAnsi="Arial" w:cs="Arial"/>
          <w:b/>
          <w:bCs/>
          <w:i w:val="0"/>
          <w:iCs w:val="0"/>
          <w:color w:val="auto"/>
          <w:sz w:val="24"/>
          <w:szCs w:val="24"/>
        </w:rPr>
        <w:fldChar w:fldCharType="begin"/>
      </w:r>
      <w:r w:rsidRPr="0028226B">
        <w:rPr>
          <w:rFonts w:ascii="Arial" w:hAnsi="Arial" w:cs="Arial"/>
          <w:b/>
          <w:bCs/>
          <w:i w:val="0"/>
          <w:iCs w:val="0"/>
          <w:color w:val="auto"/>
          <w:sz w:val="24"/>
          <w:szCs w:val="24"/>
        </w:rPr>
        <w:instrText xml:space="preserve"> SEQ Wykres \* ARABIC </w:instrText>
      </w:r>
      <w:r w:rsidRPr="0028226B">
        <w:rPr>
          <w:rFonts w:ascii="Arial" w:hAnsi="Arial" w:cs="Arial"/>
          <w:b/>
          <w:bCs/>
          <w:i w:val="0"/>
          <w:iCs w:val="0"/>
          <w:color w:val="auto"/>
          <w:sz w:val="24"/>
          <w:szCs w:val="24"/>
        </w:rPr>
        <w:fldChar w:fldCharType="separate"/>
      </w:r>
      <w:r w:rsidR="0055789E">
        <w:rPr>
          <w:rFonts w:ascii="Arial" w:hAnsi="Arial" w:cs="Arial"/>
          <w:b/>
          <w:bCs/>
          <w:i w:val="0"/>
          <w:iCs w:val="0"/>
          <w:noProof/>
          <w:color w:val="auto"/>
          <w:sz w:val="24"/>
          <w:szCs w:val="24"/>
        </w:rPr>
        <w:t>48</w:t>
      </w:r>
      <w:r w:rsidRPr="0028226B">
        <w:rPr>
          <w:rFonts w:ascii="Arial" w:hAnsi="Arial" w:cs="Arial"/>
          <w:b/>
          <w:bCs/>
          <w:i w:val="0"/>
          <w:iCs w:val="0"/>
          <w:color w:val="auto"/>
          <w:sz w:val="24"/>
          <w:szCs w:val="24"/>
        </w:rPr>
        <w:fldChar w:fldCharType="end"/>
      </w:r>
      <w:r w:rsidRPr="0028226B">
        <w:rPr>
          <w:rFonts w:ascii="Arial" w:hAnsi="Arial" w:cs="Arial"/>
          <w:b/>
          <w:bCs/>
          <w:i w:val="0"/>
          <w:iCs w:val="0"/>
          <w:color w:val="auto"/>
          <w:sz w:val="24"/>
          <w:szCs w:val="24"/>
        </w:rPr>
        <w:t xml:space="preserve">. </w:t>
      </w:r>
      <w:r w:rsidR="008823EE" w:rsidRPr="0028226B">
        <w:rPr>
          <w:rFonts w:ascii="Arial" w:hAnsi="Arial" w:cs="Arial"/>
          <w:b/>
          <w:bCs/>
          <w:i w:val="0"/>
          <w:iCs w:val="0"/>
          <w:color w:val="auto"/>
          <w:sz w:val="24"/>
          <w:szCs w:val="24"/>
        </w:rPr>
        <w:t>P15. Proszę dokończyć zdanie: dzięki Funduszom Europejskim mogę:</w:t>
      </w:r>
      <w:r w:rsidR="008823EE" w:rsidRPr="0028226B" w:rsidDel="008823EE">
        <w:rPr>
          <w:rFonts w:ascii="Arial" w:hAnsi="Arial" w:cs="Arial"/>
          <w:b/>
          <w:bCs/>
          <w:i w:val="0"/>
          <w:iCs w:val="0"/>
          <w:color w:val="auto"/>
          <w:sz w:val="24"/>
          <w:szCs w:val="24"/>
        </w:rPr>
        <w:t xml:space="preserve"> </w:t>
      </w:r>
      <w:r w:rsidRPr="0028226B">
        <w:rPr>
          <w:rFonts w:ascii="Arial" w:hAnsi="Arial" w:cs="Arial"/>
          <w:b/>
          <w:bCs/>
          <w:i w:val="0"/>
          <w:iCs w:val="0"/>
          <w:color w:val="auto"/>
          <w:sz w:val="24"/>
          <w:szCs w:val="24"/>
        </w:rPr>
        <w:t>(N=393)</w:t>
      </w:r>
      <w:bookmarkEnd w:id="64"/>
    </w:p>
    <w:p w14:paraId="5871584A" w14:textId="16860DC8" w:rsidR="00D03B66" w:rsidRPr="0028226B" w:rsidRDefault="00D03B66" w:rsidP="00321AC1">
      <w:pPr>
        <w:rPr>
          <w:rFonts w:ascii="Arial" w:hAnsi="Arial" w:cs="Arial"/>
          <w:sz w:val="24"/>
          <w:szCs w:val="24"/>
        </w:rPr>
      </w:pPr>
      <w:r w:rsidRPr="0028226B">
        <w:rPr>
          <w:rFonts w:ascii="Arial" w:hAnsi="Arial" w:cs="Arial"/>
          <w:noProof/>
          <w:sz w:val="24"/>
          <w:szCs w:val="24"/>
        </w:rPr>
        <w:drawing>
          <wp:inline distT="0" distB="0" distL="0" distR="0" wp14:anchorId="2FCB6B21" wp14:editId="6344D81A">
            <wp:extent cx="5760720" cy="5387340"/>
            <wp:effectExtent l="0" t="0" r="0" b="3810"/>
            <wp:docPr id="1161605635" name="Wykres 1" descr="Wykres poziomy przedstawia odpowiedzi respondentów na pytanie „Dzięki Funduszom Europejskim mogę…”, na podstawie badania N=393. Pokazano dwanaście najczęściej wskazywanych korzyści, uporządkowanych malejąco według odsetka odpowiedzi.&#10;&#10;Najczęściej wskazywana korzyść to „czuć się bezpieczniej i mieć większy spokój” – 23%. Kolejne to: „korzystać z nowych usług, inwestycji i technologii” – 16%, „rozwijać się zawodowo i podnosić kwalifikacje” – 12%, „korzystać z edukacji i szkoleń” – 11% oraz „wygodniej się przemieszczać dzięki lepszemu transportowi” – 10%. Wskazania na poziomie 6% obejmują „pracować w lepszych warunkach” oraz „rozwijać firmę lub gospodarstwo i poprawiać finanse”. Po 5% uzyskały odpowiedzi: „korzystać z lepszego otoczenia i środowiska publicznego” oraz „poprawić warunki mieszkaniowe i energetyczne”. Rzadziej wybierane możliwości to „lepiej łączyć życie rodzinne i czas wolny” (3%), „korzystać z usług zdrowotnych i specjalistów” (2%) oraz „zdobyć lub utrzymać stabilną pracę” (2%). Wykres obrazuje, że dominują deklaracje związane z poczuciem bezpieczeństwa, dostępem do nowoczesnych usług oraz rozwojem zawodowym."/>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14:paraId="01745D0E" w14:textId="0433468A" w:rsidR="00D03B66" w:rsidRPr="00672A70" w:rsidRDefault="00D03B66" w:rsidP="00D03B66">
      <w:pPr>
        <w:spacing w:before="240"/>
        <w:rPr>
          <w:rFonts w:ascii="Arial" w:hAnsi="Arial" w:cs="Arial"/>
          <w:sz w:val="24"/>
          <w:szCs w:val="24"/>
        </w:rPr>
      </w:pPr>
      <w:r w:rsidRPr="00672A70">
        <w:rPr>
          <w:rFonts w:ascii="Arial" w:hAnsi="Arial" w:cs="Arial"/>
          <w:sz w:val="24"/>
          <w:szCs w:val="24"/>
        </w:rPr>
        <w:t>Źródło: Opracowano na podstawie badania CAPI</w:t>
      </w:r>
      <w:r w:rsidR="008911AA">
        <w:rPr>
          <w:rFonts w:ascii="Arial" w:hAnsi="Arial" w:cs="Arial"/>
          <w:sz w:val="24"/>
          <w:szCs w:val="24"/>
        </w:rPr>
        <w:t>; odpowiadający: znający określenie FE lub FU, potrafiący wymienić przykłady</w:t>
      </w:r>
    </w:p>
    <w:p w14:paraId="778738A1" w14:textId="77777777" w:rsidR="00D278D5" w:rsidRPr="00D278D5" w:rsidRDefault="00D278D5" w:rsidP="00AA4EBE">
      <w:pPr>
        <w:spacing w:line="360" w:lineRule="auto"/>
        <w:rPr>
          <w:rFonts w:ascii="Arial" w:hAnsi="Arial" w:cs="Arial"/>
          <w:sz w:val="24"/>
          <w:szCs w:val="24"/>
        </w:rPr>
      </w:pPr>
      <w:r w:rsidRPr="00D278D5">
        <w:rPr>
          <w:rFonts w:ascii="Arial" w:hAnsi="Arial" w:cs="Arial"/>
          <w:sz w:val="24"/>
          <w:szCs w:val="24"/>
        </w:rPr>
        <w:t>W 2025 roku respondenci oceniali stopień zgody z pięcioma stwierdzeniami dotyczącymi Funduszy Europejskich.</w:t>
      </w:r>
    </w:p>
    <w:p w14:paraId="19947BC4" w14:textId="2006F74A" w:rsidR="00D278D5" w:rsidRPr="00D278D5" w:rsidRDefault="00D278D5" w:rsidP="00AA4EBE">
      <w:pPr>
        <w:spacing w:line="360" w:lineRule="auto"/>
        <w:rPr>
          <w:rFonts w:ascii="Arial" w:hAnsi="Arial" w:cs="Arial"/>
          <w:sz w:val="24"/>
          <w:szCs w:val="24"/>
        </w:rPr>
      </w:pPr>
      <w:r w:rsidRPr="00D278D5">
        <w:rPr>
          <w:rFonts w:ascii="Arial" w:hAnsi="Arial" w:cs="Arial"/>
          <w:sz w:val="24"/>
          <w:szCs w:val="24"/>
        </w:rPr>
        <w:lastRenderedPageBreak/>
        <w:t xml:space="preserve">W odniesieniu do stwierdzenia, że korzystanie z Funduszy Europejskich wymaga znajomości skomplikowanych procedur, w 2025 roku przeważają odpowiedzi wskazujące na zgodę z tym poglądem. Łącznie </w:t>
      </w:r>
      <w:r w:rsidR="003F3147">
        <w:rPr>
          <w:rFonts w:ascii="Arial" w:hAnsi="Arial" w:cs="Arial"/>
          <w:sz w:val="24"/>
          <w:szCs w:val="24"/>
        </w:rPr>
        <w:t>blisko</w:t>
      </w:r>
      <w:r w:rsidR="003F3147" w:rsidRPr="00D278D5">
        <w:rPr>
          <w:rFonts w:ascii="Arial" w:hAnsi="Arial" w:cs="Arial"/>
          <w:sz w:val="24"/>
          <w:szCs w:val="24"/>
        </w:rPr>
        <w:t xml:space="preserve"> </w:t>
      </w:r>
      <w:r w:rsidRPr="00D278D5">
        <w:rPr>
          <w:rFonts w:ascii="Arial" w:hAnsi="Arial" w:cs="Arial"/>
          <w:sz w:val="24"/>
          <w:szCs w:val="24"/>
        </w:rPr>
        <w:t>połowa badanych zgadza się z tym stwierdzeniem</w:t>
      </w:r>
      <w:r w:rsidR="003F3147">
        <w:rPr>
          <w:rFonts w:ascii="Arial" w:hAnsi="Arial" w:cs="Arial"/>
          <w:sz w:val="24"/>
          <w:szCs w:val="24"/>
        </w:rPr>
        <w:t xml:space="preserve"> (46%)</w:t>
      </w:r>
      <w:proofErr w:type="gramStart"/>
      <w:r w:rsidRPr="00D278D5">
        <w:rPr>
          <w:rFonts w:ascii="Arial" w:hAnsi="Arial" w:cs="Arial"/>
          <w:sz w:val="24"/>
          <w:szCs w:val="24"/>
        </w:rPr>
        <w:t>, ,</w:t>
      </w:r>
      <w:proofErr w:type="gramEnd"/>
      <w:r w:rsidRPr="00D278D5">
        <w:rPr>
          <w:rFonts w:ascii="Arial" w:hAnsi="Arial" w:cs="Arial"/>
          <w:sz w:val="24"/>
          <w:szCs w:val="24"/>
        </w:rPr>
        <w:t xml:space="preserve"> natomiast sprzeciw deklaruje </w:t>
      </w:r>
      <w:r w:rsidR="003F3147">
        <w:rPr>
          <w:rFonts w:ascii="Arial" w:hAnsi="Arial" w:cs="Arial"/>
          <w:sz w:val="24"/>
          <w:szCs w:val="24"/>
        </w:rPr>
        <w:t>co trzeci respondent (33%</w:t>
      </w:r>
      <w:proofErr w:type="gramStart"/>
      <w:r w:rsidR="003F3147">
        <w:rPr>
          <w:rFonts w:ascii="Arial" w:hAnsi="Arial" w:cs="Arial"/>
          <w:sz w:val="24"/>
          <w:szCs w:val="24"/>
        </w:rPr>
        <w:t>).W</w:t>
      </w:r>
      <w:proofErr w:type="gramEnd"/>
      <w:r w:rsidR="003F3147">
        <w:rPr>
          <w:rFonts w:ascii="Arial" w:hAnsi="Arial" w:cs="Arial"/>
          <w:sz w:val="24"/>
          <w:szCs w:val="24"/>
        </w:rPr>
        <w:t xml:space="preserve"> porównaniu do poprzednich lat, istotnie częściej wskazywano na odpowiedź „raczej nie”, natomiast istotnie rzadziej „zdecydowanie tak”. </w:t>
      </w:r>
      <w:r w:rsidRPr="00D278D5">
        <w:rPr>
          <w:rFonts w:ascii="Arial" w:hAnsi="Arial" w:cs="Arial"/>
          <w:sz w:val="24"/>
          <w:szCs w:val="24"/>
        </w:rPr>
        <w:t xml:space="preserve"> </w:t>
      </w:r>
    </w:p>
    <w:p w14:paraId="705CCAAB" w14:textId="052AC6A5" w:rsidR="00D278D5" w:rsidRPr="00D278D5" w:rsidRDefault="00D278D5" w:rsidP="00AA4EBE">
      <w:pPr>
        <w:spacing w:line="360" w:lineRule="auto"/>
        <w:rPr>
          <w:rFonts w:ascii="Arial" w:hAnsi="Arial" w:cs="Arial"/>
          <w:sz w:val="24"/>
          <w:szCs w:val="24"/>
        </w:rPr>
      </w:pPr>
      <w:r w:rsidRPr="00D278D5">
        <w:rPr>
          <w:rFonts w:ascii="Arial" w:hAnsi="Arial" w:cs="Arial"/>
          <w:sz w:val="24"/>
          <w:szCs w:val="24"/>
        </w:rPr>
        <w:t>W przypadku opinii, że aby pozyskać środki z Funduszy Europejskich, trzeba mieć znajomości, rozkład odpowiedzi w 2025 roku jest</w:t>
      </w:r>
      <w:r w:rsidR="003F3147">
        <w:rPr>
          <w:rFonts w:ascii="Arial" w:hAnsi="Arial" w:cs="Arial"/>
          <w:sz w:val="24"/>
          <w:szCs w:val="24"/>
        </w:rPr>
        <w:t xml:space="preserve"> mniej optymistyczny niż w poprzednim roku.</w:t>
      </w:r>
      <w:r w:rsidRPr="00D278D5">
        <w:rPr>
          <w:rFonts w:ascii="Arial" w:hAnsi="Arial" w:cs="Arial"/>
          <w:sz w:val="24"/>
          <w:szCs w:val="24"/>
        </w:rPr>
        <w:t xml:space="preserve"> </w:t>
      </w:r>
      <w:r w:rsidR="003F3147">
        <w:rPr>
          <w:rFonts w:ascii="Arial" w:hAnsi="Arial" w:cs="Arial"/>
          <w:sz w:val="24"/>
          <w:szCs w:val="24"/>
        </w:rPr>
        <w:t xml:space="preserve">Blisko co drugi badany (48%) zgadza się z tym stwierdzeniem, natomiast przeciwnego </w:t>
      </w:r>
      <w:proofErr w:type="gramStart"/>
      <w:r w:rsidR="003F3147">
        <w:rPr>
          <w:rFonts w:ascii="Arial" w:hAnsi="Arial" w:cs="Arial"/>
          <w:sz w:val="24"/>
          <w:szCs w:val="24"/>
        </w:rPr>
        <w:t>zdania  jest</w:t>
      </w:r>
      <w:proofErr w:type="gramEnd"/>
      <w:r w:rsidR="003F3147">
        <w:rPr>
          <w:rFonts w:ascii="Arial" w:hAnsi="Arial" w:cs="Arial"/>
          <w:sz w:val="24"/>
          <w:szCs w:val="24"/>
        </w:rPr>
        <w:t xml:space="preserve"> co czwarty respondent (26%). </w:t>
      </w:r>
    </w:p>
    <w:p w14:paraId="32D7F25D" w14:textId="25464FB8" w:rsidR="00D278D5" w:rsidRPr="00D278D5" w:rsidRDefault="00D278D5" w:rsidP="00AA4EBE">
      <w:pPr>
        <w:spacing w:line="360" w:lineRule="auto"/>
        <w:rPr>
          <w:rFonts w:ascii="Arial" w:hAnsi="Arial" w:cs="Arial"/>
          <w:sz w:val="24"/>
          <w:szCs w:val="24"/>
        </w:rPr>
      </w:pPr>
      <w:r w:rsidRPr="00D278D5">
        <w:rPr>
          <w:rFonts w:ascii="Arial" w:hAnsi="Arial" w:cs="Arial"/>
          <w:sz w:val="24"/>
          <w:szCs w:val="24"/>
        </w:rPr>
        <w:t xml:space="preserve">W odniesieniu do stwierdzenia, że pozyskanie środków z Funduszy Europejskich wymaga korzystania z usług firm doradczych, </w:t>
      </w:r>
      <w:r w:rsidR="003F3147">
        <w:rPr>
          <w:rFonts w:ascii="Arial" w:hAnsi="Arial" w:cs="Arial"/>
          <w:sz w:val="24"/>
          <w:szCs w:val="24"/>
        </w:rPr>
        <w:t xml:space="preserve">rozkład odpowiedzi </w:t>
      </w:r>
      <w:r w:rsidRPr="00D278D5">
        <w:rPr>
          <w:rFonts w:ascii="Arial" w:hAnsi="Arial" w:cs="Arial"/>
          <w:sz w:val="24"/>
          <w:szCs w:val="24"/>
        </w:rPr>
        <w:t xml:space="preserve">w 2025 roku jest </w:t>
      </w:r>
      <w:r w:rsidR="003F3147">
        <w:rPr>
          <w:rFonts w:ascii="Arial" w:hAnsi="Arial" w:cs="Arial"/>
          <w:sz w:val="24"/>
          <w:szCs w:val="24"/>
        </w:rPr>
        <w:t>zrównoważony</w:t>
      </w:r>
      <w:r w:rsidRPr="00D278D5">
        <w:rPr>
          <w:rFonts w:ascii="Arial" w:hAnsi="Arial" w:cs="Arial"/>
          <w:sz w:val="24"/>
          <w:szCs w:val="24"/>
        </w:rPr>
        <w:t xml:space="preserve">. </w:t>
      </w:r>
      <w:r w:rsidR="003F3147">
        <w:rPr>
          <w:rFonts w:ascii="Arial" w:hAnsi="Arial" w:cs="Arial"/>
          <w:sz w:val="24"/>
          <w:szCs w:val="24"/>
        </w:rPr>
        <w:t xml:space="preserve">Z powyższym stwierdzeniem zgadza się łącznie 36% badanych, natomiast przeciwnego zdania jest 33% respondentów. </w:t>
      </w:r>
    </w:p>
    <w:p w14:paraId="2179B786" w14:textId="551359EB" w:rsidR="00D278D5" w:rsidRPr="00D278D5" w:rsidRDefault="00D278D5" w:rsidP="00AA4EBE">
      <w:pPr>
        <w:spacing w:line="360" w:lineRule="auto"/>
        <w:rPr>
          <w:rFonts w:ascii="Arial" w:hAnsi="Arial" w:cs="Arial"/>
          <w:sz w:val="24"/>
          <w:szCs w:val="24"/>
        </w:rPr>
      </w:pPr>
      <w:r w:rsidRPr="00D278D5">
        <w:rPr>
          <w:rFonts w:ascii="Arial" w:hAnsi="Arial" w:cs="Arial"/>
          <w:sz w:val="24"/>
          <w:szCs w:val="24"/>
        </w:rPr>
        <w:t xml:space="preserve">W przypadku przekonania, że Polska otrzymuje z Unii Europejskiej więcej środków, niż do niej wpłaca, w 2025 roku dominuje zgoda z tym stwierdzeniem. Udział odpowiedzi potwierdzających ten pogląd jest wyraźnie wyższy </w:t>
      </w:r>
      <w:r w:rsidR="00006E50">
        <w:rPr>
          <w:rFonts w:ascii="Arial" w:hAnsi="Arial" w:cs="Arial"/>
          <w:sz w:val="24"/>
          <w:szCs w:val="24"/>
        </w:rPr>
        <w:t xml:space="preserve">(50%) </w:t>
      </w:r>
      <w:r w:rsidRPr="00D278D5">
        <w:rPr>
          <w:rFonts w:ascii="Arial" w:hAnsi="Arial" w:cs="Arial"/>
          <w:sz w:val="24"/>
          <w:szCs w:val="24"/>
        </w:rPr>
        <w:t>niż odpowiedzi negujących</w:t>
      </w:r>
      <w:r w:rsidR="00006E50">
        <w:rPr>
          <w:rFonts w:ascii="Arial" w:hAnsi="Arial" w:cs="Arial"/>
          <w:sz w:val="24"/>
          <w:szCs w:val="24"/>
        </w:rPr>
        <w:t xml:space="preserve"> (32%). </w:t>
      </w:r>
      <w:r w:rsidRPr="00D278D5">
        <w:rPr>
          <w:rFonts w:ascii="Arial" w:hAnsi="Arial" w:cs="Arial"/>
          <w:sz w:val="24"/>
          <w:szCs w:val="24"/>
        </w:rPr>
        <w:t xml:space="preserve"> </w:t>
      </w:r>
    </w:p>
    <w:p w14:paraId="55824C12" w14:textId="14CD209D" w:rsidR="00D278D5" w:rsidRPr="00D278D5" w:rsidRDefault="00D278D5" w:rsidP="00AA4EBE">
      <w:pPr>
        <w:spacing w:line="360" w:lineRule="auto"/>
        <w:rPr>
          <w:rFonts w:ascii="Arial" w:hAnsi="Arial" w:cs="Arial"/>
          <w:sz w:val="24"/>
          <w:szCs w:val="24"/>
        </w:rPr>
      </w:pPr>
      <w:r w:rsidRPr="00D278D5">
        <w:rPr>
          <w:rFonts w:ascii="Arial" w:hAnsi="Arial" w:cs="Arial"/>
          <w:sz w:val="24"/>
          <w:szCs w:val="24"/>
        </w:rPr>
        <w:t>W odniesieniu do twierdzenia, że zwykły człowiek nie ma możliwości skorzystania z pieniędzy unijnych, w 2025 roku rozkład odpowiedzi jest</w:t>
      </w:r>
      <w:r w:rsidR="00006E50">
        <w:rPr>
          <w:rFonts w:ascii="Arial" w:hAnsi="Arial" w:cs="Arial"/>
          <w:sz w:val="24"/>
          <w:szCs w:val="24"/>
        </w:rPr>
        <w:t xml:space="preserve"> stosunkowo</w:t>
      </w:r>
      <w:r w:rsidRPr="00D278D5">
        <w:rPr>
          <w:rFonts w:ascii="Arial" w:hAnsi="Arial" w:cs="Arial"/>
          <w:sz w:val="24"/>
          <w:szCs w:val="24"/>
        </w:rPr>
        <w:t xml:space="preserve"> wyrównany. </w:t>
      </w:r>
      <w:r w:rsidR="00006E50">
        <w:rPr>
          <w:rFonts w:ascii="Arial" w:hAnsi="Arial" w:cs="Arial"/>
          <w:sz w:val="24"/>
          <w:szCs w:val="24"/>
        </w:rPr>
        <w:t xml:space="preserve">37% respondentów nie zgadza się z tym stwierdzeniem, natomiast co trzeci badany (33%) – zgadza się. Udział osób, które raczej zgadzają się z tym stwierdzeniem, jest istotnie wyższy niż w latach poprzednich. </w:t>
      </w:r>
    </w:p>
    <w:p w14:paraId="4C5F5CB5" w14:textId="77777777" w:rsidR="00D03B66" w:rsidRPr="0028226B" w:rsidRDefault="00D03B66" w:rsidP="00321AC1">
      <w:pPr>
        <w:rPr>
          <w:rFonts w:ascii="Arial" w:hAnsi="Arial" w:cs="Arial"/>
          <w:sz w:val="24"/>
          <w:szCs w:val="24"/>
        </w:rPr>
      </w:pPr>
    </w:p>
    <w:p w14:paraId="4A3CEC61" w14:textId="099745DD" w:rsidR="00D5222B" w:rsidRPr="0028226B" w:rsidRDefault="00D5222B" w:rsidP="00321AC1">
      <w:pPr>
        <w:rPr>
          <w:rFonts w:ascii="Arial" w:hAnsi="Arial" w:cs="Arial"/>
          <w:sz w:val="24"/>
          <w:szCs w:val="24"/>
        </w:rPr>
      </w:pPr>
    </w:p>
    <w:p w14:paraId="1E453376" w14:textId="0A585EB5" w:rsidR="00D5222B" w:rsidRPr="0028226B" w:rsidRDefault="00D5222B" w:rsidP="00AA4EBE">
      <w:pPr>
        <w:pStyle w:val="Legenda"/>
        <w:keepNext/>
        <w:spacing w:after="0"/>
        <w:rPr>
          <w:rFonts w:ascii="Arial" w:hAnsi="Arial" w:cs="Arial"/>
          <w:b/>
          <w:bCs/>
          <w:i w:val="0"/>
          <w:iCs w:val="0"/>
          <w:color w:val="auto"/>
          <w:sz w:val="24"/>
          <w:szCs w:val="24"/>
        </w:rPr>
      </w:pPr>
      <w:bookmarkStart w:id="65" w:name="_Toc219369275"/>
      <w:r w:rsidRPr="0028226B">
        <w:rPr>
          <w:rFonts w:ascii="Arial" w:hAnsi="Arial" w:cs="Arial"/>
          <w:b/>
          <w:bCs/>
          <w:i w:val="0"/>
          <w:iCs w:val="0"/>
          <w:color w:val="auto"/>
          <w:sz w:val="24"/>
          <w:szCs w:val="24"/>
        </w:rPr>
        <w:lastRenderedPageBreak/>
        <w:t xml:space="preserve">Wykres </w:t>
      </w:r>
      <w:r w:rsidRPr="0028226B">
        <w:rPr>
          <w:rFonts w:ascii="Arial" w:hAnsi="Arial" w:cs="Arial"/>
          <w:b/>
          <w:bCs/>
          <w:i w:val="0"/>
          <w:iCs w:val="0"/>
          <w:color w:val="auto"/>
          <w:sz w:val="24"/>
          <w:szCs w:val="24"/>
        </w:rPr>
        <w:fldChar w:fldCharType="begin"/>
      </w:r>
      <w:r w:rsidRPr="0028226B">
        <w:rPr>
          <w:rFonts w:ascii="Arial" w:hAnsi="Arial" w:cs="Arial"/>
          <w:b/>
          <w:bCs/>
          <w:i w:val="0"/>
          <w:iCs w:val="0"/>
          <w:color w:val="auto"/>
          <w:sz w:val="24"/>
          <w:szCs w:val="24"/>
        </w:rPr>
        <w:instrText xml:space="preserve"> SEQ Wykres \* ARABIC </w:instrText>
      </w:r>
      <w:r w:rsidRPr="0028226B">
        <w:rPr>
          <w:rFonts w:ascii="Arial" w:hAnsi="Arial" w:cs="Arial"/>
          <w:b/>
          <w:bCs/>
          <w:i w:val="0"/>
          <w:iCs w:val="0"/>
          <w:color w:val="auto"/>
          <w:sz w:val="24"/>
          <w:szCs w:val="24"/>
        </w:rPr>
        <w:fldChar w:fldCharType="separate"/>
      </w:r>
      <w:r w:rsidR="0055789E">
        <w:rPr>
          <w:rFonts w:ascii="Arial" w:hAnsi="Arial" w:cs="Arial"/>
          <w:b/>
          <w:bCs/>
          <w:i w:val="0"/>
          <w:iCs w:val="0"/>
          <w:noProof/>
          <w:color w:val="auto"/>
          <w:sz w:val="24"/>
          <w:szCs w:val="24"/>
        </w:rPr>
        <w:t>49</w:t>
      </w:r>
      <w:r w:rsidRPr="0028226B">
        <w:rPr>
          <w:rFonts w:ascii="Arial" w:hAnsi="Arial" w:cs="Arial"/>
          <w:b/>
          <w:bCs/>
          <w:i w:val="0"/>
          <w:iCs w:val="0"/>
          <w:color w:val="auto"/>
          <w:sz w:val="24"/>
          <w:szCs w:val="24"/>
        </w:rPr>
        <w:fldChar w:fldCharType="end"/>
      </w:r>
      <w:r w:rsidRPr="0028226B">
        <w:rPr>
          <w:rFonts w:ascii="Arial" w:hAnsi="Arial" w:cs="Arial"/>
          <w:b/>
          <w:bCs/>
          <w:i w:val="0"/>
          <w:iCs w:val="0"/>
          <w:color w:val="auto"/>
          <w:sz w:val="24"/>
          <w:szCs w:val="24"/>
        </w:rPr>
        <w:t xml:space="preserve">. </w:t>
      </w:r>
      <w:r w:rsidR="008823EE" w:rsidRPr="0028226B">
        <w:rPr>
          <w:rFonts w:ascii="Arial" w:hAnsi="Arial" w:cs="Arial"/>
          <w:b/>
          <w:bCs/>
          <w:i w:val="0"/>
          <w:iCs w:val="0"/>
          <w:color w:val="auto"/>
          <w:sz w:val="24"/>
          <w:szCs w:val="24"/>
        </w:rPr>
        <w:t xml:space="preserve">P34. Na ile zgadza się Pan(i) lub nie zgadza z poniższymi stwierdzeniami dotyczącymi Funduszy Europejskich? - </w:t>
      </w:r>
      <w:r w:rsidRPr="0028226B">
        <w:rPr>
          <w:rFonts w:ascii="Arial" w:hAnsi="Arial" w:cs="Arial"/>
          <w:b/>
          <w:bCs/>
          <w:i w:val="0"/>
          <w:iCs w:val="0"/>
          <w:color w:val="auto"/>
          <w:sz w:val="24"/>
          <w:szCs w:val="24"/>
        </w:rPr>
        <w:t>w latach 2019–2025</w:t>
      </w:r>
      <w:bookmarkEnd w:id="65"/>
    </w:p>
    <w:p w14:paraId="5D4F1993" w14:textId="07B873BE" w:rsidR="00A70B5D" w:rsidRPr="0028226B" w:rsidRDefault="00A70B5D" w:rsidP="00672A70">
      <w:pPr>
        <w:spacing w:after="0"/>
        <w:rPr>
          <w:rFonts w:ascii="Arial" w:hAnsi="Arial" w:cs="Arial"/>
          <w:sz w:val="24"/>
          <w:szCs w:val="24"/>
        </w:rPr>
      </w:pPr>
      <w:r w:rsidRPr="0028226B">
        <w:rPr>
          <w:rFonts w:ascii="Arial" w:hAnsi="Arial" w:cs="Arial"/>
          <w:noProof/>
          <w:sz w:val="24"/>
          <w:szCs w:val="24"/>
        </w:rPr>
        <w:drawing>
          <wp:inline distT="0" distB="0" distL="0" distR="0" wp14:anchorId="5CEAC451" wp14:editId="0D672F05">
            <wp:extent cx="5486400" cy="7897091"/>
            <wp:effectExtent l="0" t="0" r="0" b="0"/>
            <wp:docPr id="764312417" name="Wykres 2" descr="Wykres składa się z pięciu bloków tematycznych, a każdy z nich pokazuje rozkład odpowiedzi na stwierdzenia dotyczące Funduszy Europejskich w latach 2019–2025. Wszystkie słupki mają strukturę procentową 100% i są podzielone na pięć kategorii: „zdecydowanie się zgadzam”, „raczej się zgadzam”, „ani tak, ani nie”, „raczej się nie zgadzam”, „zdecydowanie się nie zgadzam” oraz „nie wiem”. Kolory poszczególnych odpowiedzi są stałe dla całego wykresu.&#10;&#10;1. Korzystanie z Funduszy Europejskich wymaga znajomości wielu skomplikowanych procedur (2019–2025)&#10;We wszystkich latach dominują odpowiedzi zgadzające się ze stwierdzeniem. Najwięcej zgód notuje rok 2023 (69% łącznie), najmniej rok 2019 (63%). Odsetki braku zgody są niskie i stabilne (około 10–15%). Odpowiedzi „nie wiem” stanowią 4–8%.&#10;&#10;2. Aby pozyskać środki z Funduszy Europejskich trzeba mieć znajomości (2019–2025)&#10;Poziom zgody jest wysoki we wszystkich latach – najsilniejszy w 2023 i 2024, gdzie łączna zgoda przekracza 60%. Rok 2025 przynosi spadek poziomu zgody (48%). Poziom braku zgody jest umiarkowany (15–20%), a odpowiedzi „nie wiem” mieszczą się w przedziale 6–12%.&#10;&#10;3. Aby pozyskać środki z Funduszy Europejskich trzeba korzystać z usług firm pośredniczących / doradczych (2019–2025)&#10;Rozkład odpowiedzi jest bardziej zróżnicowany niż przy wcześniejszych stwierdzeniach. W latach 2019–2022 dominują odpowiedzi zgadzające się (ok. 45–55%), lecz w 2024 i 2025 obserwujemy wyraźny wzrost odpowiedzi neutralnych i braku zgody. W 2025 roku zgoda wynosi około 36%, a brak zgody rośnie do ok. 30%. Odpowiedzi „nie wiem” utrzymują się na poziomie 10–13%.&#10;&#10;4. Polska dostaje więcej funduszy z Unii Europejskiej niż do niej odprowadza (2019–2025)&#10;W latach 2019–2021 przeważa zgoda (około 50–60%), jednak od 2022 notowany jest stopniowy spadek. W roku 2025 poziom zgody wynosi około 45%, zaś brak zgody rośnie do ok. 20–25%. Odsetek odpowiedzi „nie wiem” pozostaje stabilny na poziomie 10–13%.&#10;&#10;5. Zwykły człowiek nie ma możliwości skorzystania z pieniędzy unijnych (2019–2025)&#10;Rozkład odpowiedzi jest zrównoważony, lecz lata 2020–2023 charakteryzują się przewagą zgody (ok. 45–55%). W 2024 i 2025 spada poziom zgody, a rośnie udział odpowiedzi neutralnych i braków zgody. W 2025 roku zgoda wynosi ok. 37%, a brak zgody około 35%. Odpowiedzi „nie wiem” to ok.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14:paraId="7355C67E" w14:textId="795F720F" w:rsidR="00A70B5D" w:rsidRPr="00672A70" w:rsidRDefault="00A70B5D" w:rsidP="00A70B5D">
      <w:pPr>
        <w:spacing w:before="240"/>
        <w:rPr>
          <w:rFonts w:ascii="Arial" w:hAnsi="Arial" w:cs="Arial"/>
          <w:sz w:val="24"/>
          <w:szCs w:val="24"/>
        </w:rPr>
      </w:pPr>
      <w:r w:rsidRPr="00672A70">
        <w:rPr>
          <w:rFonts w:ascii="Arial" w:hAnsi="Arial" w:cs="Arial"/>
          <w:sz w:val="24"/>
          <w:szCs w:val="24"/>
        </w:rPr>
        <w:t>Źródło: Opracowano na podstawie badania CAPI</w:t>
      </w:r>
      <w:r w:rsidR="008911AA">
        <w:rPr>
          <w:rFonts w:ascii="Arial" w:hAnsi="Arial" w:cs="Arial"/>
          <w:sz w:val="24"/>
          <w:szCs w:val="24"/>
        </w:rPr>
        <w:t>; odpowiadający: znający określenie FE lub FU</w:t>
      </w:r>
    </w:p>
    <w:p w14:paraId="1C8D49D2" w14:textId="515B025A" w:rsidR="00A70B5D" w:rsidRPr="0028226B" w:rsidRDefault="00250A58" w:rsidP="00ED2540">
      <w:pPr>
        <w:pStyle w:val="Nagwek1"/>
        <w:shd w:val="clear" w:color="auto" w:fill="061A3D"/>
        <w:rPr>
          <w:rFonts w:ascii="Arial" w:hAnsi="Arial" w:cs="Arial"/>
          <w:b/>
          <w:bCs/>
          <w:color w:val="FFFFFF" w:themeColor="background1"/>
          <w:sz w:val="24"/>
          <w:szCs w:val="24"/>
        </w:rPr>
      </w:pPr>
      <w:bookmarkStart w:id="66" w:name="_Toc219375245"/>
      <w:r w:rsidRPr="0028226B">
        <w:rPr>
          <w:rFonts w:ascii="Arial" w:hAnsi="Arial" w:cs="Arial"/>
          <w:b/>
          <w:bCs/>
          <w:color w:val="FFFFFF" w:themeColor="background1"/>
          <w:sz w:val="24"/>
          <w:szCs w:val="24"/>
        </w:rPr>
        <w:lastRenderedPageBreak/>
        <w:t>Źródła informacji o Funduszach Europejskich</w:t>
      </w:r>
      <w:bookmarkEnd w:id="66"/>
    </w:p>
    <w:p w14:paraId="3976903E" w14:textId="77777777" w:rsidR="00250A58" w:rsidRPr="0028226B" w:rsidRDefault="00250A58" w:rsidP="00EB3494">
      <w:pPr>
        <w:spacing w:after="0"/>
        <w:rPr>
          <w:rFonts w:ascii="Arial" w:hAnsi="Arial" w:cs="Arial"/>
          <w:b/>
          <w:bCs/>
          <w:sz w:val="24"/>
          <w:szCs w:val="24"/>
        </w:rPr>
      </w:pPr>
    </w:p>
    <w:p w14:paraId="637B2817" w14:textId="70D0B095" w:rsidR="00250A58" w:rsidRPr="0028226B" w:rsidRDefault="00250A58" w:rsidP="00EB3494">
      <w:pPr>
        <w:pStyle w:val="Nagwek1"/>
        <w:shd w:val="clear" w:color="auto" w:fill="061A3D"/>
        <w:spacing w:before="0"/>
        <w:rPr>
          <w:rFonts w:ascii="Arial" w:hAnsi="Arial" w:cs="Arial"/>
          <w:b/>
          <w:bCs/>
          <w:color w:val="FFFFFF" w:themeColor="background1"/>
          <w:sz w:val="24"/>
          <w:szCs w:val="24"/>
        </w:rPr>
      </w:pPr>
      <w:bookmarkStart w:id="67" w:name="_Toc219375246"/>
      <w:r w:rsidRPr="0028226B">
        <w:rPr>
          <w:rFonts w:ascii="Arial" w:hAnsi="Arial" w:cs="Arial"/>
          <w:b/>
          <w:bCs/>
          <w:color w:val="FFFFFF" w:themeColor="background1"/>
          <w:sz w:val="24"/>
          <w:szCs w:val="24"/>
        </w:rPr>
        <w:t>Znajomość narzędzi komunikacyjnych stosowanych w działaniach promocyjno-informacyjnych</w:t>
      </w:r>
      <w:bookmarkEnd w:id="67"/>
    </w:p>
    <w:p w14:paraId="3525B7CC" w14:textId="77777777" w:rsidR="002B70A8" w:rsidRDefault="002B70A8" w:rsidP="00672A70">
      <w:pPr>
        <w:rPr>
          <w:rFonts w:ascii="Arial" w:hAnsi="Arial" w:cs="Arial"/>
          <w:sz w:val="24"/>
          <w:szCs w:val="24"/>
        </w:rPr>
      </w:pPr>
    </w:p>
    <w:p w14:paraId="09855072" w14:textId="717B80C2" w:rsidR="002B70A8" w:rsidRDefault="00B951E5" w:rsidP="00A56EAB">
      <w:pPr>
        <w:spacing w:line="360" w:lineRule="auto"/>
        <w:rPr>
          <w:rFonts w:ascii="Arial" w:hAnsi="Arial" w:cs="Arial"/>
          <w:sz w:val="24"/>
          <w:szCs w:val="24"/>
        </w:rPr>
      </w:pPr>
      <w:r w:rsidRPr="00B951E5">
        <w:rPr>
          <w:rFonts w:ascii="Arial" w:hAnsi="Arial" w:cs="Arial"/>
          <w:sz w:val="24"/>
          <w:szCs w:val="24"/>
        </w:rPr>
        <w:t>W 2025 roku 68% badanych deklaruje, że widziało wcześniej znak Funduszy Europejskich. Jednocześnie 16% respondentów wskazuje odpowiedź „nie”, a taki sam odsetek (16%) wybiera odpowiedź „nie wiem / trudno powiedzieć”, co oznacza wyraźny wzrost niepewności w porównaniu do wcześniejszych pomiarów. Odpowiedzi negatywne pozostają jednak na relatywnie niskim poziomie, a większość badanych nadal potwierdza kontakt ze znakiem Funduszy Europejskich.</w:t>
      </w:r>
    </w:p>
    <w:p w14:paraId="18C2C752" w14:textId="0202CF82" w:rsidR="00320784" w:rsidRPr="00672A70" w:rsidRDefault="00320784" w:rsidP="00672A70">
      <w:pPr>
        <w:pStyle w:val="Legenda"/>
        <w:keepNext/>
        <w:rPr>
          <w:rFonts w:ascii="Arial" w:hAnsi="Arial" w:cs="Arial"/>
          <w:b/>
          <w:bCs/>
          <w:i w:val="0"/>
          <w:iCs w:val="0"/>
          <w:sz w:val="24"/>
          <w:szCs w:val="24"/>
        </w:rPr>
      </w:pPr>
      <w:bookmarkStart w:id="68" w:name="_Toc219369276"/>
      <w:r w:rsidRPr="00672A70">
        <w:rPr>
          <w:rFonts w:ascii="Arial" w:hAnsi="Arial" w:cs="Arial"/>
          <w:b/>
          <w:bCs/>
          <w:i w:val="0"/>
          <w:iCs w:val="0"/>
          <w:color w:val="auto"/>
          <w:sz w:val="24"/>
          <w:szCs w:val="24"/>
        </w:rPr>
        <w:t xml:space="preserve">Wykres </w:t>
      </w:r>
      <w:r w:rsidRPr="00672A70">
        <w:rPr>
          <w:rFonts w:ascii="Arial" w:hAnsi="Arial" w:cs="Arial"/>
          <w:b/>
          <w:bCs/>
          <w:i w:val="0"/>
          <w:iCs w:val="0"/>
          <w:color w:val="auto"/>
          <w:sz w:val="24"/>
          <w:szCs w:val="24"/>
        </w:rPr>
        <w:fldChar w:fldCharType="begin"/>
      </w:r>
      <w:r w:rsidRPr="00672A70">
        <w:rPr>
          <w:rFonts w:ascii="Arial" w:hAnsi="Arial" w:cs="Arial"/>
          <w:b/>
          <w:bCs/>
          <w:i w:val="0"/>
          <w:iCs w:val="0"/>
          <w:color w:val="auto"/>
          <w:sz w:val="24"/>
          <w:szCs w:val="24"/>
        </w:rPr>
        <w:instrText xml:space="preserve"> SEQ Wykres \* ARABIC </w:instrText>
      </w:r>
      <w:r w:rsidRPr="00672A70">
        <w:rPr>
          <w:rFonts w:ascii="Arial" w:hAnsi="Arial" w:cs="Arial"/>
          <w:b/>
          <w:bCs/>
          <w:i w:val="0"/>
          <w:iCs w:val="0"/>
          <w:color w:val="auto"/>
          <w:sz w:val="24"/>
          <w:szCs w:val="24"/>
        </w:rPr>
        <w:fldChar w:fldCharType="separate"/>
      </w:r>
      <w:r w:rsidR="0055789E">
        <w:rPr>
          <w:rFonts w:ascii="Arial" w:hAnsi="Arial" w:cs="Arial"/>
          <w:b/>
          <w:bCs/>
          <w:i w:val="0"/>
          <w:iCs w:val="0"/>
          <w:noProof/>
          <w:color w:val="auto"/>
          <w:sz w:val="24"/>
          <w:szCs w:val="24"/>
        </w:rPr>
        <w:t>50</w:t>
      </w:r>
      <w:r w:rsidRPr="00672A70">
        <w:rPr>
          <w:rFonts w:ascii="Arial" w:hAnsi="Arial" w:cs="Arial"/>
          <w:b/>
          <w:bCs/>
          <w:i w:val="0"/>
          <w:iCs w:val="0"/>
          <w:color w:val="auto"/>
          <w:sz w:val="24"/>
          <w:szCs w:val="24"/>
        </w:rPr>
        <w:fldChar w:fldCharType="end"/>
      </w:r>
      <w:r w:rsidRPr="00672A70">
        <w:rPr>
          <w:rFonts w:ascii="Arial" w:hAnsi="Arial" w:cs="Arial"/>
          <w:b/>
          <w:bCs/>
          <w:i w:val="0"/>
          <w:iCs w:val="0"/>
          <w:color w:val="auto"/>
          <w:sz w:val="24"/>
          <w:szCs w:val="24"/>
        </w:rPr>
        <w:t>. P35. Czy widział(a) Pan(i) wcześniej ten znak? - w latach 2014–2025</w:t>
      </w:r>
      <w:bookmarkEnd w:id="68"/>
    </w:p>
    <w:p w14:paraId="78F57B01" w14:textId="7C7CC275" w:rsidR="00250A58" w:rsidRPr="0028226B" w:rsidRDefault="00250A58" w:rsidP="006009D0">
      <w:pPr>
        <w:spacing w:after="0"/>
        <w:rPr>
          <w:rFonts w:ascii="Arial" w:hAnsi="Arial" w:cs="Arial"/>
          <w:b/>
          <w:bCs/>
          <w:sz w:val="24"/>
          <w:szCs w:val="24"/>
        </w:rPr>
      </w:pPr>
      <w:r w:rsidRPr="0028226B">
        <w:rPr>
          <w:rFonts w:ascii="Arial" w:hAnsi="Arial" w:cs="Arial"/>
          <w:noProof/>
          <w:sz w:val="24"/>
          <w:szCs w:val="24"/>
        </w:rPr>
        <w:drawing>
          <wp:inline distT="0" distB="0" distL="0" distR="0" wp14:anchorId="593CEE53" wp14:editId="0B37D2FF">
            <wp:extent cx="5486400" cy="5273040"/>
            <wp:effectExtent l="0" t="0" r="0" b="0"/>
            <wp:docPr id="2131341144" name="Wykres 5" descr="Wykres słupkowy poziomy przedstawia odpowiedzi na pytanie „Czy widział(a) Pan(i) wcześniej ten znak?” w latach 2014–2025, z podziałem na trzy kategorie: „tak”, „nie” oraz „nie wiem / trudno powiedzieć”. Każdy rok pokazany jest jako jeden słupek o łącznej długości 100%. Wartości „tak” oznaczone są ciemnym granatem, „nie” kolorem czerwonym lub jasnoszarym (w zależności od roku), a „nie wiem / trudno powiedzieć” jasnoszarym.&#10;&#10;Dane wskazują wyraźny trend wzrostowy odsetka odpowiedzi „tak” – z 48% w 2014 roku do 68% w 2025, z najwyższymi wynikami 78% w 2024 i 76% w 2022. Odsetek „nie” w większości lat spada, od 49% w 2014 i 2019 do 16% w 2025. Odpowiedzi „nie wiem / trudno powiedzieć” utrzymują się na niskim poziomie, najczęściej 6–16%. W poszczególnych latach pokazano także liczebności prób (N). Wniosek główny: znajomość znaku systematycznie rośnie w całym badanym okresie."/>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14:paraId="6FB6DFD0" w14:textId="02DC5EEC" w:rsidR="006009D0" w:rsidRPr="00672A70" w:rsidRDefault="006009D0" w:rsidP="006009D0">
      <w:pPr>
        <w:rPr>
          <w:rFonts w:ascii="Arial" w:hAnsi="Arial" w:cs="Arial"/>
          <w:sz w:val="24"/>
          <w:szCs w:val="24"/>
        </w:rPr>
      </w:pPr>
      <w:r w:rsidRPr="00672A70">
        <w:rPr>
          <w:rFonts w:ascii="Arial" w:hAnsi="Arial" w:cs="Arial"/>
          <w:sz w:val="24"/>
          <w:szCs w:val="24"/>
        </w:rPr>
        <w:t>Źródło: Opracowano na podstawie badania CAPI</w:t>
      </w:r>
      <w:r w:rsidR="002532ED">
        <w:rPr>
          <w:rFonts w:ascii="Arial" w:hAnsi="Arial" w:cs="Arial"/>
          <w:sz w:val="24"/>
          <w:szCs w:val="24"/>
        </w:rPr>
        <w:t>; odpowiadający: znający określenie FE lub FU</w:t>
      </w:r>
    </w:p>
    <w:p w14:paraId="7DBBB9E8" w14:textId="582DFBAB" w:rsidR="008956F5" w:rsidRPr="00672A70" w:rsidRDefault="008956F5" w:rsidP="00C0187D">
      <w:pPr>
        <w:spacing w:line="360" w:lineRule="auto"/>
        <w:rPr>
          <w:rFonts w:ascii="Arial" w:hAnsi="Arial" w:cs="Arial"/>
          <w:sz w:val="24"/>
          <w:szCs w:val="24"/>
        </w:rPr>
      </w:pPr>
      <w:r w:rsidRPr="00672A70">
        <w:rPr>
          <w:rFonts w:ascii="Arial" w:hAnsi="Arial" w:cs="Arial"/>
          <w:sz w:val="24"/>
          <w:szCs w:val="24"/>
        </w:rPr>
        <w:lastRenderedPageBreak/>
        <w:t>Znajomość znaku Funduszy Europejskich w 2025 r. utrzymuje się na relatywnie wysokim poziomie, choć występują wyraźne różnice między grupami społeczno</w:t>
      </w:r>
      <w:r w:rsidR="005500DC">
        <w:rPr>
          <w:rFonts w:ascii="Arial" w:hAnsi="Arial" w:cs="Arial"/>
          <w:sz w:val="24"/>
          <w:szCs w:val="24"/>
        </w:rPr>
        <w:t>-</w:t>
      </w:r>
      <w:r w:rsidRPr="00672A70">
        <w:rPr>
          <w:rFonts w:ascii="Arial" w:hAnsi="Arial" w:cs="Arial"/>
          <w:sz w:val="24"/>
          <w:szCs w:val="24"/>
        </w:rPr>
        <w:t>demograficznymi. Najczęściej deklarują ją osoby młode w wieku 25–34 lata, z których aż 7</w:t>
      </w:r>
      <w:r w:rsidR="00C646D3">
        <w:rPr>
          <w:rFonts w:ascii="Arial" w:hAnsi="Arial" w:cs="Arial"/>
          <w:sz w:val="24"/>
          <w:szCs w:val="24"/>
        </w:rPr>
        <w:t>3</w:t>
      </w:r>
      <w:r w:rsidRPr="00672A70">
        <w:rPr>
          <w:rFonts w:ascii="Arial" w:hAnsi="Arial" w:cs="Arial"/>
          <w:sz w:val="24"/>
          <w:szCs w:val="24"/>
        </w:rPr>
        <w:t>% rozpoznaje znak, przy tylko 12% odpowiedzi „nie”. Podobny poziom deklarują respondenci w wieku 20–24 lata (7</w:t>
      </w:r>
      <w:r w:rsidR="00C646D3">
        <w:rPr>
          <w:rFonts w:ascii="Arial" w:hAnsi="Arial" w:cs="Arial"/>
          <w:sz w:val="24"/>
          <w:szCs w:val="24"/>
        </w:rPr>
        <w:t>1</w:t>
      </w:r>
      <w:r w:rsidRPr="00672A70">
        <w:rPr>
          <w:rFonts w:ascii="Arial" w:hAnsi="Arial" w:cs="Arial"/>
          <w:sz w:val="24"/>
          <w:szCs w:val="24"/>
        </w:rPr>
        <w:t>%). Najniższa znajomość logo występuje w grupie wieku 45–54 lata, gdzie odsetek odpowiedzi „tak” spada do 6</w:t>
      </w:r>
      <w:r w:rsidR="00C646D3">
        <w:rPr>
          <w:rFonts w:ascii="Arial" w:hAnsi="Arial" w:cs="Arial"/>
          <w:sz w:val="24"/>
          <w:szCs w:val="24"/>
        </w:rPr>
        <w:t>2</w:t>
      </w:r>
      <w:r w:rsidRPr="00672A70">
        <w:rPr>
          <w:rFonts w:ascii="Arial" w:hAnsi="Arial" w:cs="Arial"/>
          <w:sz w:val="24"/>
          <w:szCs w:val="24"/>
        </w:rPr>
        <w:t xml:space="preserve">%, a wskazania „nie” rosną do </w:t>
      </w:r>
      <w:r w:rsidR="00C646D3">
        <w:rPr>
          <w:rFonts w:ascii="Arial" w:hAnsi="Arial" w:cs="Arial"/>
          <w:sz w:val="24"/>
          <w:szCs w:val="24"/>
        </w:rPr>
        <w:t>21</w:t>
      </w:r>
      <w:r w:rsidRPr="00672A70">
        <w:rPr>
          <w:rFonts w:ascii="Arial" w:hAnsi="Arial" w:cs="Arial"/>
          <w:sz w:val="24"/>
          <w:szCs w:val="24"/>
        </w:rPr>
        <w:t>%.</w:t>
      </w:r>
    </w:p>
    <w:p w14:paraId="25D7F165" w14:textId="73FE492E" w:rsidR="008956F5" w:rsidRPr="00672A70" w:rsidRDefault="008956F5" w:rsidP="00C0187D">
      <w:pPr>
        <w:spacing w:line="360" w:lineRule="auto"/>
        <w:rPr>
          <w:rFonts w:ascii="Arial" w:hAnsi="Arial" w:cs="Arial"/>
          <w:sz w:val="24"/>
          <w:szCs w:val="24"/>
        </w:rPr>
      </w:pPr>
      <w:r w:rsidRPr="00672A70">
        <w:rPr>
          <w:rFonts w:ascii="Arial" w:hAnsi="Arial" w:cs="Arial"/>
          <w:sz w:val="24"/>
          <w:szCs w:val="24"/>
        </w:rPr>
        <w:t>Pod względem płci znajomość znaku jest bardzo zbliżona: wśród kobiet wynosi 6</w:t>
      </w:r>
      <w:r w:rsidR="00C7662A">
        <w:rPr>
          <w:rFonts w:ascii="Arial" w:hAnsi="Arial" w:cs="Arial"/>
          <w:sz w:val="24"/>
          <w:szCs w:val="24"/>
        </w:rPr>
        <w:t>7</w:t>
      </w:r>
      <w:r w:rsidRPr="00672A70">
        <w:rPr>
          <w:rFonts w:ascii="Arial" w:hAnsi="Arial" w:cs="Arial"/>
          <w:sz w:val="24"/>
          <w:szCs w:val="24"/>
        </w:rPr>
        <w:t>%, a wśród mężczyzn 6</w:t>
      </w:r>
      <w:r w:rsidR="00C646D3">
        <w:rPr>
          <w:rFonts w:ascii="Arial" w:hAnsi="Arial" w:cs="Arial"/>
          <w:sz w:val="24"/>
          <w:szCs w:val="24"/>
        </w:rPr>
        <w:t>9</w:t>
      </w:r>
      <w:r w:rsidRPr="00672A70">
        <w:rPr>
          <w:rFonts w:ascii="Arial" w:hAnsi="Arial" w:cs="Arial"/>
          <w:sz w:val="24"/>
          <w:szCs w:val="24"/>
        </w:rPr>
        <w:t>%. Minimalnie więcej kobiet niż mężczyzn deklaruje niepewność (16% wobec 17%).</w:t>
      </w:r>
    </w:p>
    <w:p w14:paraId="685469C2" w14:textId="13A9895F" w:rsidR="008956F5" w:rsidRPr="00672A70" w:rsidRDefault="008956F5" w:rsidP="00C0187D">
      <w:pPr>
        <w:spacing w:line="360" w:lineRule="auto"/>
        <w:rPr>
          <w:rFonts w:ascii="Arial" w:hAnsi="Arial" w:cs="Arial"/>
          <w:sz w:val="24"/>
          <w:szCs w:val="24"/>
        </w:rPr>
      </w:pPr>
      <w:r w:rsidRPr="00672A70">
        <w:rPr>
          <w:rFonts w:ascii="Arial" w:hAnsi="Arial" w:cs="Arial"/>
          <w:sz w:val="24"/>
          <w:szCs w:val="24"/>
        </w:rPr>
        <w:t>Wykształcenie różnicuje deklaracje słabiej niż mogłoby się wydawać. Najwyższy poziom znajomości wskazują osoby z wykształceniem średnim (71%), natomiast najniższy — respondenci z wykształceniem podstawowym (6</w:t>
      </w:r>
      <w:r w:rsidR="00C646D3">
        <w:rPr>
          <w:rFonts w:ascii="Arial" w:hAnsi="Arial" w:cs="Arial"/>
          <w:sz w:val="24"/>
          <w:szCs w:val="24"/>
        </w:rPr>
        <w:t>4</w:t>
      </w:r>
      <w:r w:rsidRPr="00672A70">
        <w:rPr>
          <w:rFonts w:ascii="Arial" w:hAnsi="Arial" w:cs="Arial"/>
          <w:sz w:val="24"/>
          <w:szCs w:val="24"/>
        </w:rPr>
        <w:t>%). W tej ostatniej grupie częściej pojawia się odpowiedź „nie wiem, trudno powiedzieć” (1</w:t>
      </w:r>
      <w:r w:rsidR="00C646D3">
        <w:rPr>
          <w:rFonts w:ascii="Arial" w:hAnsi="Arial" w:cs="Arial"/>
          <w:sz w:val="24"/>
          <w:szCs w:val="24"/>
        </w:rPr>
        <w:t>9</w:t>
      </w:r>
      <w:r w:rsidRPr="00672A70">
        <w:rPr>
          <w:rFonts w:ascii="Arial" w:hAnsi="Arial" w:cs="Arial"/>
          <w:sz w:val="24"/>
          <w:szCs w:val="24"/>
        </w:rPr>
        <w:t>%).</w:t>
      </w:r>
    </w:p>
    <w:p w14:paraId="096A2EEA" w14:textId="2BD95BA7" w:rsidR="008956F5" w:rsidRPr="00672A70" w:rsidRDefault="008956F5" w:rsidP="00C0187D">
      <w:pPr>
        <w:spacing w:line="360" w:lineRule="auto"/>
        <w:rPr>
          <w:rFonts w:ascii="Arial" w:hAnsi="Arial" w:cs="Arial"/>
          <w:sz w:val="24"/>
          <w:szCs w:val="24"/>
        </w:rPr>
      </w:pPr>
      <w:r w:rsidRPr="00672A70">
        <w:rPr>
          <w:rFonts w:ascii="Arial" w:hAnsi="Arial" w:cs="Arial"/>
          <w:sz w:val="24"/>
          <w:szCs w:val="24"/>
        </w:rPr>
        <w:t xml:space="preserve">Duże zróżnicowanie widoczne jest natomiast ze względu na wielkość miejscowości. Znak </w:t>
      </w:r>
      <w:r w:rsidR="005500DC">
        <w:rPr>
          <w:rFonts w:ascii="Arial" w:hAnsi="Arial" w:cs="Arial"/>
          <w:sz w:val="24"/>
          <w:szCs w:val="24"/>
        </w:rPr>
        <w:t xml:space="preserve">FE </w:t>
      </w:r>
      <w:r w:rsidRPr="00672A70">
        <w:rPr>
          <w:rFonts w:ascii="Arial" w:hAnsi="Arial" w:cs="Arial"/>
          <w:sz w:val="24"/>
          <w:szCs w:val="24"/>
        </w:rPr>
        <w:t>najczęściej rozpoznają mieszkańcy najmniejszych miast (do 20 tys. mieszkańców) — aż 7</w:t>
      </w:r>
      <w:r w:rsidR="00C646D3">
        <w:rPr>
          <w:rFonts w:ascii="Arial" w:hAnsi="Arial" w:cs="Arial"/>
          <w:sz w:val="24"/>
          <w:szCs w:val="24"/>
        </w:rPr>
        <w:t>9</w:t>
      </w:r>
      <w:r w:rsidRPr="00672A70">
        <w:rPr>
          <w:rFonts w:ascii="Arial" w:hAnsi="Arial" w:cs="Arial"/>
          <w:sz w:val="24"/>
          <w:szCs w:val="24"/>
        </w:rPr>
        <w:t>%, przy zaledwie 1</w:t>
      </w:r>
      <w:r w:rsidR="00C646D3">
        <w:rPr>
          <w:rFonts w:ascii="Arial" w:hAnsi="Arial" w:cs="Arial"/>
          <w:sz w:val="24"/>
          <w:szCs w:val="24"/>
        </w:rPr>
        <w:t>2</w:t>
      </w:r>
      <w:r w:rsidRPr="00672A70">
        <w:rPr>
          <w:rFonts w:ascii="Arial" w:hAnsi="Arial" w:cs="Arial"/>
          <w:sz w:val="24"/>
          <w:szCs w:val="24"/>
        </w:rPr>
        <w:t>% odpowiedzi „nie”. Najniższy poziom znajomości występuje na wsi (64%) i w miastach 20–49 tys. (6</w:t>
      </w:r>
      <w:r w:rsidR="00C7662A">
        <w:rPr>
          <w:rFonts w:ascii="Arial" w:hAnsi="Arial" w:cs="Arial"/>
          <w:sz w:val="24"/>
          <w:szCs w:val="24"/>
        </w:rPr>
        <w:t>4</w:t>
      </w:r>
      <w:r w:rsidRPr="00672A70">
        <w:rPr>
          <w:rFonts w:ascii="Arial" w:hAnsi="Arial" w:cs="Arial"/>
          <w:sz w:val="24"/>
          <w:szCs w:val="24"/>
        </w:rPr>
        <w:t>%), gdzie częściej pojawia się odpowiedź „nie wiem, trudno powiedzieć” (odpowiednio 1</w:t>
      </w:r>
      <w:r w:rsidR="00C646D3">
        <w:rPr>
          <w:rFonts w:ascii="Arial" w:hAnsi="Arial" w:cs="Arial"/>
          <w:sz w:val="24"/>
          <w:szCs w:val="24"/>
        </w:rPr>
        <w:t>7</w:t>
      </w:r>
      <w:r w:rsidRPr="00672A70">
        <w:rPr>
          <w:rFonts w:ascii="Arial" w:hAnsi="Arial" w:cs="Arial"/>
          <w:sz w:val="24"/>
          <w:szCs w:val="24"/>
        </w:rPr>
        <w:t>% i 23%).</w:t>
      </w:r>
    </w:p>
    <w:p w14:paraId="76462F08" w14:textId="0BC6B312" w:rsidR="008956F5" w:rsidRPr="0028226B" w:rsidRDefault="25D3A288" w:rsidP="7A361059">
      <w:pPr>
        <w:pStyle w:val="Legenda"/>
        <w:keepNext/>
        <w:rPr>
          <w:rFonts w:ascii="Arial" w:hAnsi="Arial" w:cs="Arial"/>
          <w:b/>
          <w:bCs/>
          <w:i w:val="0"/>
          <w:iCs w:val="0"/>
          <w:color w:val="auto"/>
          <w:sz w:val="24"/>
          <w:szCs w:val="24"/>
        </w:rPr>
      </w:pPr>
      <w:bookmarkStart w:id="69" w:name="_Toc219369277"/>
      <w:r w:rsidRPr="0028226B">
        <w:rPr>
          <w:rFonts w:ascii="Arial" w:hAnsi="Arial" w:cs="Arial"/>
          <w:b/>
          <w:bCs/>
          <w:i w:val="0"/>
          <w:iCs w:val="0"/>
          <w:color w:val="auto"/>
          <w:sz w:val="24"/>
          <w:szCs w:val="24"/>
        </w:rPr>
        <w:lastRenderedPageBreak/>
        <w:t xml:space="preserve">Wykres </w:t>
      </w:r>
      <w:r w:rsidR="008956F5" w:rsidRPr="0028226B">
        <w:rPr>
          <w:rFonts w:ascii="Arial" w:hAnsi="Arial" w:cs="Arial"/>
          <w:b/>
          <w:bCs/>
          <w:i w:val="0"/>
          <w:iCs w:val="0"/>
          <w:color w:val="auto"/>
          <w:sz w:val="24"/>
          <w:szCs w:val="24"/>
        </w:rPr>
        <w:fldChar w:fldCharType="begin"/>
      </w:r>
      <w:r w:rsidR="008956F5" w:rsidRPr="0028226B">
        <w:rPr>
          <w:rFonts w:ascii="Arial" w:hAnsi="Arial" w:cs="Arial"/>
          <w:b/>
          <w:bCs/>
          <w:i w:val="0"/>
          <w:iCs w:val="0"/>
          <w:color w:val="auto"/>
          <w:sz w:val="24"/>
          <w:szCs w:val="24"/>
        </w:rPr>
        <w:instrText xml:space="preserve"> SEQ Wykres \* ARABIC </w:instrText>
      </w:r>
      <w:r w:rsidR="008956F5" w:rsidRPr="0028226B">
        <w:rPr>
          <w:rFonts w:ascii="Arial" w:hAnsi="Arial" w:cs="Arial"/>
          <w:b/>
          <w:bCs/>
          <w:i w:val="0"/>
          <w:iCs w:val="0"/>
          <w:color w:val="auto"/>
          <w:sz w:val="24"/>
          <w:szCs w:val="24"/>
        </w:rPr>
        <w:fldChar w:fldCharType="separate"/>
      </w:r>
      <w:r w:rsidR="0055789E">
        <w:rPr>
          <w:rFonts w:ascii="Arial" w:hAnsi="Arial" w:cs="Arial"/>
          <w:b/>
          <w:bCs/>
          <w:i w:val="0"/>
          <w:iCs w:val="0"/>
          <w:noProof/>
          <w:color w:val="auto"/>
          <w:sz w:val="24"/>
          <w:szCs w:val="24"/>
        </w:rPr>
        <w:t>51</w:t>
      </w:r>
      <w:r w:rsidR="008956F5" w:rsidRPr="0028226B">
        <w:rPr>
          <w:rFonts w:ascii="Arial" w:hAnsi="Arial" w:cs="Arial"/>
          <w:b/>
          <w:bCs/>
          <w:i w:val="0"/>
          <w:iCs w:val="0"/>
          <w:color w:val="auto"/>
          <w:sz w:val="24"/>
          <w:szCs w:val="24"/>
        </w:rPr>
        <w:fldChar w:fldCharType="end"/>
      </w:r>
      <w:r w:rsidRPr="0028226B">
        <w:rPr>
          <w:rFonts w:ascii="Arial" w:hAnsi="Arial" w:cs="Arial"/>
          <w:b/>
          <w:bCs/>
          <w:i w:val="0"/>
          <w:iCs w:val="0"/>
          <w:color w:val="auto"/>
          <w:sz w:val="24"/>
          <w:szCs w:val="24"/>
        </w:rPr>
        <w:t>. Widoczność znaku Funduszy Europejskich w 2025 r. według cech społeczno-demograficznych</w:t>
      </w:r>
      <w:bookmarkEnd w:id="69"/>
    </w:p>
    <w:p w14:paraId="6B9C8C15" w14:textId="705B2F4C" w:rsidR="006009D0" w:rsidRPr="0028226B" w:rsidRDefault="008956F5" w:rsidP="00250A58">
      <w:pPr>
        <w:rPr>
          <w:rFonts w:ascii="Arial" w:hAnsi="Arial" w:cs="Arial"/>
          <w:b/>
          <w:bCs/>
          <w:sz w:val="24"/>
          <w:szCs w:val="24"/>
        </w:rPr>
      </w:pPr>
      <w:r w:rsidRPr="0028226B">
        <w:rPr>
          <w:rFonts w:ascii="Arial" w:hAnsi="Arial" w:cs="Arial"/>
          <w:noProof/>
          <w:sz w:val="24"/>
          <w:szCs w:val="24"/>
        </w:rPr>
        <w:drawing>
          <wp:inline distT="0" distB="0" distL="0" distR="0" wp14:anchorId="75327D1A" wp14:editId="40D6F62D">
            <wp:extent cx="5486400" cy="5135880"/>
            <wp:effectExtent l="0" t="0" r="0" b="0"/>
            <wp:docPr id="1697343927" name="Wykres 5" descr="Wykres przedstawia widoczność znaku Funduszy Europejskich w 2025 roku, z podziałem na główne cechy społeczno-demograficzne. Wyniki pokazują odsetek osób, które widziały znak („tak”), nie widziały („nie”) oraz nie potrafią powiedzieć („nie wiem / trudno powiedzieć”).&#10;&#10;Wyniki ogółem (N=2025)&#10;&#10;Tak: 68%&#10;&#10;Nie: 16%&#10;&#10;Nie wiem / trudno powiedzieć: 17%&#10;&#10;Płeć:&#10;&#10;Kobieta: 67% tak, 17% nie, 16% nie wiem&#10;&#10;Mężczyzna: 69% tak, 14% nie, 17% nie wiem&#10;&#10;Wiek:&#10;&#10;15–19 lat: 64% tak, 19% nie, 17% nie wiem&#10;&#10;20–24 lata: 71% tak, 13% nie, 16% nie wiem&#10;&#10;25–34 lata: 73% tak (najwyższy wynik), 12% nie, 15% nie wiem&#10;&#10;35–44 lata: 65% tak, 16% nie, 20% nie wiem&#10;&#10;45–54 lata: 62% tak, 21% nie, 18% nie wiem&#10;&#10;55–64 lata: 69% tak, 13% nie, 17% nie wiem&#10;&#10;65+: 70% tak, 15% nie, 15% nie wiem&#10;&#10;Wykształcenie:&#10;&#10;Wyższe: 67% tak, 16% nie, 16% nie wiem&#10;&#10;Średnie: 71% tak, 14% nie, 15% nie wiem&#10;&#10;Zawodowe: 65% tak, 16% nie, 19% nie wiem&#10;&#10;Podstawowe: 64% tak, 18% nie, 19% nie wiem&#10;&#10;Miejsce zamieszkania:&#10;&#10;Wieś: 64% tak, 19% nie, 17% nie wiem&#10;&#10;Miasta do 20 tys.: 79% tak (najwyższy wynik wśród miejscowości), 12% nie, 10% nie wiem&#10;&#10;Miasta 20–49 tys.: 64% tak, 13% nie, 23% nie wiem&#10;&#10;Miasta 50–199 tys.: 70% tak, 13% nie, 17% nie wiem&#10;&#10;Miasta 200–499 tys.: 68% tak, 14% nie, 19% nie wiem&#10;&#10;Miasta 500 tys.+: 68% tak, 14% nie, 18% nie wiem&#10;&#10;Wykres ma formę poziomych słupków przedstawiających trzy kategorie odpowiedzi, z wyróżnieniem najwyższych wartości kolorem czerwonym."/>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14:paraId="7C8A323B" w14:textId="4B8603F2" w:rsidR="008956F5" w:rsidRPr="00672A70" w:rsidRDefault="008956F5" w:rsidP="008956F5">
      <w:pPr>
        <w:rPr>
          <w:rFonts w:ascii="Arial" w:hAnsi="Arial" w:cs="Arial"/>
          <w:sz w:val="24"/>
          <w:szCs w:val="24"/>
        </w:rPr>
      </w:pPr>
      <w:r w:rsidRPr="00672A70">
        <w:rPr>
          <w:rFonts w:ascii="Arial" w:hAnsi="Arial" w:cs="Arial"/>
          <w:sz w:val="24"/>
          <w:szCs w:val="24"/>
        </w:rPr>
        <w:t>Źródło: Opracowano na podstawie badania CAPI</w:t>
      </w:r>
      <w:r w:rsidR="002532ED">
        <w:rPr>
          <w:rFonts w:ascii="Arial" w:hAnsi="Arial" w:cs="Arial"/>
          <w:sz w:val="24"/>
          <w:szCs w:val="24"/>
        </w:rPr>
        <w:t>; odpowiadający: znający określenie FE lub FU</w:t>
      </w:r>
    </w:p>
    <w:p w14:paraId="1C02603A" w14:textId="3F76EA97" w:rsidR="00A6620C" w:rsidRPr="00672A70" w:rsidRDefault="005715CF" w:rsidP="00C0187D">
      <w:pPr>
        <w:spacing w:line="360" w:lineRule="auto"/>
        <w:rPr>
          <w:rFonts w:ascii="Arial" w:hAnsi="Arial" w:cs="Arial"/>
          <w:sz w:val="24"/>
          <w:szCs w:val="24"/>
        </w:rPr>
      </w:pPr>
      <w:r>
        <w:rPr>
          <w:rFonts w:ascii="Arial" w:hAnsi="Arial" w:cs="Arial"/>
          <w:sz w:val="24"/>
          <w:szCs w:val="24"/>
        </w:rPr>
        <w:t>Z</w:t>
      </w:r>
      <w:r w:rsidR="00A6620C" w:rsidRPr="00672A70">
        <w:rPr>
          <w:rFonts w:ascii="Arial" w:hAnsi="Arial" w:cs="Arial"/>
          <w:sz w:val="24"/>
          <w:szCs w:val="24"/>
        </w:rPr>
        <w:t xml:space="preserve">nak Funduszy Europejskich najczęściej był dostrzegany w przestrzeni publicznej na tablicach informacyjnych umieszczanych przy inwestycjach współfinansowanych ze środków unijnych (61%). Kolejnym ważnym źródłem były materiały i treści internetowe, gdzie znak </w:t>
      </w:r>
      <w:r>
        <w:rPr>
          <w:rFonts w:ascii="Arial" w:hAnsi="Arial" w:cs="Arial"/>
          <w:sz w:val="24"/>
          <w:szCs w:val="24"/>
        </w:rPr>
        <w:t xml:space="preserve">FE </w:t>
      </w:r>
      <w:r w:rsidR="00A6620C" w:rsidRPr="00672A70">
        <w:rPr>
          <w:rFonts w:ascii="Arial" w:hAnsi="Arial" w:cs="Arial"/>
          <w:sz w:val="24"/>
          <w:szCs w:val="24"/>
        </w:rPr>
        <w:t>dostrzegło 13% badanych. Podobny odsetek (12%) wskazał telewizję, zarówno w kontekście materiałów informacyjnych, jak i przekazów reklamowych.</w:t>
      </w:r>
    </w:p>
    <w:p w14:paraId="22325196" w14:textId="77777777" w:rsidR="00A6620C" w:rsidRPr="00672A70" w:rsidRDefault="00A6620C" w:rsidP="00C0187D">
      <w:pPr>
        <w:spacing w:line="360" w:lineRule="auto"/>
        <w:rPr>
          <w:rFonts w:ascii="Arial" w:hAnsi="Arial" w:cs="Arial"/>
          <w:sz w:val="24"/>
          <w:szCs w:val="24"/>
        </w:rPr>
      </w:pPr>
      <w:r w:rsidRPr="00672A70">
        <w:rPr>
          <w:rFonts w:ascii="Arial" w:hAnsi="Arial" w:cs="Arial"/>
          <w:sz w:val="24"/>
          <w:szCs w:val="24"/>
        </w:rPr>
        <w:t>Znak był również zauważany w urzędach i instytucjach publicznych, takich jak szkoły, przychodnie czy urzędy administracji (7%). Około 5% respondentów wskazało billboardy i banery reklamowe. Znak pojawiał się także w przestrzeni miejskiej – na przystankach, dworcach czy w otoczeniu ulic – co zadeklarowało 4% badanych.</w:t>
      </w:r>
    </w:p>
    <w:p w14:paraId="7F70AA06" w14:textId="714B6D2F" w:rsidR="00A6620C" w:rsidRPr="00672A70" w:rsidRDefault="00A6620C" w:rsidP="00C0187D">
      <w:pPr>
        <w:spacing w:line="360" w:lineRule="auto"/>
        <w:rPr>
          <w:rFonts w:ascii="Arial" w:hAnsi="Arial" w:cs="Arial"/>
          <w:sz w:val="24"/>
          <w:szCs w:val="24"/>
        </w:rPr>
      </w:pPr>
      <w:r w:rsidRPr="00672A70">
        <w:rPr>
          <w:rFonts w:ascii="Arial" w:hAnsi="Arial" w:cs="Arial"/>
          <w:sz w:val="24"/>
          <w:szCs w:val="24"/>
        </w:rPr>
        <w:lastRenderedPageBreak/>
        <w:t xml:space="preserve">Plakaty i ulotki stanowiły źródło kontaktu z </w:t>
      </w:r>
      <w:r w:rsidR="005715CF">
        <w:rPr>
          <w:rFonts w:ascii="Arial" w:hAnsi="Arial" w:cs="Arial"/>
          <w:sz w:val="24"/>
          <w:szCs w:val="24"/>
        </w:rPr>
        <w:t>fundus</w:t>
      </w:r>
      <w:r w:rsidR="00C7662A">
        <w:rPr>
          <w:rFonts w:ascii="Arial" w:hAnsi="Arial" w:cs="Arial"/>
          <w:sz w:val="24"/>
          <w:szCs w:val="24"/>
        </w:rPr>
        <w:t>z</w:t>
      </w:r>
      <w:r w:rsidR="005715CF">
        <w:rPr>
          <w:rFonts w:ascii="Arial" w:hAnsi="Arial" w:cs="Arial"/>
          <w:sz w:val="24"/>
          <w:szCs w:val="24"/>
        </w:rPr>
        <w:t xml:space="preserve">owym </w:t>
      </w:r>
      <w:r w:rsidRPr="00672A70">
        <w:rPr>
          <w:rFonts w:ascii="Arial" w:hAnsi="Arial" w:cs="Arial"/>
          <w:sz w:val="24"/>
          <w:szCs w:val="24"/>
        </w:rPr>
        <w:t>oznaczeniem dla 3% respondentów, natomiast 2% wskazało inne miejsca. Taki sam odsetek (2%) przyznał, że nie pamięta, gdzie wcześniej widział ten znak.</w:t>
      </w:r>
    </w:p>
    <w:p w14:paraId="579BF891" w14:textId="248D975C" w:rsidR="00A6620C" w:rsidRPr="0028226B" w:rsidRDefault="00A6620C" w:rsidP="00A6620C">
      <w:pPr>
        <w:pStyle w:val="Legenda"/>
        <w:keepNext/>
        <w:rPr>
          <w:rFonts w:ascii="Arial" w:hAnsi="Arial" w:cs="Arial"/>
          <w:b/>
          <w:bCs/>
          <w:i w:val="0"/>
          <w:iCs w:val="0"/>
          <w:color w:val="auto"/>
          <w:sz w:val="24"/>
          <w:szCs w:val="24"/>
        </w:rPr>
      </w:pPr>
      <w:bookmarkStart w:id="70" w:name="_Toc219369278"/>
      <w:r w:rsidRPr="0028226B">
        <w:rPr>
          <w:rFonts w:ascii="Arial" w:hAnsi="Arial" w:cs="Arial"/>
          <w:b/>
          <w:bCs/>
          <w:i w:val="0"/>
          <w:iCs w:val="0"/>
          <w:color w:val="auto"/>
          <w:sz w:val="24"/>
          <w:szCs w:val="24"/>
        </w:rPr>
        <w:t xml:space="preserve">Wykres </w:t>
      </w:r>
      <w:r w:rsidRPr="0028226B">
        <w:rPr>
          <w:rFonts w:ascii="Arial" w:hAnsi="Arial" w:cs="Arial"/>
          <w:b/>
          <w:bCs/>
          <w:i w:val="0"/>
          <w:iCs w:val="0"/>
          <w:color w:val="auto"/>
          <w:sz w:val="24"/>
          <w:szCs w:val="24"/>
        </w:rPr>
        <w:fldChar w:fldCharType="begin"/>
      </w:r>
      <w:r w:rsidRPr="0028226B">
        <w:rPr>
          <w:rFonts w:ascii="Arial" w:hAnsi="Arial" w:cs="Arial"/>
          <w:b/>
          <w:bCs/>
          <w:i w:val="0"/>
          <w:iCs w:val="0"/>
          <w:color w:val="auto"/>
          <w:sz w:val="24"/>
          <w:szCs w:val="24"/>
        </w:rPr>
        <w:instrText xml:space="preserve"> SEQ Wykres \* ARABIC </w:instrText>
      </w:r>
      <w:r w:rsidRPr="0028226B">
        <w:rPr>
          <w:rFonts w:ascii="Arial" w:hAnsi="Arial" w:cs="Arial"/>
          <w:b/>
          <w:bCs/>
          <w:i w:val="0"/>
          <w:iCs w:val="0"/>
          <w:color w:val="auto"/>
          <w:sz w:val="24"/>
          <w:szCs w:val="24"/>
        </w:rPr>
        <w:fldChar w:fldCharType="separate"/>
      </w:r>
      <w:r w:rsidR="0055789E">
        <w:rPr>
          <w:rFonts w:ascii="Arial" w:hAnsi="Arial" w:cs="Arial"/>
          <w:b/>
          <w:bCs/>
          <w:i w:val="0"/>
          <w:iCs w:val="0"/>
          <w:noProof/>
          <w:color w:val="auto"/>
          <w:sz w:val="24"/>
          <w:szCs w:val="24"/>
        </w:rPr>
        <w:t>52</w:t>
      </w:r>
      <w:r w:rsidRPr="0028226B">
        <w:rPr>
          <w:rFonts w:ascii="Arial" w:hAnsi="Arial" w:cs="Arial"/>
          <w:b/>
          <w:bCs/>
          <w:i w:val="0"/>
          <w:iCs w:val="0"/>
          <w:color w:val="auto"/>
          <w:sz w:val="24"/>
          <w:szCs w:val="24"/>
        </w:rPr>
        <w:fldChar w:fldCharType="end"/>
      </w:r>
      <w:r w:rsidRPr="0028226B">
        <w:rPr>
          <w:rFonts w:ascii="Arial" w:hAnsi="Arial" w:cs="Arial"/>
          <w:b/>
          <w:bCs/>
          <w:i w:val="0"/>
          <w:iCs w:val="0"/>
          <w:color w:val="auto"/>
          <w:sz w:val="24"/>
          <w:szCs w:val="24"/>
        </w:rPr>
        <w:t xml:space="preserve">. </w:t>
      </w:r>
      <w:r w:rsidR="001E49D4" w:rsidRPr="0028226B">
        <w:rPr>
          <w:rFonts w:ascii="Arial" w:hAnsi="Arial" w:cs="Arial"/>
          <w:b/>
          <w:bCs/>
          <w:i w:val="0"/>
          <w:iCs w:val="0"/>
          <w:color w:val="auto"/>
          <w:sz w:val="24"/>
          <w:szCs w:val="24"/>
        </w:rPr>
        <w:t>P36. Gdzie widział(a) Pan(i) ten znak?</w:t>
      </w:r>
      <w:r w:rsidR="001E49D4" w:rsidRPr="0028226B" w:rsidDel="001E49D4">
        <w:rPr>
          <w:rFonts w:ascii="Arial" w:hAnsi="Arial" w:cs="Arial"/>
          <w:b/>
          <w:bCs/>
          <w:i w:val="0"/>
          <w:iCs w:val="0"/>
          <w:color w:val="auto"/>
          <w:sz w:val="24"/>
          <w:szCs w:val="24"/>
        </w:rPr>
        <w:t xml:space="preserve"> </w:t>
      </w:r>
      <w:r w:rsidR="005B517E" w:rsidRPr="0028226B">
        <w:rPr>
          <w:rFonts w:ascii="Arial" w:hAnsi="Arial" w:cs="Arial"/>
          <w:b/>
          <w:bCs/>
          <w:i w:val="0"/>
          <w:iCs w:val="0"/>
          <w:color w:val="auto"/>
          <w:sz w:val="24"/>
          <w:szCs w:val="24"/>
        </w:rPr>
        <w:t>(N=472)</w:t>
      </w:r>
      <w:bookmarkEnd w:id="70"/>
    </w:p>
    <w:p w14:paraId="5F8C4BD7" w14:textId="77777777" w:rsidR="00A6620C" w:rsidRPr="0028226B" w:rsidRDefault="00A6620C" w:rsidP="00A6620C">
      <w:pPr>
        <w:rPr>
          <w:rFonts w:ascii="Arial" w:hAnsi="Arial" w:cs="Arial"/>
          <w:sz w:val="24"/>
          <w:szCs w:val="24"/>
        </w:rPr>
      </w:pPr>
      <w:r w:rsidRPr="0028226B">
        <w:rPr>
          <w:rFonts w:ascii="Arial" w:hAnsi="Arial" w:cs="Arial"/>
          <w:noProof/>
          <w:sz w:val="24"/>
          <w:szCs w:val="24"/>
        </w:rPr>
        <w:drawing>
          <wp:inline distT="0" distB="0" distL="0" distR="0" wp14:anchorId="3CFD3326" wp14:editId="5F7B022D">
            <wp:extent cx="5760720" cy="4391025"/>
            <wp:effectExtent l="0" t="0" r="0" b="0"/>
            <wp:docPr id="1801062746" name="Wykres 1" descr="„Gdzie widział(a) Pan(i) ten znak?”&#10;Dane pochodzą z próby N=472 i obejmują miejsca, w których respondenci zauważyli znak Funduszy Europejskich.&#10;&#10;Wyniki procentowe dla poszczególnych kategorii:&#10;&#10;Tablice informacyjne / oznaczenia przy inwestycjach – 61%&#10;Najczęściej wskazywane źródło kontaktu ze znakiem.&#10;&#10;Internet – 13%&#10;&#10;Telewizja – 12%&#10;&#10;Urzędy, instytucje publiczne (szkoły, szpitale) – 7%&#10;&#10;Billboardy / banery – 5%&#10;&#10;Przestrzeń miejska (dworce, przystanki, ulice) – 4%&#10;&#10;Plakaty / ulotki – 3%&#10;&#10;Inne – 2%&#10;&#10;Nie pamiętam – 2%&#10;&#10;Wykres ma formę poziomych słupków, ułożonych malejąco według częstotliwości wskazań, z wyraźną dominacją tablic informacyjnych przy projektach inwestycyjnych."/>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14:paraId="24466E2B" w14:textId="6EDA714C" w:rsidR="00A6620C" w:rsidRPr="00672A70" w:rsidRDefault="00A6620C" w:rsidP="00A6620C">
      <w:pPr>
        <w:spacing w:before="240"/>
        <w:rPr>
          <w:rFonts w:ascii="Arial" w:hAnsi="Arial" w:cs="Arial"/>
          <w:sz w:val="24"/>
          <w:szCs w:val="24"/>
        </w:rPr>
      </w:pPr>
      <w:r w:rsidRPr="00672A70">
        <w:rPr>
          <w:rFonts w:ascii="Arial" w:hAnsi="Arial" w:cs="Arial"/>
          <w:sz w:val="24"/>
          <w:szCs w:val="24"/>
        </w:rPr>
        <w:t>Źródło: Opracowano na podstawie badania CAPI</w:t>
      </w:r>
      <w:r w:rsidR="002532ED">
        <w:rPr>
          <w:rFonts w:ascii="Arial" w:hAnsi="Arial" w:cs="Arial"/>
          <w:sz w:val="24"/>
          <w:szCs w:val="24"/>
        </w:rPr>
        <w:t>; odpowiadający: znający określenie FE lub FU, potrafiący wymienić przykłady</w:t>
      </w:r>
    </w:p>
    <w:p w14:paraId="7E5E1C2E" w14:textId="67CC3CEE" w:rsidR="005715CF" w:rsidRPr="00C0187D" w:rsidRDefault="005715CF" w:rsidP="00DC2EB9">
      <w:pPr>
        <w:rPr>
          <w:rFonts w:ascii="Arial" w:hAnsi="Arial" w:cs="Arial"/>
          <w:b/>
          <w:bCs/>
          <w:sz w:val="24"/>
          <w:szCs w:val="24"/>
        </w:rPr>
      </w:pPr>
      <w:r w:rsidRPr="00C0187D">
        <w:rPr>
          <w:rFonts w:ascii="Arial" w:hAnsi="Arial" w:cs="Arial"/>
          <w:b/>
          <w:bCs/>
          <w:sz w:val="24"/>
          <w:szCs w:val="24"/>
        </w:rPr>
        <w:t>Punkty Informacyjne Funduszy Europejskich</w:t>
      </w:r>
    </w:p>
    <w:p w14:paraId="2657DEB7" w14:textId="54B6C66D" w:rsidR="00E31CEB" w:rsidRPr="00C0187D" w:rsidRDefault="00E31CEB" w:rsidP="00C0187D">
      <w:pPr>
        <w:spacing w:line="360" w:lineRule="auto"/>
        <w:rPr>
          <w:rFonts w:ascii="Arial" w:hAnsi="Arial" w:cs="Arial"/>
          <w:sz w:val="24"/>
          <w:szCs w:val="24"/>
        </w:rPr>
      </w:pPr>
      <w:r w:rsidRPr="00C0187D">
        <w:rPr>
          <w:rFonts w:ascii="Arial" w:hAnsi="Arial" w:cs="Arial"/>
          <w:sz w:val="24"/>
          <w:szCs w:val="24"/>
        </w:rPr>
        <w:t>W latach 2016–2025 poziom świadomości</w:t>
      </w:r>
      <w:r w:rsidR="00C7662A" w:rsidRPr="00C0187D">
        <w:rPr>
          <w:rFonts w:ascii="Arial" w:hAnsi="Arial" w:cs="Arial"/>
          <w:sz w:val="24"/>
          <w:szCs w:val="24"/>
        </w:rPr>
        <w:t>, że istnieją</w:t>
      </w:r>
      <w:r w:rsidR="0062249D" w:rsidRPr="00C0187D">
        <w:rPr>
          <w:rFonts w:ascii="Arial" w:hAnsi="Arial" w:cs="Arial"/>
          <w:sz w:val="24"/>
          <w:szCs w:val="24"/>
        </w:rPr>
        <w:t xml:space="preserve"> </w:t>
      </w:r>
      <w:r w:rsidRPr="00C0187D">
        <w:rPr>
          <w:rFonts w:ascii="Arial" w:hAnsi="Arial" w:cs="Arial"/>
          <w:sz w:val="24"/>
          <w:szCs w:val="24"/>
        </w:rPr>
        <w:t>Punkt</w:t>
      </w:r>
      <w:r w:rsidR="00C7662A" w:rsidRPr="00C0187D">
        <w:rPr>
          <w:rFonts w:ascii="Arial" w:hAnsi="Arial" w:cs="Arial"/>
          <w:sz w:val="24"/>
          <w:szCs w:val="24"/>
        </w:rPr>
        <w:t>y</w:t>
      </w:r>
      <w:r w:rsidRPr="00C0187D">
        <w:rPr>
          <w:rFonts w:ascii="Arial" w:hAnsi="Arial" w:cs="Arial"/>
          <w:sz w:val="24"/>
          <w:szCs w:val="24"/>
        </w:rPr>
        <w:t xml:space="preserve"> Informacyjn</w:t>
      </w:r>
      <w:r w:rsidR="00C7662A" w:rsidRPr="00C0187D">
        <w:rPr>
          <w:rFonts w:ascii="Arial" w:hAnsi="Arial" w:cs="Arial"/>
          <w:sz w:val="24"/>
          <w:szCs w:val="24"/>
        </w:rPr>
        <w:t>e</w:t>
      </w:r>
      <w:r w:rsidRPr="00C0187D">
        <w:rPr>
          <w:rFonts w:ascii="Arial" w:hAnsi="Arial" w:cs="Arial"/>
          <w:sz w:val="24"/>
          <w:szCs w:val="24"/>
        </w:rPr>
        <w:t xml:space="preserve"> Funduszy Europejskich – rozumiany jako odsetek osób, które słyszały o PIFE w jakiejkolwiek formie (korzystały osobiście, znają osobę korzystającą lub jedynie o nich słyszały) – kształtował się zmiennie. W latach </w:t>
      </w:r>
      <w:r w:rsidR="00C7662A" w:rsidRPr="00C0187D">
        <w:rPr>
          <w:rFonts w:ascii="Arial" w:hAnsi="Arial" w:cs="Arial"/>
          <w:sz w:val="24"/>
          <w:szCs w:val="24"/>
        </w:rPr>
        <w:t>2016-2021 kształtował się na poziomie pomiędzy 17</w:t>
      </w:r>
      <w:r w:rsidR="004B3058">
        <w:rPr>
          <w:rFonts w:ascii="Arial" w:hAnsi="Arial" w:cs="Arial"/>
          <w:sz w:val="24"/>
          <w:szCs w:val="24"/>
        </w:rPr>
        <w:t>%</w:t>
      </w:r>
      <w:r w:rsidR="00C7662A" w:rsidRPr="00C0187D">
        <w:rPr>
          <w:rFonts w:ascii="Arial" w:hAnsi="Arial" w:cs="Arial"/>
          <w:sz w:val="24"/>
          <w:szCs w:val="24"/>
        </w:rPr>
        <w:t xml:space="preserve"> a 22%. </w:t>
      </w:r>
      <w:r w:rsidRPr="00C0187D">
        <w:rPr>
          <w:rFonts w:ascii="Arial" w:hAnsi="Arial" w:cs="Arial"/>
          <w:sz w:val="24"/>
          <w:szCs w:val="24"/>
        </w:rPr>
        <w:t>Najwyższą świadomość zanotowano w 2022 roku – 58%. W 202</w:t>
      </w:r>
      <w:r w:rsidR="00C7662A" w:rsidRPr="00C0187D">
        <w:rPr>
          <w:rFonts w:ascii="Arial" w:hAnsi="Arial" w:cs="Arial"/>
          <w:sz w:val="24"/>
          <w:szCs w:val="24"/>
        </w:rPr>
        <w:t>5</w:t>
      </w:r>
      <w:r w:rsidRPr="00C0187D">
        <w:rPr>
          <w:rFonts w:ascii="Arial" w:hAnsi="Arial" w:cs="Arial"/>
          <w:sz w:val="24"/>
          <w:szCs w:val="24"/>
        </w:rPr>
        <w:t xml:space="preserve"> roku wskaźnik ten osiągnął 32%.</w:t>
      </w:r>
    </w:p>
    <w:p w14:paraId="1407E0EF" w14:textId="77777777" w:rsidR="00E31CEB" w:rsidRPr="00C0187D" w:rsidRDefault="00E31CEB" w:rsidP="00C0187D">
      <w:pPr>
        <w:spacing w:line="360" w:lineRule="auto"/>
        <w:rPr>
          <w:rFonts w:ascii="Arial" w:hAnsi="Arial" w:cs="Arial"/>
          <w:sz w:val="24"/>
          <w:szCs w:val="24"/>
        </w:rPr>
      </w:pPr>
      <w:r w:rsidRPr="00C0187D">
        <w:rPr>
          <w:rFonts w:ascii="Arial" w:hAnsi="Arial" w:cs="Arial"/>
          <w:sz w:val="24"/>
          <w:szCs w:val="24"/>
        </w:rPr>
        <w:t xml:space="preserve">Wśród osób świadomych istnienia PIFE najmniejszy udział stanowili respondenci deklarujący osobiste korzystanie z usług Punktów. Do 2019 roku poziomy te mieściły </w:t>
      </w:r>
      <w:r w:rsidRPr="00C0187D">
        <w:rPr>
          <w:rFonts w:ascii="Arial" w:hAnsi="Arial" w:cs="Arial"/>
          <w:sz w:val="24"/>
          <w:szCs w:val="24"/>
        </w:rPr>
        <w:lastRenderedPageBreak/>
        <w:t>się w przedziale 2–3%, natomiast w latach 2020–2024 wynosiły 5–7%. W 2025 roku odsetek ten wyniósł 4%.</w:t>
      </w:r>
    </w:p>
    <w:p w14:paraId="0D4CEB1F" w14:textId="77777777" w:rsidR="00E31CEB" w:rsidRDefault="00E31CEB" w:rsidP="00C0187D">
      <w:pPr>
        <w:spacing w:line="360" w:lineRule="auto"/>
        <w:rPr>
          <w:rFonts w:ascii="Arial" w:hAnsi="Arial" w:cs="Arial"/>
          <w:sz w:val="24"/>
          <w:szCs w:val="24"/>
        </w:rPr>
      </w:pPr>
      <w:r w:rsidRPr="00C0187D">
        <w:rPr>
          <w:rFonts w:ascii="Arial" w:hAnsi="Arial" w:cs="Arial"/>
          <w:sz w:val="24"/>
          <w:szCs w:val="24"/>
        </w:rPr>
        <w:t>Nieco wyższy i bardziej stabilny był udział osób, które nie korzystały z PIFE, ale znają kogoś, kto z nich korzystał. W latach 2016–2021 wartości te utrzymywały się na poziomie 10–13%, w 2022 roku wyniosły 14%, w 2023 roku 12%, w 2024 roku 16%, natomiast w 2025 roku 11%.</w:t>
      </w:r>
    </w:p>
    <w:p w14:paraId="4E38A1CD" w14:textId="7CB4E2B1" w:rsidR="00D278D5" w:rsidRDefault="00D278D5" w:rsidP="00C0187D">
      <w:pPr>
        <w:spacing w:line="360" w:lineRule="auto"/>
        <w:rPr>
          <w:rFonts w:ascii="Arial" w:hAnsi="Arial" w:cs="Arial"/>
          <w:sz w:val="24"/>
          <w:szCs w:val="24"/>
        </w:rPr>
      </w:pPr>
      <w:r w:rsidRPr="00D278D5">
        <w:rPr>
          <w:rFonts w:ascii="Arial" w:hAnsi="Arial" w:cs="Arial"/>
          <w:sz w:val="24"/>
          <w:szCs w:val="24"/>
        </w:rPr>
        <w:t>Największą grupę wśród osób świadomych istnienia Punktów Informacyjnych Funduszy Europejskich (PIFE) przez większość analizowanego okresu stanowiły osoby, które jedynie słyszały o tych punktach, bez własnych doświadczeń ani doświadczeń osób z bliskiego otoczenia. W latach wcześniejszych ich udział utrzymywał się na poziomie od 31% do 40%, natomiast w 2025 roku nastąpił wyraźny spadek tego odsetka do 17%. Zmiana ta ma charakter istotny i może wskazywać na ograniczenie powierzchownej świadomości istnienia PIFE, przy jednoczesnym przesunięciu struktury odpowiedzi w kierunku braku wiedzy o tych punktach. W 2025 roku brak świadomości istnienia PIFE zadeklarowało bowiem 47% respondentów, co oznacza znaczący wzrost w porównaniu z 2024 rokiem, gdy taki brak wiedzy deklarowało 39% badanych. Jednocześnie odsetek odpowiedzi „nie wiem / trudno powiedzieć”, który w poprzednich latach utrzymywał się zazwyczaj na poziomie 2–5%, w 2025 roku wzrósł do 10%, co dodatkowo potwierdza osłabienie rozpoznawalności Punktów Informacyjnych w bieżącym pomiarze.</w:t>
      </w:r>
    </w:p>
    <w:p w14:paraId="24DB730B" w14:textId="77777777" w:rsidR="00516BC6" w:rsidRDefault="00516BC6">
      <w:pPr>
        <w:rPr>
          <w:rFonts w:ascii="Arial" w:hAnsi="Arial" w:cs="Arial"/>
          <w:b/>
          <w:bCs/>
          <w:sz w:val="24"/>
          <w:szCs w:val="24"/>
        </w:rPr>
      </w:pPr>
      <w:r>
        <w:rPr>
          <w:rFonts w:ascii="Arial" w:hAnsi="Arial" w:cs="Arial"/>
          <w:b/>
          <w:bCs/>
          <w:i/>
          <w:iCs/>
          <w:sz w:val="24"/>
          <w:szCs w:val="24"/>
        </w:rPr>
        <w:br w:type="page"/>
      </w:r>
    </w:p>
    <w:p w14:paraId="13C4CBF0" w14:textId="580F2FF7" w:rsidR="00DC2EB9" w:rsidRPr="004B75FE" w:rsidRDefault="00DC2EB9" w:rsidP="00A56EAB">
      <w:pPr>
        <w:pStyle w:val="Legenda"/>
        <w:keepNext/>
        <w:spacing w:after="0"/>
        <w:rPr>
          <w:rFonts w:ascii="Arial" w:hAnsi="Arial" w:cs="Arial"/>
          <w:b/>
          <w:bCs/>
          <w:i w:val="0"/>
          <w:iCs w:val="0"/>
          <w:color w:val="auto"/>
          <w:sz w:val="24"/>
          <w:szCs w:val="24"/>
        </w:rPr>
      </w:pPr>
      <w:bookmarkStart w:id="71" w:name="_Toc219369279"/>
      <w:r w:rsidRPr="004B75FE">
        <w:rPr>
          <w:rFonts w:ascii="Arial" w:hAnsi="Arial" w:cs="Arial"/>
          <w:b/>
          <w:bCs/>
          <w:i w:val="0"/>
          <w:iCs w:val="0"/>
          <w:color w:val="auto"/>
          <w:sz w:val="24"/>
          <w:szCs w:val="24"/>
        </w:rPr>
        <w:lastRenderedPageBreak/>
        <w:t xml:space="preserve">Wykres </w:t>
      </w:r>
      <w:r w:rsidRPr="004B75FE">
        <w:rPr>
          <w:rFonts w:ascii="Arial" w:hAnsi="Arial" w:cs="Arial"/>
          <w:b/>
          <w:bCs/>
          <w:i w:val="0"/>
          <w:iCs w:val="0"/>
          <w:color w:val="auto"/>
          <w:sz w:val="24"/>
          <w:szCs w:val="24"/>
        </w:rPr>
        <w:fldChar w:fldCharType="begin"/>
      </w:r>
      <w:r w:rsidRPr="004B75FE">
        <w:rPr>
          <w:rFonts w:ascii="Arial" w:hAnsi="Arial" w:cs="Arial"/>
          <w:b/>
          <w:bCs/>
          <w:i w:val="0"/>
          <w:iCs w:val="0"/>
          <w:color w:val="auto"/>
          <w:sz w:val="24"/>
          <w:szCs w:val="24"/>
        </w:rPr>
        <w:instrText xml:space="preserve"> SEQ Wykres \* ARABIC </w:instrText>
      </w:r>
      <w:r w:rsidRPr="004B75FE">
        <w:rPr>
          <w:rFonts w:ascii="Arial" w:hAnsi="Arial" w:cs="Arial"/>
          <w:b/>
          <w:bCs/>
          <w:i w:val="0"/>
          <w:iCs w:val="0"/>
          <w:color w:val="auto"/>
          <w:sz w:val="24"/>
          <w:szCs w:val="24"/>
        </w:rPr>
        <w:fldChar w:fldCharType="separate"/>
      </w:r>
      <w:r w:rsidR="0055789E">
        <w:rPr>
          <w:rFonts w:ascii="Arial" w:hAnsi="Arial" w:cs="Arial"/>
          <w:b/>
          <w:bCs/>
          <w:i w:val="0"/>
          <w:iCs w:val="0"/>
          <w:noProof/>
          <w:color w:val="auto"/>
          <w:sz w:val="24"/>
          <w:szCs w:val="24"/>
        </w:rPr>
        <w:t>53</w:t>
      </w:r>
      <w:r w:rsidRPr="004B75FE">
        <w:rPr>
          <w:rFonts w:ascii="Arial" w:hAnsi="Arial" w:cs="Arial"/>
          <w:b/>
          <w:bCs/>
          <w:i w:val="0"/>
          <w:iCs w:val="0"/>
          <w:color w:val="auto"/>
          <w:sz w:val="24"/>
          <w:szCs w:val="24"/>
        </w:rPr>
        <w:fldChar w:fldCharType="end"/>
      </w:r>
      <w:r w:rsidRPr="004B75FE">
        <w:rPr>
          <w:rFonts w:ascii="Arial" w:hAnsi="Arial" w:cs="Arial"/>
          <w:b/>
          <w:bCs/>
          <w:i w:val="0"/>
          <w:iCs w:val="0"/>
          <w:color w:val="auto"/>
          <w:sz w:val="24"/>
          <w:szCs w:val="24"/>
        </w:rPr>
        <w:t xml:space="preserve">. </w:t>
      </w:r>
      <w:r w:rsidR="008673D1">
        <w:rPr>
          <w:rFonts w:ascii="Arial" w:hAnsi="Arial" w:cs="Arial"/>
          <w:b/>
          <w:bCs/>
          <w:i w:val="0"/>
          <w:iCs w:val="0"/>
          <w:color w:val="auto"/>
          <w:sz w:val="24"/>
          <w:szCs w:val="24"/>
        </w:rPr>
        <w:t xml:space="preserve">P50. </w:t>
      </w:r>
      <w:r w:rsidR="00F1549F" w:rsidRPr="004B75FE">
        <w:rPr>
          <w:rFonts w:ascii="Arial" w:hAnsi="Arial" w:cs="Arial"/>
          <w:b/>
          <w:bCs/>
          <w:i w:val="0"/>
          <w:iCs w:val="0"/>
          <w:color w:val="auto"/>
          <w:sz w:val="24"/>
          <w:szCs w:val="24"/>
        </w:rPr>
        <w:t xml:space="preserve">Proszę powiedzieć, czy słyszał(a) Pan(i) o Punktach Informacyjnych Funduszy Europejskich, w których można bezpłatnie dowiedzieć się m.in. o możliwościach uzyskania dofinansowania lub wzięcia udziału w dofinansowanych szkoleniach? - </w:t>
      </w:r>
      <w:r w:rsidRPr="004B75FE">
        <w:rPr>
          <w:rFonts w:ascii="Arial" w:hAnsi="Arial" w:cs="Arial"/>
          <w:b/>
          <w:bCs/>
          <w:i w:val="0"/>
          <w:iCs w:val="0"/>
          <w:color w:val="auto"/>
          <w:sz w:val="24"/>
          <w:szCs w:val="24"/>
        </w:rPr>
        <w:t>w latach 2016–2025 – zestawienie odpowiedzi dotyczących korzystania, świadomości istnienia oraz braku wiedzy o takich Punktach.</w:t>
      </w:r>
      <w:bookmarkEnd w:id="71"/>
    </w:p>
    <w:p w14:paraId="1EC18348" w14:textId="00D628A4" w:rsidR="00DC2EB9" w:rsidRPr="0028226B" w:rsidRDefault="00DC2EB9" w:rsidP="00DC2EB9">
      <w:pPr>
        <w:spacing w:after="0"/>
        <w:rPr>
          <w:rFonts w:ascii="Arial" w:hAnsi="Arial" w:cs="Arial"/>
          <w:b/>
          <w:bCs/>
          <w:sz w:val="24"/>
          <w:szCs w:val="24"/>
        </w:rPr>
      </w:pPr>
      <w:r w:rsidRPr="0028226B">
        <w:rPr>
          <w:rFonts w:ascii="Arial" w:hAnsi="Arial" w:cs="Arial"/>
          <w:noProof/>
          <w:sz w:val="24"/>
          <w:szCs w:val="24"/>
        </w:rPr>
        <w:drawing>
          <wp:inline distT="0" distB="0" distL="0" distR="0" wp14:anchorId="32E1D9FF" wp14:editId="11D93D79">
            <wp:extent cx="5883215" cy="3956050"/>
            <wp:effectExtent l="0" t="0" r="0" b="0"/>
            <wp:docPr id="1297389408" name="Wykres 5" descr="Wykres 54 przedstawia odpowiedzi na pytanie:&#10;„Czy słyszał(a) Pan(i) o Punktach Informacyjnych Funduszy Europejskich, w których można bezpłatnie dowiedzieć się m.in. o możliwościach uzyskania dofinansowania lub wzięcia udziału w dofinansowanych szkoleniach?”&#10;Zaprezentowano dane z lat 2016–2025, z podziałem na pięć kategorii odpowiedzi:&#10;Tak – sam korzystał(a), Tak – ktoś z bliskich korzystał, Tak – słyszał(a), ale nikt nie korzystał, Nie – nie słyszał(a), Nie wiem / trudno powiedzieć.&#10;&#10;Wyniki procentowe:&#10;&#10;2016 (N=5366): 3% sam korzystał, 10% bliscy korzystali, 35% słyszał, 48% nie słyszał, 4% nie wie.&#10;&#10;2017 (N=919): 2% sam, 17% bliscy, 33% słyszał, 45% nie słyszał, 4% nie wie.&#10;&#10;2018 (N=5615): 3% sam, 12% bliscy, 32% słyszał, 50% nie słyszał, 3% nie wie.&#10;&#10;2019 (N=905): 3% sam, 10% bliscy, 33% słyszał, 50% nie słyszał, 5% nie wie.&#10;&#10;2020 (N=5514): 7% sam, 10% bliscy, 33% słyszał, 49% nie słyszał, 2% nie wie.&#10;&#10;2021 (N=887): 5% sam, 13% bliscy, 31% słyszał, 48% nie słyszał, 3% nie wie.&#10;&#10;2022 (N=5279): 4% sam, 14% bliscy, 40% słyszał, 41% nie słyszał, 2% nie wie.&#10;&#10;2023 (N=888): 5% sam, 12% bliscy, 33% słyszał, 49% nie słyszał, 3% nie wie.&#10;&#10;2024 (N=5707): 7% sam, 16% bliscy, 38% słyszał, 39% nie słyszał, 2% nie wie.&#10;&#10;2025 (N=955): 4% sam korzystał, 11% bliscy korzystali, 17% słyszał, 47% nie słyszał, 10% nie wie.&#10;&#10;Wykres ukazuje, że w całym okresie dominowały odpowiedzi „nie słyszał(a)”, które wahały się zazwyczaj między 39% a 50%. W ostatnim roku (2025) widoczny jest spadek świadomości istnienia Punktów Informacyjnych (17% wskazań „słyszał(a)”) oraz jednoczesny wzrost odsetka odpowiedzi „nie wiem / trudno powiedzieć” do 10%, najwyższego w całej serii pomiarów."/>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14:paraId="5E52F816" w14:textId="5FCC4284" w:rsidR="00DC2EB9" w:rsidRPr="00672A70" w:rsidRDefault="00DC2EB9" w:rsidP="00DC2EB9">
      <w:pPr>
        <w:rPr>
          <w:rFonts w:ascii="Arial" w:hAnsi="Arial" w:cs="Arial"/>
          <w:sz w:val="24"/>
          <w:szCs w:val="24"/>
        </w:rPr>
      </w:pPr>
      <w:r w:rsidRPr="00672A70">
        <w:rPr>
          <w:rFonts w:ascii="Arial" w:hAnsi="Arial" w:cs="Arial"/>
          <w:sz w:val="24"/>
          <w:szCs w:val="24"/>
        </w:rPr>
        <w:t>Źródło: Opracowano na podstawie badania CAPI</w:t>
      </w:r>
      <w:r w:rsidR="002532ED">
        <w:rPr>
          <w:rFonts w:ascii="Arial" w:hAnsi="Arial" w:cs="Arial"/>
          <w:sz w:val="24"/>
          <w:szCs w:val="24"/>
        </w:rPr>
        <w:t>; odpowiadający: znający określenie FE lub FU</w:t>
      </w:r>
    </w:p>
    <w:p w14:paraId="37F082B4" w14:textId="0D10DD05" w:rsidR="00265B20" w:rsidRPr="007264BC" w:rsidRDefault="00265B20" w:rsidP="00797285">
      <w:pPr>
        <w:rPr>
          <w:rFonts w:ascii="Arial" w:hAnsi="Arial" w:cs="Arial"/>
          <w:b/>
          <w:bCs/>
          <w:sz w:val="24"/>
          <w:szCs w:val="24"/>
        </w:rPr>
      </w:pPr>
      <w:r w:rsidRPr="007264BC">
        <w:rPr>
          <w:rFonts w:ascii="Arial" w:hAnsi="Arial" w:cs="Arial"/>
          <w:b/>
          <w:bCs/>
          <w:sz w:val="24"/>
          <w:szCs w:val="24"/>
        </w:rPr>
        <w:t>Portal Funduszy Europejskich</w:t>
      </w:r>
    </w:p>
    <w:p w14:paraId="4C18B0C3" w14:textId="626D6C21" w:rsidR="00E31CEB" w:rsidRPr="00E31CEB" w:rsidRDefault="00E31CEB" w:rsidP="00C0187D">
      <w:pPr>
        <w:spacing w:line="360" w:lineRule="auto"/>
        <w:rPr>
          <w:rFonts w:ascii="Arial" w:hAnsi="Arial" w:cs="Arial"/>
          <w:sz w:val="24"/>
          <w:szCs w:val="24"/>
        </w:rPr>
      </w:pPr>
      <w:r w:rsidRPr="00E31CEB">
        <w:rPr>
          <w:rFonts w:ascii="Arial" w:hAnsi="Arial" w:cs="Arial"/>
          <w:sz w:val="24"/>
          <w:szCs w:val="24"/>
        </w:rPr>
        <w:t xml:space="preserve">W latach 2016–2025 poziom znajomości Portalu Funduszy Europejskich – rozumiany jako </w:t>
      </w:r>
      <w:r w:rsidR="004C22E7">
        <w:rPr>
          <w:rFonts w:ascii="Arial" w:hAnsi="Arial" w:cs="Arial"/>
          <w:sz w:val="24"/>
          <w:szCs w:val="24"/>
        </w:rPr>
        <w:t>odsetek</w:t>
      </w:r>
      <w:r w:rsidR="004C22E7" w:rsidRPr="00E31CEB">
        <w:rPr>
          <w:rFonts w:ascii="Arial" w:hAnsi="Arial" w:cs="Arial"/>
          <w:sz w:val="24"/>
          <w:szCs w:val="24"/>
        </w:rPr>
        <w:t xml:space="preserve"> </w:t>
      </w:r>
      <w:r w:rsidRPr="00E31CEB">
        <w:rPr>
          <w:rFonts w:ascii="Arial" w:hAnsi="Arial" w:cs="Arial"/>
          <w:sz w:val="24"/>
          <w:szCs w:val="24"/>
        </w:rPr>
        <w:t>osób, które korzystały z portalu, znają osobę korzystającą lub jedynie o nim słyszały – kształtował się na umiarkowanym poziomie i wykazywał wyraźne zróżnicowanie pomiędzy latami</w:t>
      </w:r>
      <w:r w:rsidR="00C83F31">
        <w:rPr>
          <w:rFonts w:ascii="Arial" w:hAnsi="Arial" w:cs="Arial"/>
          <w:sz w:val="24"/>
          <w:szCs w:val="24"/>
        </w:rPr>
        <w:t xml:space="preserve"> i wahał się od 48 do 61%</w:t>
      </w:r>
      <w:r w:rsidRPr="00E31CEB">
        <w:rPr>
          <w:rFonts w:ascii="Arial" w:hAnsi="Arial" w:cs="Arial"/>
          <w:sz w:val="24"/>
          <w:szCs w:val="24"/>
        </w:rPr>
        <w:t xml:space="preserve">. W 2025 </w:t>
      </w:r>
      <w:proofErr w:type="gramStart"/>
      <w:r w:rsidRPr="00E31CEB">
        <w:rPr>
          <w:rFonts w:ascii="Arial" w:hAnsi="Arial" w:cs="Arial"/>
          <w:sz w:val="24"/>
          <w:szCs w:val="24"/>
        </w:rPr>
        <w:t xml:space="preserve">roku </w:t>
      </w:r>
      <w:r w:rsidR="00552BDC">
        <w:rPr>
          <w:rFonts w:ascii="Arial" w:hAnsi="Arial" w:cs="Arial"/>
          <w:sz w:val="24"/>
          <w:szCs w:val="24"/>
        </w:rPr>
        <w:t xml:space="preserve"> </w:t>
      </w:r>
      <w:r w:rsidR="00C83F31">
        <w:rPr>
          <w:rFonts w:ascii="Arial" w:hAnsi="Arial" w:cs="Arial"/>
          <w:sz w:val="24"/>
          <w:szCs w:val="24"/>
        </w:rPr>
        <w:t>osiągnął</w:t>
      </w:r>
      <w:proofErr w:type="gramEnd"/>
      <w:r w:rsidR="00C83F31">
        <w:rPr>
          <w:rFonts w:ascii="Arial" w:hAnsi="Arial" w:cs="Arial"/>
          <w:sz w:val="24"/>
          <w:szCs w:val="24"/>
        </w:rPr>
        <w:t xml:space="preserve"> poziom</w:t>
      </w:r>
      <w:r w:rsidRPr="00E31CEB">
        <w:rPr>
          <w:rFonts w:ascii="Arial" w:hAnsi="Arial" w:cs="Arial"/>
          <w:sz w:val="24"/>
          <w:szCs w:val="24"/>
        </w:rPr>
        <w:t xml:space="preserve"> 45%</w:t>
      </w:r>
      <w:r w:rsidR="00C83F31">
        <w:rPr>
          <w:rFonts w:ascii="Arial" w:hAnsi="Arial" w:cs="Arial"/>
          <w:sz w:val="24"/>
          <w:szCs w:val="24"/>
        </w:rPr>
        <w:t xml:space="preserve"> i jest najniższym </w:t>
      </w:r>
      <w:r w:rsidR="00552BDC">
        <w:rPr>
          <w:rFonts w:ascii="Arial" w:hAnsi="Arial" w:cs="Arial"/>
          <w:sz w:val="24"/>
          <w:szCs w:val="24"/>
        </w:rPr>
        <w:t>od 2016 roku</w:t>
      </w:r>
      <w:r w:rsidRPr="00E31CEB">
        <w:rPr>
          <w:rFonts w:ascii="Arial" w:hAnsi="Arial" w:cs="Arial"/>
          <w:sz w:val="24"/>
          <w:szCs w:val="24"/>
        </w:rPr>
        <w:t>.</w:t>
      </w:r>
      <w:r w:rsidR="00C83F31">
        <w:rPr>
          <w:rFonts w:ascii="Arial" w:hAnsi="Arial" w:cs="Arial"/>
          <w:sz w:val="24"/>
          <w:szCs w:val="24"/>
        </w:rPr>
        <w:t xml:space="preserve"> Na te 45% składa się 30% respondentów, którzy słyszeli </w:t>
      </w:r>
      <w:r w:rsidR="0062249D">
        <w:rPr>
          <w:rFonts w:ascii="Arial" w:hAnsi="Arial" w:cs="Arial"/>
          <w:sz w:val="24"/>
          <w:szCs w:val="24"/>
        </w:rPr>
        <w:t>o</w:t>
      </w:r>
      <w:r w:rsidR="00C83F31">
        <w:rPr>
          <w:rFonts w:ascii="Arial" w:hAnsi="Arial" w:cs="Arial"/>
          <w:sz w:val="24"/>
          <w:szCs w:val="24"/>
        </w:rPr>
        <w:t xml:space="preserve"> portalu, ale nie korzystali z niego, 11%, którzy słyszeli i korzystał z portalu ktoś znajomy oraz 4%, którzy sami korzystali z PFE. </w:t>
      </w:r>
    </w:p>
    <w:p w14:paraId="7E0C1BDF" w14:textId="65CDE254" w:rsidR="00E31CEB" w:rsidRPr="00E31CEB" w:rsidRDefault="00E31CEB" w:rsidP="00C0187D">
      <w:pPr>
        <w:spacing w:line="360" w:lineRule="auto"/>
        <w:rPr>
          <w:rFonts w:ascii="Arial" w:hAnsi="Arial" w:cs="Arial"/>
          <w:sz w:val="24"/>
          <w:szCs w:val="24"/>
        </w:rPr>
      </w:pPr>
      <w:r w:rsidRPr="00E31CEB">
        <w:rPr>
          <w:rFonts w:ascii="Arial" w:hAnsi="Arial" w:cs="Arial"/>
          <w:sz w:val="24"/>
          <w:szCs w:val="24"/>
        </w:rPr>
        <w:t xml:space="preserve">Dominującą odpowiedzią w całym analizowanym okresie pozostawało stwierdzenie „nie – nie słyszał(a)”. Udział tej grupy wynosił </w:t>
      </w:r>
      <w:r w:rsidR="00C83F31">
        <w:rPr>
          <w:rFonts w:ascii="Arial" w:hAnsi="Arial" w:cs="Arial"/>
          <w:sz w:val="24"/>
          <w:szCs w:val="24"/>
        </w:rPr>
        <w:t>od 39</w:t>
      </w:r>
      <w:r w:rsidR="00552BDC">
        <w:rPr>
          <w:rFonts w:ascii="Arial" w:hAnsi="Arial" w:cs="Arial"/>
          <w:sz w:val="24"/>
          <w:szCs w:val="24"/>
        </w:rPr>
        <w:t>%</w:t>
      </w:r>
      <w:r w:rsidR="00CD6D45">
        <w:rPr>
          <w:rFonts w:ascii="Arial" w:hAnsi="Arial" w:cs="Arial"/>
          <w:sz w:val="24"/>
          <w:szCs w:val="24"/>
        </w:rPr>
        <w:t xml:space="preserve"> </w:t>
      </w:r>
      <w:r w:rsidR="00C83F31">
        <w:rPr>
          <w:rFonts w:ascii="Arial" w:hAnsi="Arial" w:cs="Arial"/>
          <w:sz w:val="24"/>
          <w:szCs w:val="24"/>
        </w:rPr>
        <w:t>do</w:t>
      </w:r>
      <w:r w:rsidRPr="00E31CEB">
        <w:rPr>
          <w:rFonts w:ascii="Arial" w:hAnsi="Arial" w:cs="Arial"/>
          <w:sz w:val="24"/>
          <w:szCs w:val="24"/>
        </w:rPr>
        <w:t xml:space="preserve"> 52%</w:t>
      </w:r>
      <w:r w:rsidR="00C83F31">
        <w:rPr>
          <w:rFonts w:ascii="Arial" w:hAnsi="Arial" w:cs="Arial"/>
          <w:sz w:val="24"/>
          <w:szCs w:val="24"/>
        </w:rPr>
        <w:t xml:space="preserve">. W </w:t>
      </w:r>
      <w:r w:rsidRPr="00E31CEB">
        <w:rPr>
          <w:rFonts w:ascii="Arial" w:hAnsi="Arial" w:cs="Arial"/>
          <w:sz w:val="24"/>
          <w:szCs w:val="24"/>
        </w:rPr>
        <w:t>2025 roku</w:t>
      </w:r>
      <w:r w:rsidR="00C83F31">
        <w:rPr>
          <w:rFonts w:ascii="Arial" w:hAnsi="Arial" w:cs="Arial"/>
          <w:sz w:val="24"/>
          <w:szCs w:val="24"/>
        </w:rPr>
        <w:t xml:space="preserve"> wyniósł 43%.</w:t>
      </w:r>
      <w:r w:rsidR="00CD6D45">
        <w:rPr>
          <w:rFonts w:ascii="Arial" w:hAnsi="Arial" w:cs="Arial"/>
          <w:sz w:val="24"/>
          <w:szCs w:val="24"/>
        </w:rPr>
        <w:t xml:space="preserve"> W porównaniu do 2024 roku udział ten wzrósł (39% w 2024 roku)</w:t>
      </w:r>
    </w:p>
    <w:p w14:paraId="31963B7D" w14:textId="2643FF7F" w:rsidR="00E31CEB" w:rsidRPr="00E31CEB" w:rsidRDefault="00E31CEB" w:rsidP="00C0187D">
      <w:pPr>
        <w:spacing w:line="360" w:lineRule="auto"/>
        <w:rPr>
          <w:rFonts w:ascii="Arial" w:hAnsi="Arial" w:cs="Arial"/>
          <w:sz w:val="24"/>
          <w:szCs w:val="24"/>
        </w:rPr>
      </w:pPr>
      <w:r w:rsidRPr="00E31CEB">
        <w:rPr>
          <w:rFonts w:ascii="Arial" w:hAnsi="Arial" w:cs="Arial"/>
          <w:sz w:val="24"/>
          <w:szCs w:val="24"/>
        </w:rPr>
        <w:lastRenderedPageBreak/>
        <w:t>Najmniej liczną kategorię stanowiły odpowiedzi „nie wiem / trudno powiedzieć”, które w większości lat mieściły się w przedziale 2–4%. W 2025 roku udział tej odpowiedzi wzrósł do 11%</w:t>
      </w:r>
      <w:r>
        <w:rPr>
          <w:rFonts w:ascii="Arial" w:hAnsi="Arial" w:cs="Arial"/>
          <w:sz w:val="24"/>
          <w:szCs w:val="24"/>
        </w:rPr>
        <w:t>.</w:t>
      </w:r>
    </w:p>
    <w:p w14:paraId="242882AE" w14:textId="12A0B88F" w:rsidR="00616BEE" w:rsidRPr="004B75FE" w:rsidRDefault="00616BEE" w:rsidP="00616BEE">
      <w:pPr>
        <w:pStyle w:val="Legenda"/>
        <w:keepNext/>
        <w:rPr>
          <w:rFonts w:ascii="Arial" w:hAnsi="Arial" w:cs="Arial"/>
          <w:b/>
          <w:bCs/>
          <w:i w:val="0"/>
          <w:iCs w:val="0"/>
          <w:color w:val="auto"/>
          <w:sz w:val="24"/>
          <w:szCs w:val="24"/>
        </w:rPr>
      </w:pPr>
      <w:bookmarkStart w:id="72" w:name="_Toc219369280"/>
      <w:r w:rsidRPr="004B75FE">
        <w:rPr>
          <w:rFonts w:ascii="Arial" w:hAnsi="Arial" w:cs="Arial"/>
          <w:b/>
          <w:bCs/>
          <w:i w:val="0"/>
          <w:iCs w:val="0"/>
          <w:color w:val="auto"/>
          <w:sz w:val="24"/>
          <w:szCs w:val="24"/>
        </w:rPr>
        <w:t xml:space="preserve">Wykres </w:t>
      </w:r>
      <w:r w:rsidRPr="004B75FE">
        <w:rPr>
          <w:rFonts w:ascii="Arial" w:hAnsi="Arial" w:cs="Arial"/>
          <w:b/>
          <w:bCs/>
          <w:i w:val="0"/>
          <w:iCs w:val="0"/>
          <w:color w:val="auto"/>
          <w:sz w:val="24"/>
          <w:szCs w:val="24"/>
        </w:rPr>
        <w:fldChar w:fldCharType="begin"/>
      </w:r>
      <w:r w:rsidRPr="004B75FE">
        <w:rPr>
          <w:rFonts w:ascii="Arial" w:hAnsi="Arial" w:cs="Arial"/>
          <w:b/>
          <w:bCs/>
          <w:i w:val="0"/>
          <w:iCs w:val="0"/>
          <w:color w:val="auto"/>
          <w:sz w:val="24"/>
          <w:szCs w:val="24"/>
        </w:rPr>
        <w:instrText xml:space="preserve"> SEQ Wykres \* ARABIC </w:instrText>
      </w:r>
      <w:r w:rsidRPr="004B75FE">
        <w:rPr>
          <w:rFonts w:ascii="Arial" w:hAnsi="Arial" w:cs="Arial"/>
          <w:b/>
          <w:bCs/>
          <w:i w:val="0"/>
          <w:iCs w:val="0"/>
          <w:color w:val="auto"/>
          <w:sz w:val="24"/>
          <w:szCs w:val="24"/>
        </w:rPr>
        <w:fldChar w:fldCharType="separate"/>
      </w:r>
      <w:r w:rsidR="0055789E">
        <w:rPr>
          <w:rFonts w:ascii="Arial" w:hAnsi="Arial" w:cs="Arial"/>
          <w:b/>
          <w:bCs/>
          <w:i w:val="0"/>
          <w:iCs w:val="0"/>
          <w:noProof/>
          <w:color w:val="auto"/>
          <w:sz w:val="24"/>
          <w:szCs w:val="24"/>
        </w:rPr>
        <w:t>54</w:t>
      </w:r>
      <w:r w:rsidRPr="004B75FE">
        <w:rPr>
          <w:rFonts w:ascii="Arial" w:hAnsi="Arial" w:cs="Arial"/>
          <w:b/>
          <w:bCs/>
          <w:i w:val="0"/>
          <w:iCs w:val="0"/>
          <w:color w:val="auto"/>
          <w:sz w:val="24"/>
          <w:szCs w:val="24"/>
        </w:rPr>
        <w:fldChar w:fldCharType="end"/>
      </w:r>
      <w:r w:rsidRPr="004B75FE">
        <w:rPr>
          <w:rFonts w:ascii="Arial" w:hAnsi="Arial" w:cs="Arial"/>
          <w:b/>
          <w:bCs/>
          <w:i w:val="0"/>
          <w:iCs w:val="0"/>
          <w:color w:val="auto"/>
          <w:sz w:val="24"/>
          <w:szCs w:val="24"/>
        </w:rPr>
        <w:t xml:space="preserve">. </w:t>
      </w:r>
      <w:r w:rsidR="00161600" w:rsidRPr="004B75FE">
        <w:rPr>
          <w:rFonts w:ascii="Arial" w:hAnsi="Arial" w:cs="Arial"/>
          <w:b/>
          <w:bCs/>
          <w:i w:val="0"/>
          <w:iCs w:val="0"/>
          <w:color w:val="auto"/>
          <w:sz w:val="24"/>
          <w:szCs w:val="24"/>
        </w:rPr>
        <w:t>P51. Proszę powiedzieć, czy słyszał(a) Pan(i) o stronie internetowej www.funduszeeuropejskie.gov.pl, zwanej Portalem Funduszy Europejskich, na której można znaleźć informacje m.in. o możliwościach uzyskania dofinansowania z Unii Europejskiej? – w latach 2016 - 2025</w:t>
      </w:r>
      <w:bookmarkEnd w:id="72"/>
    </w:p>
    <w:p w14:paraId="2AA3C6BE" w14:textId="77777777" w:rsidR="00616BEE" w:rsidRPr="0028226B" w:rsidRDefault="00616BEE" w:rsidP="00616BEE">
      <w:pPr>
        <w:spacing w:after="0"/>
        <w:rPr>
          <w:rFonts w:ascii="Arial" w:hAnsi="Arial" w:cs="Arial"/>
          <w:b/>
          <w:bCs/>
          <w:sz w:val="24"/>
          <w:szCs w:val="24"/>
        </w:rPr>
      </w:pPr>
      <w:r w:rsidRPr="0028226B">
        <w:rPr>
          <w:rFonts w:ascii="Arial" w:hAnsi="Arial" w:cs="Arial"/>
          <w:noProof/>
          <w:sz w:val="24"/>
          <w:szCs w:val="24"/>
        </w:rPr>
        <w:drawing>
          <wp:inline distT="0" distB="0" distL="0" distR="0" wp14:anchorId="36DC8A15" wp14:editId="41C64ACC">
            <wp:extent cx="5891530" cy="4191000"/>
            <wp:effectExtent l="0" t="0" r="0" b="0"/>
            <wp:docPr id="111090099" name="Wykres 5" descr="„Czy słyszał(a) Pan(i) o stronie internetowej www.funduszeeuropejskie.gov.pl&#10;&#10;, zwanej Portalem Funduszy Europejskich, na której można znaleźć informacje m.in. o możliwościach uzyskania dofinansowania z UE?”&#10;Dane pokazano dla lat 2016–2025. Odpowiedzi podzielono na:&#10;Tak – sam korzystał, Tak – ktoś z bliskich korzystał, Tak – słyszał, ale nikt nie korzystał, Nie – nie słyszał, Nie wiem / trudno powiedzieć.&#10;&#10;Procentowe wyniki:&#10;&#10;2016 (N=5366): 5% sam korzystał, 8% bliscy korzystali, 35% słyszał, ale nikt nie korzystał, 49% nie słyszał, 4% nie wie.&#10;&#10;2017 (N=919): 9% sam, 13% bliscy, 31% słyszał, 49% nie słyszał, 4% nie wie.&#10;&#10;2018 (N=5615): 5% sam, 10% bliscy, 31% słyszał, 52% nie słyszał, 3% nie wie.&#10;&#10;2019 (N=905): 10% sam, 10% bliscy, 32% słyszał, 52% nie słyszał, 4% nie wie.&#10;&#10;2020 (N=5514): 7% sam, 10% bliscy, 33% słyszał, 49% nie słyszał, 2% nie wie.&#10;&#10;2021 (N=887): 10% sam, 15% bliscy, 31% słyszał, 41% nie słyszał, 3% nie wie.&#10;&#10;2022 (N=5279): 6% sam, 12% bliscy, 40% słyszał, 40% nie słyszał, 2% nie wie.&#10;&#10;2023 (N=888): 7% sam, 10% bliscy, 37% słyszał, 44% nie słyszał, 2% nie wie.&#10;&#10;2024 (N=5707): 7% sam, 16% bliscy, 38% słyszał, 39% nie słyszał, 2% nie wie.&#10;&#10;2025 (N=955): 4% sam korzystał, 11% bliscy korzystali, 30% słyszał, 43% nie słyszał, 11% nie wie.&#10;&#10;Wykres pokazuje, że w całym analizowanym okresie największą grupę stanowią osoby, które nie słyszały o Portalu Funduszy Europejskich, choć odsetek ten stopniowo maleje (z ok. 49–52% w latach 2016–2019 do ok. 39–43% w latach 2023–2025). W 2025 roku rośnie natomiast grupa respondentów, którzy nie potrafią udzielić odpowiedzi."/>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14:paraId="680C31BA" w14:textId="2D7439EA" w:rsidR="00616BEE" w:rsidRPr="0028226B" w:rsidRDefault="00616BEE" w:rsidP="00616BEE">
      <w:pPr>
        <w:rPr>
          <w:rFonts w:ascii="Arial" w:hAnsi="Arial" w:cs="Arial"/>
          <w:sz w:val="24"/>
          <w:szCs w:val="24"/>
        </w:rPr>
      </w:pPr>
      <w:r w:rsidRPr="0028226B">
        <w:rPr>
          <w:rFonts w:ascii="Arial" w:hAnsi="Arial" w:cs="Arial"/>
          <w:sz w:val="24"/>
          <w:szCs w:val="24"/>
        </w:rPr>
        <w:t>Źródło: Opracowano na podstawie badania CAPI</w:t>
      </w:r>
      <w:r w:rsidR="002532ED">
        <w:rPr>
          <w:rFonts w:ascii="Arial" w:hAnsi="Arial" w:cs="Arial"/>
          <w:sz w:val="24"/>
          <w:szCs w:val="24"/>
        </w:rPr>
        <w:t>; odpowiadający: znający określenie FE lub FU</w:t>
      </w:r>
    </w:p>
    <w:p w14:paraId="0BBE9D43" w14:textId="270665F1" w:rsidR="00616BEE" w:rsidRPr="009917D6" w:rsidRDefault="00C67F12" w:rsidP="00ED2540">
      <w:pPr>
        <w:pStyle w:val="Nagwek1"/>
        <w:shd w:val="clear" w:color="auto" w:fill="061A3D"/>
        <w:rPr>
          <w:rFonts w:ascii="Arial" w:hAnsi="Arial" w:cs="Arial"/>
          <w:b/>
          <w:bCs/>
          <w:color w:val="FFFFFF" w:themeColor="background1"/>
          <w:sz w:val="24"/>
          <w:szCs w:val="24"/>
        </w:rPr>
      </w:pPr>
      <w:bookmarkStart w:id="73" w:name="_Toc219375247"/>
      <w:r w:rsidRPr="009917D6">
        <w:rPr>
          <w:rFonts w:ascii="Arial" w:hAnsi="Arial" w:cs="Arial"/>
          <w:b/>
          <w:bCs/>
          <w:color w:val="FFFFFF" w:themeColor="background1"/>
          <w:sz w:val="24"/>
          <w:szCs w:val="24"/>
        </w:rPr>
        <w:t>Poszukiwanie informacji oraz ocena przekazu na temat FE</w:t>
      </w:r>
      <w:bookmarkEnd w:id="73"/>
    </w:p>
    <w:p w14:paraId="4902A692" w14:textId="31BDCFB0" w:rsidR="00607000" w:rsidRPr="009917D6" w:rsidRDefault="00607000" w:rsidP="00C0187D">
      <w:pPr>
        <w:spacing w:before="240" w:line="360" w:lineRule="auto"/>
        <w:rPr>
          <w:rFonts w:ascii="Arial" w:hAnsi="Arial" w:cs="Arial"/>
          <w:sz w:val="24"/>
          <w:szCs w:val="24"/>
        </w:rPr>
      </w:pPr>
      <w:r w:rsidRPr="009917D6">
        <w:rPr>
          <w:rFonts w:ascii="Arial" w:hAnsi="Arial" w:cs="Arial"/>
          <w:sz w:val="24"/>
          <w:szCs w:val="24"/>
        </w:rPr>
        <w:t>Dane z lat 2018–2025 pokazują, że kontakt mieszkańców z informacjami o Funduszach Europejskich pozostaje umiarkowany, a najczęściej wskazywaną odpowiedzią</w:t>
      </w:r>
      <w:r w:rsidR="00CA6927">
        <w:rPr>
          <w:rFonts w:ascii="Arial" w:hAnsi="Arial" w:cs="Arial"/>
          <w:sz w:val="24"/>
          <w:szCs w:val="24"/>
        </w:rPr>
        <w:t xml:space="preserve"> na pytanie o częstotliwość spotykania się z informacjami o Funduszach Europejskich</w:t>
      </w:r>
      <w:r w:rsidRPr="009917D6">
        <w:rPr>
          <w:rFonts w:ascii="Arial" w:hAnsi="Arial" w:cs="Arial"/>
          <w:sz w:val="24"/>
          <w:szCs w:val="24"/>
        </w:rPr>
        <w:t xml:space="preserve"> w całym okresie jest poziom „ani często, ani rzadko”. W 2025 roku dotyczy to </w:t>
      </w:r>
      <w:r w:rsidR="008F292E" w:rsidRPr="009917D6">
        <w:rPr>
          <w:rFonts w:ascii="Arial" w:hAnsi="Arial" w:cs="Arial"/>
          <w:sz w:val="24"/>
          <w:szCs w:val="24"/>
        </w:rPr>
        <w:t>30</w:t>
      </w:r>
      <w:r w:rsidRPr="009917D6">
        <w:rPr>
          <w:rFonts w:ascii="Arial" w:hAnsi="Arial" w:cs="Arial"/>
          <w:sz w:val="24"/>
          <w:szCs w:val="24"/>
        </w:rPr>
        <w:t>%</w:t>
      </w:r>
      <w:r w:rsidR="008B5038">
        <w:rPr>
          <w:rFonts w:ascii="Arial" w:hAnsi="Arial" w:cs="Arial"/>
          <w:sz w:val="24"/>
          <w:szCs w:val="24"/>
        </w:rPr>
        <w:t xml:space="preserve"> badanych</w:t>
      </w:r>
      <w:r w:rsidRPr="009917D6">
        <w:rPr>
          <w:rFonts w:ascii="Arial" w:hAnsi="Arial" w:cs="Arial"/>
          <w:sz w:val="24"/>
          <w:szCs w:val="24"/>
        </w:rPr>
        <w:t>, a więc podobnie jak w latach poprzednich.</w:t>
      </w:r>
    </w:p>
    <w:p w14:paraId="05BCFF97" w14:textId="59D5553F" w:rsidR="00607000" w:rsidRPr="009917D6" w:rsidRDefault="00607000" w:rsidP="00C0187D">
      <w:pPr>
        <w:spacing w:line="360" w:lineRule="auto"/>
        <w:rPr>
          <w:rFonts w:ascii="Arial" w:hAnsi="Arial" w:cs="Arial"/>
          <w:sz w:val="24"/>
          <w:szCs w:val="24"/>
        </w:rPr>
      </w:pPr>
      <w:r w:rsidRPr="009917D6">
        <w:rPr>
          <w:rFonts w:ascii="Arial" w:hAnsi="Arial" w:cs="Arial"/>
          <w:sz w:val="24"/>
          <w:szCs w:val="24"/>
        </w:rPr>
        <w:t xml:space="preserve">Zarówno odsetek osób deklarujących, że spotykają się z takimi informacjami często, jak i bardzo często, utrzymuje się na stabilnie niskim poziomie. W 2025 roku wynosi </w:t>
      </w:r>
      <w:r w:rsidRPr="009917D6">
        <w:rPr>
          <w:rFonts w:ascii="Arial" w:hAnsi="Arial" w:cs="Arial"/>
          <w:sz w:val="24"/>
          <w:szCs w:val="24"/>
        </w:rPr>
        <w:lastRenderedPageBreak/>
        <w:t>on łącznie 1</w:t>
      </w:r>
      <w:r w:rsidR="00C646D3">
        <w:rPr>
          <w:rFonts w:ascii="Arial" w:hAnsi="Arial" w:cs="Arial"/>
          <w:sz w:val="24"/>
          <w:szCs w:val="24"/>
        </w:rPr>
        <w:t>4</w:t>
      </w:r>
      <w:r w:rsidRPr="009917D6">
        <w:rPr>
          <w:rFonts w:ascii="Arial" w:hAnsi="Arial" w:cs="Arial"/>
          <w:sz w:val="24"/>
          <w:szCs w:val="24"/>
        </w:rPr>
        <w:t>%, co oznacza spadek w porównaniu z rokiem 2023 (23%)</w:t>
      </w:r>
      <w:r w:rsidR="008B5038">
        <w:rPr>
          <w:rFonts w:ascii="Arial" w:hAnsi="Arial" w:cs="Arial"/>
          <w:sz w:val="24"/>
          <w:szCs w:val="24"/>
        </w:rPr>
        <w:t xml:space="preserve"> i 2024 (27%)</w:t>
      </w:r>
      <w:r w:rsidRPr="009917D6">
        <w:rPr>
          <w:rFonts w:ascii="Arial" w:hAnsi="Arial" w:cs="Arial"/>
          <w:sz w:val="24"/>
          <w:szCs w:val="24"/>
        </w:rPr>
        <w:t>.</w:t>
      </w:r>
    </w:p>
    <w:p w14:paraId="3EA60172" w14:textId="44BE73D1" w:rsidR="00607000" w:rsidRPr="009917D6" w:rsidRDefault="00607000" w:rsidP="00C0187D">
      <w:pPr>
        <w:spacing w:line="360" w:lineRule="auto"/>
        <w:rPr>
          <w:rFonts w:ascii="Arial" w:hAnsi="Arial" w:cs="Arial"/>
          <w:sz w:val="24"/>
          <w:szCs w:val="24"/>
        </w:rPr>
      </w:pPr>
      <w:r w:rsidRPr="009917D6">
        <w:rPr>
          <w:rFonts w:ascii="Arial" w:hAnsi="Arial" w:cs="Arial"/>
          <w:sz w:val="24"/>
          <w:szCs w:val="24"/>
        </w:rPr>
        <w:t>Jednocześnie rośnie grupa osób, które wskazują, że</w:t>
      </w:r>
      <w:r w:rsidR="00E31CEB">
        <w:rPr>
          <w:rFonts w:ascii="Arial" w:hAnsi="Arial" w:cs="Arial"/>
          <w:sz w:val="24"/>
          <w:szCs w:val="24"/>
        </w:rPr>
        <w:t xml:space="preserve"> z</w:t>
      </w:r>
      <w:r w:rsidRPr="009917D6">
        <w:rPr>
          <w:rFonts w:ascii="Arial" w:hAnsi="Arial" w:cs="Arial"/>
          <w:sz w:val="24"/>
          <w:szCs w:val="24"/>
        </w:rPr>
        <w:t xml:space="preserve"> </w:t>
      </w:r>
      <w:r w:rsidR="00E31CEB" w:rsidRPr="009917D6">
        <w:rPr>
          <w:rFonts w:ascii="Arial" w:hAnsi="Arial" w:cs="Arial"/>
          <w:sz w:val="24"/>
          <w:szCs w:val="24"/>
        </w:rPr>
        <w:t>informacj</w:t>
      </w:r>
      <w:r w:rsidR="00E31CEB">
        <w:rPr>
          <w:rFonts w:ascii="Arial" w:hAnsi="Arial" w:cs="Arial"/>
          <w:sz w:val="24"/>
          <w:szCs w:val="24"/>
        </w:rPr>
        <w:t>ami</w:t>
      </w:r>
      <w:r w:rsidR="00E31CEB" w:rsidRPr="009917D6">
        <w:rPr>
          <w:rFonts w:ascii="Arial" w:hAnsi="Arial" w:cs="Arial"/>
          <w:sz w:val="24"/>
          <w:szCs w:val="24"/>
        </w:rPr>
        <w:t xml:space="preserve"> </w:t>
      </w:r>
      <w:r w:rsidRPr="009917D6">
        <w:rPr>
          <w:rFonts w:ascii="Arial" w:hAnsi="Arial" w:cs="Arial"/>
          <w:sz w:val="24"/>
          <w:szCs w:val="24"/>
        </w:rPr>
        <w:t xml:space="preserve">o Funduszach Europejskich </w:t>
      </w:r>
      <w:r w:rsidR="00E31CEB">
        <w:rPr>
          <w:rFonts w:ascii="Arial" w:hAnsi="Arial" w:cs="Arial"/>
          <w:sz w:val="24"/>
          <w:szCs w:val="24"/>
        </w:rPr>
        <w:t>spotykają</w:t>
      </w:r>
      <w:r w:rsidR="00E31CEB" w:rsidRPr="009917D6">
        <w:rPr>
          <w:rFonts w:ascii="Arial" w:hAnsi="Arial" w:cs="Arial"/>
          <w:sz w:val="24"/>
          <w:szCs w:val="24"/>
        </w:rPr>
        <w:t xml:space="preserve"> </w:t>
      </w:r>
      <w:r w:rsidRPr="009917D6">
        <w:rPr>
          <w:rFonts w:ascii="Arial" w:hAnsi="Arial" w:cs="Arial"/>
          <w:sz w:val="24"/>
          <w:szCs w:val="24"/>
        </w:rPr>
        <w:t>się rzadko lub bardzo rzadko. W 2025 roku to łącznie 5</w:t>
      </w:r>
      <w:r w:rsidR="00C646D3">
        <w:rPr>
          <w:rFonts w:ascii="Arial" w:hAnsi="Arial" w:cs="Arial"/>
          <w:sz w:val="24"/>
          <w:szCs w:val="24"/>
        </w:rPr>
        <w:t>4</w:t>
      </w:r>
      <w:r w:rsidRPr="009917D6">
        <w:rPr>
          <w:rFonts w:ascii="Arial" w:hAnsi="Arial" w:cs="Arial"/>
          <w:sz w:val="24"/>
          <w:szCs w:val="24"/>
        </w:rPr>
        <w:t xml:space="preserve">%, co jest jednym z najwyższych wyników w </w:t>
      </w:r>
      <w:r w:rsidR="00D40A68">
        <w:rPr>
          <w:rFonts w:ascii="Arial" w:hAnsi="Arial" w:cs="Arial"/>
          <w:sz w:val="24"/>
          <w:szCs w:val="24"/>
        </w:rPr>
        <w:t>analizowanym</w:t>
      </w:r>
      <w:r w:rsidR="00D40A68" w:rsidRPr="009917D6">
        <w:rPr>
          <w:rFonts w:ascii="Arial" w:hAnsi="Arial" w:cs="Arial"/>
          <w:sz w:val="24"/>
          <w:szCs w:val="24"/>
        </w:rPr>
        <w:t xml:space="preserve"> </w:t>
      </w:r>
      <w:r w:rsidRPr="009917D6">
        <w:rPr>
          <w:rFonts w:ascii="Arial" w:hAnsi="Arial" w:cs="Arial"/>
          <w:sz w:val="24"/>
          <w:szCs w:val="24"/>
        </w:rPr>
        <w:t>okresie.</w:t>
      </w:r>
    </w:p>
    <w:p w14:paraId="01925819" w14:textId="596E044C" w:rsidR="00607000" w:rsidRPr="009917D6" w:rsidRDefault="00607000" w:rsidP="00C0187D">
      <w:pPr>
        <w:spacing w:line="360" w:lineRule="auto"/>
        <w:rPr>
          <w:rFonts w:ascii="Arial" w:hAnsi="Arial" w:cs="Arial"/>
          <w:sz w:val="24"/>
          <w:szCs w:val="24"/>
        </w:rPr>
      </w:pPr>
      <w:r w:rsidRPr="009917D6">
        <w:rPr>
          <w:rFonts w:ascii="Arial" w:hAnsi="Arial" w:cs="Arial"/>
          <w:sz w:val="24"/>
          <w:szCs w:val="24"/>
        </w:rPr>
        <w:t>Odsetek osób, które nie potrafią określić częstotliwości kontaktu z komunikatami o Funduszach (opcj</w:t>
      </w:r>
      <w:r w:rsidR="00D40A68">
        <w:rPr>
          <w:rFonts w:ascii="Arial" w:hAnsi="Arial" w:cs="Arial"/>
          <w:sz w:val="24"/>
          <w:szCs w:val="24"/>
        </w:rPr>
        <w:t>a</w:t>
      </w:r>
      <w:r w:rsidRPr="009917D6">
        <w:rPr>
          <w:rFonts w:ascii="Arial" w:hAnsi="Arial" w:cs="Arial"/>
          <w:sz w:val="24"/>
          <w:szCs w:val="24"/>
        </w:rPr>
        <w:t xml:space="preserve"> „nie wiem”) utrzymuje się na poziomie kilku procent i w 2025 roku wynosi </w:t>
      </w:r>
      <w:r w:rsidR="00C646D3">
        <w:rPr>
          <w:rFonts w:ascii="Arial" w:hAnsi="Arial" w:cs="Arial"/>
          <w:sz w:val="24"/>
          <w:szCs w:val="24"/>
        </w:rPr>
        <w:t>5</w:t>
      </w:r>
      <w:r w:rsidRPr="009917D6">
        <w:rPr>
          <w:rFonts w:ascii="Arial" w:hAnsi="Arial" w:cs="Arial"/>
          <w:sz w:val="24"/>
          <w:szCs w:val="24"/>
        </w:rPr>
        <w:t>%.</w:t>
      </w:r>
    </w:p>
    <w:p w14:paraId="664A56DA" w14:textId="77777777" w:rsidR="00607000" w:rsidRPr="009917D6" w:rsidRDefault="00607000" w:rsidP="00C0187D">
      <w:pPr>
        <w:spacing w:line="360" w:lineRule="auto"/>
        <w:rPr>
          <w:rFonts w:ascii="Arial" w:hAnsi="Arial" w:cs="Arial"/>
          <w:sz w:val="24"/>
          <w:szCs w:val="24"/>
        </w:rPr>
      </w:pPr>
      <w:r w:rsidRPr="009917D6">
        <w:rPr>
          <w:rFonts w:ascii="Arial" w:hAnsi="Arial" w:cs="Arial"/>
          <w:sz w:val="24"/>
          <w:szCs w:val="24"/>
        </w:rPr>
        <w:t>Ogólnie wyniki sugerują, że pomimo poprawy widoczności Funduszy Europejskich w latach 2021–2023, w roku 2025 następuje ponowne osłabienie częstotliwości kontaktu z tego typu informacjami – co może wskazywać na mniejszą intensywność kampanii informacyjnych lub mniejsze zainteresowanie mieszkańców przekazem o Funduszach.</w:t>
      </w:r>
    </w:p>
    <w:p w14:paraId="7F3FCA09" w14:textId="7B890D9C" w:rsidR="00607000" w:rsidRPr="0028226B" w:rsidRDefault="00607000" w:rsidP="00607000">
      <w:pPr>
        <w:pStyle w:val="Legenda"/>
        <w:keepNext/>
        <w:rPr>
          <w:rFonts w:ascii="Arial" w:hAnsi="Arial" w:cs="Arial"/>
          <w:b/>
          <w:bCs/>
          <w:i w:val="0"/>
          <w:iCs w:val="0"/>
          <w:color w:val="auto"/>
          <w:sz w:val="24"/>
          <w:szCs w:val="24"/>
        </w:rPr>
      </w:pPr>
      <w:bookmarkStart w:id="74" w:name="_Toc219369281"/>
      <w:r w:rsidRPr="0028226B">
        <w:rPr>
          <w:rFonts w:ascii="Arial" w:hAnsi="Arial" w:cs="Arial"/>
          <w:b/>
          <w:bCs/>
          <w:i w:val="0"/>
          <w:iCs w:val="0"/>
          <w:color w:val="auto"/>
          <w:sz w:val="24"/>
          <w:szCs w:val="24"/>
        </w:rPr>
        <w:t xml:space="preserve">Wykres </w:t>
      </w:r>
      <w:r w:rsidRPr="0028226B">
        <w:rPr>
          <w:rFonts w:ascii="Arial" w:hAnsi="Arial" w:cs="Arial"/>
          <w:b/>
          <w:bCs/>
          <w:i w:val="0"/>
          <w:iCs w:val="0"/>
          <w:color w:val="auto"/>
          <w:sz w:val="24"/>
          <w:szCs w:val="24"/>
        </w:rPr>
        <w:fldChar w:fldCharType="begin"/>
      </w:r>
      <w:r w:rsidRPr="0028226B">
        <w:rPr>
          <w:rFonts w:ascii="Arial" w:hAnsi="Arial" w:cs="Arial"/>
          <w:b/>
          <w:bCs/>
          <w:i w:val="0"/>
          <w:iCs w:val="0"/>
          <w:color w:val="auto"/>
          <w:sz w:val="24"/>
          <w:szCs w:val="24"/>
        </w:rPr>
        <w:instrText xml:space="preserve"> SEQ Wykres \* ARABIC </w:instrText>
      </w:r>
      <w:r w:rsidRPr="0028226B">
        <w:rPr>
          <w:rFonts w:ascii="Arial" w:hAnsi="Arial" w:cs="Arial"/>
          <w:b/>
          <w:bCs/>
          <w:i w:val="0"/>
          <w:iCs w:val="0"/>
          <w:color w:val="auto"/>
          <w:sz w:val="24"/>
          <w:szCs w:val="24"/>
        </w:rPr>
        <w:fldChar w:fldCharType="separate"/>
      </w:r>
      <w:r w:rsidR="0055789E">
        <w:rPr>
          <w:rFonts w:ascii="Arial" w:hAnsi="Arial" w:cs="Arial"/>
          <w:b/>
          <w:bCs/>
          <w:i w:val="0"/>
          <w:iCs w:val="0"/>
          <w:noProof/>
          <w:color w:val="auto"/>
          <w:sz w:val="24"/>
          <w:szCs w:val="24"/>
        </w:rPr>
        <w:t>55</w:t>
      </w:r>
      <w:r w:rsidRPr="0028226B">
        <w:rPr>
          <w:rFonts w:ascii="Arial" w:hAnsi="Arial" w:cs="Arial"/>
          <w:b/>
          <w:bCs/>
          <w:i w:val="0"/>
          <w:iCs w:val="0"/>
          <w:color w:val="auto"/>
          <w:sz w:val="24"/>
          <w:szCs w:val="24"/>
        </w:rPr>
        <w:fldChar w:fldCharType="end"/>
      </w:r>
      <w:r w:rsidRPr="0028226B">
        <w:rPr>
          <w:rFonts w:ascii="Arial" w:hAnsi="Arial" w:cs="Arial"/>
          <w:b/>
          <w:bCs/>
          <w:i w:val="0"/>
          <w:iCs w:val="0"/>
          <w:color w:val="auto"/>
          <w:sz w:val="24"/>
          <w:szCs w:val="24"/>
        </w:rPr>
        <w:t xml:space="preserve">. </w:t>
      </w:r>
      <w:r w:rsidR="002D5FDA" w:rsidRPr="0028226B">
        <w:rPr>
          <w:rFonts w:ascii="Arial" w:hAnsi="Arial" w:cs="Arial"/>
          <w:b/>
          <w:bCs/>
          <w:i w:val="0"/>
          <w:iCs w:val="0"/>
          <w:color w:val="auto"/>
          <w:sz w:val="24"/>
          <w:szCs w:val="24"/>
        </w:rPr>
        <w:t>P44. Jak często spotyka się z Pan(i) z informacjami o Funduszach Europejskich? – w latach 2018-2025</w:t>
      </w:r>
      <w:bookmarkEnd w:id="74"/>
    </w:p>
    <w:p w14:paraId="30F2CD40" w14:textId="77777777" w:rsidR="00607000" w:rsidRPr="0028226B" w:rsidRDefault="00607000" w:rsidP="00607000">
      <w:pPr>
        <w:spacing w:after="0"/>
        <w:rPr>
          <w:rFonts w:ascii="Arial" w:hAnsi="Arial" w:cs="Arial"/>
          <w:b/>
          <w:bCs/>
          <w:sz w:val="24"/>
          <w:szCs w:val="24"/>
        </w:rPr>
      </w:pPr>
      <w:r w:rsidRPr="0028226B">
        <w:rPr>
          <w:rFonts w:ascii="Arial" w:hAnsi="Arial" w:cs="Arial"/>
          <w:noProof/>
          <w:sz w:val="24"/>
          <w:szCs w:val="24"/>
        </w:rPr>
        <w:drawing>
          <wp:inline distT="0" distB="0" distL="0" distR="0" wp14:anchorId="671C4701" wp14:editId="7F240B70">
            <wp:extent cx="6432550" cy="3956050"/>
            <wp:effectExtent l="0" t="0" r="0" b="0"/>
            <wp:docPr id="1128230400" name="Wykres 5" descr="„Jak często spotyka się Pan(i) z informacjami o Funduszach Europejskich?”&#10;Dane zaprezentowano dla lat 2018–2025. Odpowiedzi podzielono na sześć kategorii: bardzo często, często, ani często, ani rzadko, rzadko, bardzo rzadko oraz nie wiem.&#10;&#10;Procentowe wyniki w kolejnych latach:&#10;&#10;2025 (N=955): 2% bardzo często, 12% często, 28% ani często ani rzadko, 30% rzadko, 24% bardzo rzadko, 5% nie wiem.&#10;&#10;2024 (N=5707): 6% bardzo często, 21% często, 26% ani często ani rzadko, 28% rzadko, 17% bardzo rzadko, 3% nie wiem.&#10;&#10;2023 (N=888): 3% bardzo często, 20% często, 33% ani często ani rzadko, 25% rzadko, 12% bardzo rzadko, 7% nie wiem.&#10;&#10;2022 (N=5279): 2% bardzo często, 12% często, 26% ani często ani rzadko, 30% rzadko, 26% bardzo rzadko, 4% nie wiem.&#10;&#10;2021 (N=887): 5% bardzo często, 16% często, 33% ani często ani rzadko, 33% rzadko, 7% bardzo rzadko, 6% nie wiem.&#10;&#10;2020 (N=5514): 1% bardzo często, 9% często, 25% ani często ani rzadko, 30% rzadko, 30% bardzo rzadko, 5% nie wiem.&#10;&#10;2019 (N=905): 3% bardzo często, 11% często, 34% ani często ani rzadko, 30% rzadko, 17% bardzo rzadko, 5% nie wiem.&#10;&#10;2018 (N=5615): 2% bardzo często, 13% często, 30% ani często ani rzadko, 30% rzadko, 20% bardzo rzadko, 5% nie wiem.&#10;&#10;Wykres pokazuje, że w całym okresie największe grupy respondentów deklarują kontakt z informacjami o Funduszach Europejskich „ani często, ani rzadko” lub „rzadko”, natomiast odsetek osób wskazujących „bardzo często” pozostaje niski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14:paraId="6DB8D6FB" w14:textId="55850BB9" w:rsidR="00607000" w:rsidRPr="0028226B" w:rsidRDefault="00607000" w:rsidP="00607000">
      <w:pPr>
        <w:rPr>
          <w:rFonts w:ascii="Arial" w:hAnsi="Arial" w:cs="Arial"/>
          <w:sz w:val="24"/>
          <w:szCs w:val="24"/>
        </w:rPr>
      </w:pPr>
      <w:r w:rsidRPr="0028226B">
        <w:rPr>
          <w:rFonts w:ascii="Arial" w:hAnsi="Arial" w:cs="Arial"/>
          <w:sz w:val="24"/>
          <w:szCs w:val="24"/>
        </w:rPr>
        <w:t>Źródło: Opracowano na podstawie badania CAPI</w:t>
      </w:r>
      <w:r w:rsidR="002532ED">
        <w:rPr>
          <w:rFonts w:ascii="Arial" w:hAnsi="Arial" w:cs="Arial"/>
          <w:sz w:val="24"/>
          <w:szCs w:val="24"/>
        </w:rPr>
        <w:t>; odpowiadający: znający określenie FE lub FU</w:t>
      </w:r>
    </w:p>
    <w:p w14:paraId="0C7A8187" w14:textId="47765535" w:rsidR="00795F4D" w:rsidRPr="00672A70" w:rsidRDefault="00D40A68" w:rsidP="00C0187D">
      <w:pPr>
        <w:spacing w:line="360" w:lineRule="auto"/>
        <w:rPr>
          <w:rFonts w:ascii="Arial" w:hAnsi="Arial" w:cs="Arial"/>
          <w:sz w:val="24"/>
          <w:szCs w:val="24"/>
        </w:rPr>
      </w:pPr>
      <w:r>
        <w:rPr>
          <w:rFonts w:ascii="Arial" w:hAnsi="Arial" w:cs="Arial"/>
          <w:sz w:val="24"/>
          <w:szCs w:val="24"/>
        </w:rPr>
        <w:lastRenderedPageBreak/>
        <w:t xml:space="preserve">Informacje o </w:t>
      </w:r>
      <w:r w:rsidR="79640210" w:rsidRPr="00672A70">
        <w:rPr>
          <w:rFonts w:ascii="Arial" w:hAnsi="Arial" w:cs="Arial"/>
          <w:sz w:val="24"/>
          <w:szCs w:val="24"/>
        </w:rPr>
        <w:t>Fundusz</w:t>
      </w:r>
      <w:r>
        <w:rPr>
          <w:rFonts w:ascii="Arial" w:hAnsi="Arial" w:cs="Arial"/>
          <w:sz w:val="24"/>
          <w:szCs w:val="24"/>
        </w:rPr>
        <w:t>ach</w:t>
      </w:r>
      <w:r w:rsidR="79640210" w:rsidRPr="00672A70">
        <w:rPr>
          <w:rFonts w:ascii="Arial" w:hAnsi="Arial" w:cs="Arial"/>
          <w:sz w:val="24"/>
          <w:szCs w:val="24"/>
        </w:rPr>
        <w:t xml:space="preserve"> Europejskich</w:t>
      </w:r>
      <w:r>
        <w:rPr>
          <w:rFonts w:ascii="Arial" w:hAnsi="Arial" w:cs="Arial"/>
          <w:sz w:val="24"/>
          <w:szCs w:val="24"/>
        </w:rPr>
        <w:t>, z którymi zetknęli się badani Polacy</w:t>
      </w:r>
      <w:r w:rsidR="004C22E7">
        <w:rPr>
          <w:rFonts w:ascii="Arial" w:hAnsi="Arial" w:cs="Arial"/>
          <w:sz w:val="24"/>
          <w:szCs w:val="24"/>
        </w:rPr>
        <w:t>,</w:t>
      </w:r>
      <w:r w:rsidR="79640210" w:rsidRPr="00672A70">
        <w:rPr>
          <w:rFonts w:ascii="Arial" w:hAnsi="Arial" w:cs="Arial"/>
          <w:sz w:val="24"/>
          <w:szCs w:val="24"/>
        </w:rPr>
        <w:t xml:space="preserve"> </w:t>
      </w:r>
      <w:proofErr w:type="gramStart"/>
      <w:r>
        <w:rPr>
          <w:rFonts w:ascii="Arial" w:hAnsi="Arial" w:cs="Arial"/>
          <w:sz w:val="24"/>
          <w:szCs w:val="24"/>
        </w:rPr>
        <w:t xml:space="preserve">są </w:t>
      </w:r>
      <w:r w:rsidR="79640210" w:rsidRPr="00D40A68">
        <w:rPr>
          <w:rFonts w:ascii="Times New Roman" w:hAnsi="Times New Roman" w:cs="Times New Roman"/>
          <w:sz w:val="24"/>
          <w:szCs w:val="24"/>
        </w:rPr>
        <w:t xml:space="preserve"> </w:t>
      </w:r>
      <w:r w:rsidR="79640210" w:rsidRPr="00672A70">
        <w:rPr>
          <w:rFonts w:ascii="Arial" w:hAnsi="Arial" w:cs="Arial"/>
          <w:sz w:val="24"/>
          <w:szCs w:val="24"/>
        </w:rPr>
        <w:t>przekazywane</w:t>
      </w:r>
      <w:proofErr w:type="gramEnd"/>
      <w:r w:rsidR="79640210" w:rsidRPr="00672A70">
        <w:rPr>
          <w:rFonts w:ascii="Arial" w:hAnsi="Arial" w:cs="Arial"/>
          <w:sz w:val="24"/>
          <w:szCs w:val="24"/>
        </w:rPr>
        <w:t xml:space="preserve"> w sposób zrozumiały. W 2016 roku taką opinię wyrażało 78% badanych. W kolejnych latach odsetek odpowiedzi stopniowo rósł, osiągając 82% w 2018 roku i utrzymując się na wysokim poziomie w 2019 roku (80%). Spadku nie odnotowano także w okresie 2020–2023, kiedy wartości oscylowały między 83% a 87%.</w:t>
      </w:r>
    </w:p>
    <w:p w14:paraId="52C7DD6D" w14:textId="3D062846" w:rsidR="00795F4D" w:rsidRPr="00672A70" w:rsidRDefault="00795F4D" w:rsidP="00C0187D">
      <w:pPr>
        <w:spacing w:line="360" w:lineRule="auto"/>
        <w:rPr>
          <w:rFonts w:ascii="Arial" w:hAnsi="Arial" w:cs="Arial"/>
          <w:sz w:val="24"/>
          <w:szCs w:val="24"/>
        </w:rPr>
      </w:pPr>
      <w:r w:rsidRPr="00672A70">
        <w:rPr>
          <w:rFonts w:ascii="Arial" w:hAnsi="Arial" w:cs="Arial"/>
          <w:sz w:val="24"/>
          <w:szCs w:val="24"/>
        </w:rPr>
        <w:t>W 2024 roku zrozumiałość komunikatów potwierdziło 88% respondentów, a w 2025 roku wskaźnik ten dodatkowo wzrósł do 8</w:t>
      </w:r>
      <w:r w:rsidR="00657950" w:rsidRPr="00672A70">
        <w:rPr>
          <w:rFonts w:ascii="Arial" w:hAnsi="Arial" w:cs="Arial"/>
          <w:sz w:val="24"/>
          <w:szCs w:val="24"/>
        </w:rPr>
        <w:t>9</w:t>
      </w:r>
      <w:r w:rsidRPr="00672A70">
        <w:rPr>
          <w:rFonts w:ascii="Arial" w:hAnsi="Arial" w:cs="Arial"/>
          <w:sz w:val="24"/>
          <w:szCs w:val="24"/>
        </w:rPr>
        <w:t>%. Oznacza to, że odbiorcy konsekwentnie oceniają informacje o Funduszach Europejskich jako jasne i przystępne, a zrozumiałość tych treści utrzymuje się na bardzo wysokim i stabilnym poziomie.</w:t>
      </w:r>
    </w:p>
    <w:p w14:paraId="4C4E3DAC" w14:textId="1567527B" w:rsidR="00795F4D" w:rsidRPr="0028226B" w:rsidRDefault="00795F4D" w:rsidP="00795F4D">
      <w:pPr>
        <w:pStyle w:val="Legenda"/>
        <w:keepNext/>
        <w:rPr>
          <w:rFonts w:ascii="Arial" w:hAnsi="Arial" w:cs="Arial"/>
          <w:b/>
          <w:bCs/>
          <w:i w:val="0"/>
          <w:iCs w:val="0"/>
          <w:color w:val="auto"/>
          <w:sz w:val="24"/>
          <w:szCs w:val="24"/>
        </w:rPr>
      </w:pPr>
      <w:bookmarkStart w:id="75" w:name="_Toc219369282"/>
      <w:r w:rsidRPr="0028226B">
        <w:rPr>
          <w:rFonts w:ascii="Arial" w:hAnsi="Arial" w:cs="Arial"/>
          <w:b/>
          <w:bCs/>
          <w:i w:val="0"/>
          <w:iCs w:val="0"/>
          <w:color w:val="auto"/>
          <w:sz w:val="24"/>
          <w:szCs w:val="24"/>
        </w:rPr>
        <w:t xml:space="preserve">Wykres </w:t>
      </w:r>
      <w:r w:rsidRPr="0028226B">
        <w:rPr>
          <w:rFonts w:ascii="Arial" w:hAnsi="Arial" w:cs="Arial"/>
          <w:b/>
          <w:bCs/>
          <w:i w:val="0"/>
          <w:iCs w:val="0"/>
          <w:color w:val="auto"/>
          <w:sz w:val="24"/>
          <w:szCs w:val="24"/>
        </w:rPr>
        <w:fldChar w:fldCharType="begin"/>
      </w:r>
      <w:r w:rsidRPr="0028226B">
        <w:rPr>
          <w:rFonts w:ascii="Arial" w:hAnsi="Arial" w:cs="Arial"/>
          <w:b/>
          <w:bCs/>
          <w:i w:val="0"/>
          <w:iCs w:val="0"/>
          <w:color w:val="auto"/>
          <w:sz w:val="24"/>
          <w:szCs w:val="24"/>
        </w:rPr>
        <w:instrText xml:space="preserve"> SEQ Wykres \* ARABIC </w:instrText>
      </w:r>
      <w:r w:rsidRPr="0028226B">
        <w:rPr>
          <w:rFonts w:ascii="Arial" w:hAnsi="Arial" w:cs="Arial"/>
          <w:b/>
          <w:bCs/>
          <w:i w:val="0"/>
          <w:iCs w:val="0"/>
          <w:color w:val="auto"/>
          <w:sz w:val="24"/>
          <w:szCs w:val="24"/>
        </w:rPr>
        <w:fldChar w:fldCharType="separate"/>
      </w:r>
      <w:r w:rsidR="0055789E">
        <w:rPr>
          <w:rFonts w:ascii="Arial" w:hAnsi="Arial" w:cs="Arial"/>
          <w:b/>
          <w:bCs/>
          <w:i w:val="0"/>
          <w:iCs w:val="0"/>
          <w:noProof/>
          <w:color w:val="auto"/>
          <w:sz w:val="24"/>
          <w:szCs w:val="24"/>
        </w:rPr>
        <w:t>56</w:t>
      </w:r>
      <w:r w:rsidRPr="0028226B">
        <w:rPr>
          <w:rFonts w:ascii="Arial" w:hAnsi="Arial" w:cs="Arial"/>
          <w:b/>
          <w:bCs/>
          <w:i w:val="0"/>
          <w:iCs w:val="0"/>
          <w:color w:val="auto"/>
          <w:sz w:val="24"/>
          <w:szCs w:val="24"/>
        </w:rPr>
        <w:fldChar w:fldCharType="end"/>
      </w:r>
      <w:r w:rsidRPr="0028226B">
        <w:rPr>
          <w:rFonts w:ascii="Arial" w:hAnsi="Arial" w:cs="Arial"/>
          <w:b/>
          <w:bCs/>
          <w:i w:val="0"/>
          <w:iCs w:val="0"/>
          <w:color w:val="auto"/>
          <w:sz w:val="24"/>
          <w:szCs w:val="24"/>
        </w:rPr>
        <w:t xml:space="preserve">. </w:t>
      </w:r>
      <w:r w:rsidR="00100279" w:rsidRPr="0028226B">
        <w:rPr>
          <w:rFonts w:ascii="Arial" w:hAnsi="Arial" w:cs="Arial"/>
          <w:b/>
          <w:bCs/>
          <w:i w:val="0"/>
          <w:iCs w:val="0"/>
          <w:color w:val="auto"/>
          <w:sz w:val="24"/>
          <w:szCs w:val="24"/>
        </w:rPr>
        <w:t>P45. A proszę powiedzieć, czy informacje o Funduszach Europejskich, z którymi się Pan(i) spotyka, są Pana(i) zdaniem przekazywane zrozumiałym językiem?</w:t>
      </w:r>
      <w:r w:rsidR="00100279" w:rsidRPr="0028226B" w:rsidDel="00100279">
        <w:rPr>
          <w:rFonts w:ascii="Arial" w:hAnsi="Arial" w:cs="Arial"/>
          <w:b/>
          <w:bCs/>
          <w:i w:val="0"/>
          <w:iCs w:val="0"/>
          <w:color w:val="auto"/>
          <w:sz w:val="24"/>
          <w:szCs w:val="24"/>
        </w:rPr>
        <w:t xml:space="preserve"> </w:t>
      </w:r>
      <w:r w:rsidR="00100279" w:rsidRPr="0028226B">
        <w:rPr>
          <w:rFonts w:ascii="Arial" w:hAnsi="Arial" w:cs="Arial"/>
          <w:b/>
          <w:bCs/>
          <w:i w:val="0"/>
          <w:iCs w:val="0"/>
          <w:color w:val="auto"/>
          <w:sz w:val="24"/>
          <w:szCs w:val="24"/>
        </w:rPr>
        <w:t>– w latach 2016-2025</w:t>
      </w:r>
      <w:bookmarkEnd w:id="75"/>
      <w:r w:rsidR="00D40A68">
        <w:rPr>
          <w:rFonts w:ascii="Arial" w:hAnsi="Arial" w:cs="Arial"/>
          <w:b/>
          <w:bCs/>
          <w:i w:val="0"/>
          <w:iCs w:val="0"/>
          <w:color w:val="auto"/>
          <w:sz w:val="24"/>
          <w:szCs w:val="24"/>
        </w:rPr>
        <w:t xml:space="preserve"> </w:t>
      </w:r>
    </w:p>
    <w:p w14:paraId="49190211" w14:textId="3B771B33" w:rsidR="00F97B84" w:rsidRPr="0028226B" w:rsidRDefault="00F97B84" w:rsidP="00F97B84">
      <w:pPr>
        <w:rPr>
          <w:rFonts w:ascii="Arial" w:hAnsi="Arial" w:cs="Arial"/>
          <w:sz w:val="24"/>
          <w:szCs w:val="24"/>
        </w:rPr>
      </w:pPr>
      <w:r w:rsidRPr="0028226B">
        <w:rPr>
          <w:rFonts w:ascii="Arial" w:hAnsi="Arial" w:cs="Arial"/>
          <w:noProof/>
          <w:sz w:val="24"/>
          <w:szCs w:val="24"/>
        </w:rPr>
        <w:drawing>
          <wp:inline distT="0" distB="0" distL="0" distR="0" wp14:anchorId="5F711F30" wp14:editId="5F00AFD4">
            <wp:extent cx="5730240" cy="3200400"/>
            <wp:effectExtent l="0" t="0" r="0" b="0"/>
            <wp:docPr id="161780985" name="Wykres 3" descr="„Czy informacje o Funduszach Europejskich, z którymi się Pan(i) spotyka, są Pana(i) zdaniem przekazywane zrozumiałym językiem?”&#10;Dane obejmują lata 2016–2025.&#10;&#10;Wartości procentowe odpowiedzi „tak” w poszczególnych latach:&#10;&#10;2016 (N=934): 78%&#10;&#10;2018 (N=713): 82%&#10;&#10;2019 (N=124): 80%&#10;&#10;2020 (N=536): 85%&#10;&#10;2021 (N=190): 83%&#10;&#10;2022 (N=677): 87%&#10;&#10;2023 (N=888): 86%&#10;&#10;2024 (N=1343): 88%&#10;&#10;2025 (N=118): 89%&#10;&#10;Wykres liniowy pokazuje systematyczny wzrost odsetka osób uważających komunikaty o Funduszach Europejskich za zrozumiałe – od 78% w 2016 roku do 89% w 2025 roku, z niewielkimi wahaniami w latach pośrednich."/>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r w:rsidR="3E695C37" w:rsidRPr="0028226B">
        <w:rPr>
          <w:rFonts w:ascii="Arial" w:hAnsi="Arial" w:cs="Arial"/>
          <w:sz w:val="24"/>
          <w:szCs w:val="24"/>
        </w:rPr>
        <w:t xml:space="preserve"> </w:t>
      </w:r>
      <w:r w:rsidR="3E695C37" w:rsidRPr="00672A70">
        <w:rPr>
          <w:rFonts w:ascii="Arial" w:hAnsi="Arial" w:cs="Arial"/>
          <w:sz w:val="24"/>
          <w:szCs w:val="24"/>
        </w:rPr>
        <w:t>Źródło: Opracowano na podstawie badania CAPI</w:t>
      </w:r>
      <w:r w:rsidR="002532ED">
        <w:rPr>
          <w:rFonts w:ascii="Arial" w:hAnsi="Arial" w:cs="Arial"/>
          <w:sz w:val="24"/>
          <w:szCs w:val="24"/>
        </w:rPr>
        <w:t>; odpowiadający: znający określenie FE lub FU, osoby, które spotkały się z informacjami o FE</w:t>
      </w:r>
    </w:p>
    <w:p w14:paraId="443CD3CD" w14:textId="78AAD688" w:rsidR="00EC0EA0" w:rsidRPr="00672A70" w:rsidRDefault="00EC0EA0" w:rsidP="00C0187D">
      <w:pPr>
        <w:spacing w:line="360" w:lineRule="auto"/>
        <w:rPr>
          <w:rFonts w:ascii="Arial" w:hAnsi="Arial" w:cs="Arial"/>
          <w:sz w:val="24"/>
          <w:szCs w:val="24"/>
        </w:rPr>
      </w:pPr>
      <w:r w:rsidRPr="00672A70">
        <w:rPr>
          <w:rFonts w:ascii="Arial" w:hAnsi="Arial" w:cs="Arial"/>
          <w:sz w:val="24"/>
          <w:szCs w:val="24"/>
        </w:rPr>
        <w:t>W ciągu ostatnich ośmiu lat ocena wiarygodności informacji o Funduszach Europejskich pozostaje stabilna i zdecydowanie pozytywna. W 2025 roku aż 8</w:t>
      </w:r>
      <w:r w:rsidR="00C646D3">
        <w:rPr>
          <w:rFonts w:ascii="Arial" w:hAnsi="Arial" w:cs="Arial"/>
          <w:sz w:val="24"/>
          <w:szCs w:val="24"/>
        </w:rPr>
        <w:t>6</w:t>
      </w:r>
      <w:r w:rsidRPr="00672A70">
        <w:rPr>
          <w:rFonts w:ascii="Arial" w:hAnsi="Arial" w:cs="Arial"/>
          <w:sz w:val="24"/>
          <w:szCs w:val="24"/>
        </w:rPr>
        <w:t>% respondentów oceniło komunikaty jako wiarygodne – w tym 33% „zdecydowanie tak”, a 5</w:t>
      </w:r>
      <w:r w:rsidR="00C646D3">
        <w:rPr>
          <w:rFonts w:ascii="Arial" w:hAnsi="Arial" w:cs="Arial"/>
          <w:sz w:val="24"/>
          <w:szCs w:val="24"/>
        </w:rPr>
        <w:t>3</w:t>
      </w:r>
      <w:r w:rsidRPr="00672A70">
        <w:rPr>
          <w:rFonts w:ascii="Arial" w:hAnsi="Arial" w:cs="Arial"/>
          <w:sz w:val="24"/>
          <w:szCs w:val="24"/>
        </w:rPr>
        <w:t>% „raczej tak”. Wynik ten jest bardzo zbliżony do notowań z poprzednich lat, co potwierdza trwały wysoki poziom zaufania.</w:t>
      </w:r>
    </w:p>
    <w:p w14:paraId="6C9632A4" w14:textId="370D9123" w:rsidR="00EC0EA0" w:rsidRPr="00672A70" w:rsidRDefault="00EC0EA0" w:rsidP="00C0187D">
      <w:pPr>
        <w:spacing w:line="360" w:lineRule="auto"/>
        <w:rPr>
          <w:rFonts w:ascii="Arial" w:hAnsi="Arial" w:cs="Arial"/>
          <w:sz w:val="24"/>
          <w:szCs w:val="24"/>
        </w:rPr>
      </w:pPr>
      <w:r w:rsidRPr="00672A70">
        <w:rPr>
          <w:rFonts w:ascii="Arial" w:hAnsi="Arial" w:cs="Arial"/>
          <w:sz w:val="24"/>
          <w:szCs w:val="24"/>
        </w:rPr>
        <w:lastRenderedPageBreak/>
        <w:t xml:space="preserve">Jednocześnie udział osób wyrażających wątpliwości pozostaje niski: odpowiedzi „raczej nie” i „zdecydowanie nie” łącznie stanowią w 2025 roku jedynie 4%, a odsetek odpowiedzi neutralnych („ani tak, ani nie”) wynosi </w:t>
      </w:r>
      <w:r w:rsidR="00C646D3">
        <w:rPr>
          <w:rFonts w:ascii="Arial" w:hAnsi="Arial" w:cs="Arial"/>
          <w:sz w:val="24"/>
          <w:szCs w:val="24"/>
        </w:rPr>
        <w:t>8</w:t>
      </w:r>
      <w:r w:rsidRPr="00672A70">
        <w:rPr>
          <w:rFonts w:ascii="Arial" w:hAnsi="Arial" w:cs="Arial"/>
          <w:sz w:val="24"/>
          <w:szCs w:val="24"/>
        </w:rPr>
        <w:t xml:space="preserve">%. Niewielka jest również grupa osób, które nie potrafią ocenić wiarygodności komunikatów – </w:t>
      </w:r>
      <w:r w:rsidR="00C646D3">
        <w:rPr>
          <w:rFonts w:ascii="Arial" w:hAnsi="Arial" w:cs="Arial"/>
          <w:sz w:val="24"/>
          <w:szCs w:val="24"/>
        </w:rPr>
        <w:t>3</w:t>
      </w:r>
      <w:r w:rsidRPr="00672A70">
        <w:rPr>
          <w:rFonts w:ascii="Arial" w:hAnsi="Arial" w:cs="Arial"/>
          <w:sz w:val="24"/>
          <w:szCs w:val="24"/>
        </w:rPr>
        <w:t>% w 2025 roku.</w:t>
      </w:r>
    </w:p>
    <w:p w14:paraId="5921AF3E" w14:textId="77777777" w:rsidR="00EC0EA0" w:rsidRPr="00672A70" w:rsidRDefault="00EC0EA0" w:rsidP="00C0187D">
      <w:pPr>
        <w:spacing w:line="360" w:lineRule="auto"/>
        <w:rPr>
          <w:rFonts w:ascii="Arial" w:hAnsi="Arial" w:cs="Arial"/>
          <w:sz w:val="24"/>
          <w:szCs w:val="24"/>
        </w:rPr>
      </w:pPr>
      <w:r w:rsidRPr="00672A70">
        <w:rPr>
          <w:rFonts w:ascii="Arial" w:hAnsi="Arial" w:cs="Arial"/>
          <w:sz w:val="24"/>
          <w:szCs w:val="24"/>
        </w:rPr>
        <w:t>W dłuższej perspektywie widoczne jest utrzymujące się wysokie zaufanie do przekazu dotyczącego Funduszy Europejskich – większość respondentów od 2018 roku uznaje go za rzetelny, zrozumiały i godny wiary.</w:t>
      </w:r>
    </w:p>
    <w:p w14:paraId="7B9FB75B" w14:textId="77C4F112" w:rsidR="00EC0EA0" w:rsidRPr="0028226B" w:rsidRDefault="00EC0EA0" w:rsidP="004B75FE">
      <w:pPr>
        <w:pStyle w:val="Legenda"/>
        <w:keepNext/>
        <w:spacing w:after="0"/>
        <w:rPr>
          <w:rFonts w:ascii="Arial" w:hAnsi="Arial" w:cs="Arial"/>
          <w:b/>
          <w:bCs/>
          <w:i w:val="0"/>
          <w:iCs w:val="0"/>
          <w:color w:val="auto"/>
          <w:sz w:val="24"/>
          <w:szCs w:val="24"/>
        </w:rPr>
      </w:pPr>
      <w:bookmarkStart w:id="76" w:name="_Toc219369283"/>
      <w:r w:rsidRPr="0028226B">
        <w:rPr>
          <w:rFonts w:ascii="Arial" w:hAnsi="Arial" w:cs="Arial"/>
          <w:b/>
          <w:bCs/>
          <w:i w:val="0"/>
          <w:iCs w:val="0"/>
          <w:color w:val="auto"/>
          <w:sz w:val="24"/>
          <w:szCs w:val="24"/>
        </w:rPr>
        <w:t xml:space="preserve">Wykres </w:t>
      </w:r>
      <w:r w:rsidRPr="0028226B">
        <w:rPr>
          <w:rFonts w:ascii="Arial" w:hAnsi="Arial" w:cs="Arial"/>
          <w:b/>
          <w:bCs/>
          <w:i w:val="0"/>
          <w:iCs w:val="0"/>
          <w:color w:val="auto"/>
          <w:sz w:val="24"/>
          <w:szCs w:val="24"/>
        </w:rPr>
        <w:fldChar w:fldCharType="begin"/>
      </w:r>
      <w:r w:rsidRPr="0028226B">
        <w:rPr>
          <w:rFonts w:ascii="Arial" w:hAnsi="Arial" w:cs="Arial"/>
          <w:b/>
          <w:bCs/>
          <w:i w:val="0"/>
          <w:iCs w:val="0"/>
          <w:color w:val="auto"/>
          <w:sz w:val="24"/>
          <w:szCs w:val="24"/>
        </w:rPr>
        <w:instrText xml:space="preserve"> SEQ Wykres \* ARABIC </w:instrText>
      </w:r>
      <w:r w:rsidRPr="0028226B">
        <w:rPr>
          <w:rFonts w:ascii="Arial" w:hAnsi="Arial" w:cs="Arial"/>
          <w:b/>
          <w:bCs/>
          <w:i w:val="0"/>
          <w:iCs w:val="0"/>
          <w:color w:val="auto"/>
          <w:sz w:val="24"/>
          <w:szCs w:val="24"/>
        </w:rPr>
        <w:fldChar w:fldCharType="separate"/>
      </w:r>
      <w:r w:rsidR="0055789E">
        <w:rPr>
          <w:rFonts w:ascii="Arial" w:hAnsi="Arial" w:cs="Arial"/>
          <w:b/>
          <w:bCs/>
          <w:i w:val="0"/>
          <w:iCs w:val="0"/>
          <w:noProof/>
          <w:color w:val="auto"/>
          <w:sz w:val="24"/>
          <w:szCs w:val="24"/>
        </w:rPr>
        <w:t>57</w:t>
      </w:r>
      <w:r w:rsidRPr="0028226B">
        <w:rPr>
          <w:rFonts w:ascii="Arial" w:hAnsi="Arial" w:cs="Arial"/>
          <w:b/>
          <w:bCs/>
          <w:i w:val="0"/>
          <w:iCs w:val="0"/>
          <w:color w:val="auto"/>
          <w:sz w:val="24"/>
          <w:szCs w:val="24"/>
        </w:rPr>
        <w:fldChar w:fldCharType="end"/>
      </w:r>
      <w:r w:rsidRPr="0028226B">
        <w:rPr>
          <w:rFonts w:ascii="Arial" w:hAnsi="Arial" w:cs="Arial"/>
          <w:b/>
          <w:bCs/>
          <w:i w:val="0"/>
          <w:iCs w:val="0"/>
          <w:color w:val="auto"/>
          <w:sz w:val="24"/>
          <w:szCs w:val="24"/>
        </w:rPr>
        <w:t xml:space="preserve">. </w:t>
      </w:r>
      <w:r w:rsidR="0050651E" w:rsidRPr="0028226B">
        <w:rPr>
          <w:rFonts w:ascii="Arial" w:hAnsi="Arial" w:cs="Arial"/>
          <w:b/>
          <w:bCs/>
          <w:i w:val="0"/>
          <w:iCs w:val="0"/>
          <w:color w:val="auto"/>
          <w:sz w:val="24"/>
          <w:szCs w:val="24"/>
        </w:rPr>
        <w:t>P46. Czy informacje o Funduszach Europejskich, z którymi się Pan(i) spotyka, są Pana(i) zdaniem wiarygodne?</w:t>
      </w:r>
      <w:bookmarkEnd w:id="76"/>
      <w:r w:rsidR="0050651E" w:rsidRPr="0028226B" w:rsidDel="0050651E">
        <w:rPr>
          <w:rFonts w:ascii="Arial" w:hAnsi="Arial" w:cs="Arial"/>
          <w:b/>
          <w:bCs/>
          <w:i w:val="0"/>
          <w:iCs w:val="0"/>
          <w:color w:val="auto"/>
          <w:sz w:val="24"/>
          <w:szCs w:val="24"/>
        </w:rPr>
        <w:t xml:space="preserve"> </w:t>
      </w:r>
    </w:p>
    <w:p w14:paraId="1C471ABE" w14:textId="56645E87" w:rsidR="0096116B" w:rsidRPr="0028226B" w:rsidRDefault="00EC0EA0" w:rsidP="00250A58">
      <w:pPr>
        <w:rPr>
          <w:rFonts w:ascii="Arial" w:hAnsi="Arial" w:cs="Arial"/>
          <w:b/>
          <w:bCs/>
          <w:sz w:val="24"/>
          <w:szCs w:val="24"/>
        </w:rPr>
      </w:pPr>
      <w:r w:rsidRPr="0028226B">
        <w:rPr>
          <w:rFonts w:ascii="Arial" w:hAnsi="Arial" w:cs="Arial"/>
          <w:noProof/>
          <w:sz w:val="24"/>
          <w:szCs w:val="24"/>
        </w:rPr>
        <w:drawing>
          <wp:inline distT="0" distB="0" distL="0" distR="0" wp14:anchorId="638B3350" wp14:editId="35420C8A">
            <wp:extent cx="5822830" cy="3956050"/>
            <wp:effectExtent l="0" t="0" r="0" b="0"/>
            <wp:docPr id="1258713979" name="Wykres 5" descr="Wykres 58 przedstawia rozkład odpowiedzi na pytanie:&#10;„Czy informacje o Funduszach Europejskich, z którymi się Pan(i) spotyka, są Pana(i) zdaniem wiarygodne?”&#10;Dane zaprezentowano dla lat 2018–2025.&#10;&#10;Kategorie odpowiedzi oraz wartości procentowe:&#10;&#10;2025 (N=118)&#10;– zdecydowanie tak: 33%&#10;– raczej tak: 53%&#10;– ani tak, ani nie: 8%&#10;– raczej nie: 3%&#10;– zdecydowanie nie: 1%&#10;– nie wiem / trudno powiedzieć: 3%&#10;&#10;2024 (N=1343)&#10;– zdecydowanie tak: 34%&#10;– raczej tak: 55%&#10;– ani tak, ani nie: 9%&#10;– raczej nie: 2%&#10;– zdecydowanie nie: 1%&#10;– nie wiem / trudno powiedzieć: 2%&#10;&#10;2023 (N=888)&#10;– zdecydowanie tak: 33%&#10;– raczej tak: 54%&#10;– ani tak, ani nie: 8%&#10;– raczej nie: 2%&#10;– zdecydowanie nie: 1%&#10;– nie wiem / trudno powiedzieć: 2%&#10;&#10;2022 (N=677)&#10;– zdecydowanie tak: 32%&#10;– raczej tak: 55%&#10;– ani tak, ani nie: 10%&#10;– raczej nie: 2%&#10;– zdecydowanie nie: 1%&#10;– nie wiem / trudno powiedzieć: 1%&#10;&#10;2021 (N=190)&#10;– zdecydowanie tak: 41%&#10;– raczej tak: 39%&#10;– ani tak, ani nie: 8%&#10;– raczej nie: 7%&#10;– zdecydowanie nie: 2%&#10;– nie wiem / trudno powiedzieć: 3%&#10;&#10;2020 (N=536)&#10;– zdecydowanie tak: 32%&#10;– raczej tak: 52%&#10;– ani tak, ani nie: 9%&#10;– raczej nie: 2%&#10;– zdecydowanie nie: 2%&#10;– nie wiem / trudno powiedzieć: 2%&#10;&#10;2019 (N=124)&#10;– zdecydowanie tak: 16%&#10;– raczej tak: 57%&#10;– ani tak, ani nie: 20%&#10;– raczej nie: 5%&#10;– zdecydowanie nie: 1%&#10;– nie wiem / trudno powiedzieć: 1%&#10;&#10;2018 (N=713)&#10;– zdecydowanie tak: 19%&#10;– raczej tak: 62%&#10;– ani tak, ani nie: 13%&#10;– raczej nie: 3%&#10;– zdecydowanie nie: 1%&#10;– nie wiem / trudno powiedzieć: 1%&#10;&#10;Wykres prezentuje roczne zmiany postrzegania wiarygodności informacji o Funduszach Europejskich, z dominacją odpowiedzi pozytywnych („zdecydowanie tak” + „raczej tak”) w całym badanym okresie."/>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14:paraId="378BEC1D" w14:textId="096D3915" w:rsidR="00EC0EA0" w:rsidRPr="00672A70" w:rsidRDefault="00EC0EA0" w:rsidP="00250A58">
      <w:pPr>
        <w:rPr>
          <w:rFonts w:ascii="Arial" w:hAnsi="Arial" w:cs="Arial"/>
          <w:b/>
          <w:bCs/>
          <w:sz w:val="24"/>
          <w:szCs w:val="24"/>
        </w:rPr>
      </w:pPr>
      <w:r w:rsidRPr="00672A70">
        <w:rPr>
          <w:rFonts w:ascii="Arial" w:hAnsi="Arial" w:cs="Arial"/>
          <w:sz w:val="24"/>
          <w:szCs w:val="24"/>
        </w:rPr>
        <w:t>Źródło: Opracowano na podstawie badania CAPI</w:t>
      </w:r>
      <w:r w:rsidR="002532ED">
        <w:rPr>
          <w:rFonts w:ascii="Arial" w:hAnsi="Arial" w:cs="Arial"/>
          <w:sz w:val="24"/>
          <w:szCs w:val="24"/>
        </w:rPr>
        <w:t>; odpowiadający: znający określenie FE lub FU, osoby, które spotkały się z informacjami o FE</w:t>
      </w:r>
    </w:p>
    <w:p w14:paraId="1FABC8A0" w14:textId="28E774AB" w:rsidR="004B1D92" w:rsidRDefault="004B1D92" w:rsidP="00C0187D">
      <w:pPr>
        <w:spacing w:line="360" w:lineRule="auto"/>
        <w:rPr>
          <w:rFonts w:ascii="Arial" w:hAnsi="Arial" w:cs="Arial"/>
          <w:sz w:val="24"/>
          <w:szCs w:val="24"/>
        </w:rPr>
      </w:pPr>
      <w:r w:rsidRPr="004B1D92">
        <w:rPr>
          <w:rFonts w:ascii="Arial" w:hAnsi="Arial" w:cs="Arial"/>
          <w:sz w:val="24"/>
          <w:szCs w:val="24"/>
        </w:rPr>
        <w:t xml:space="preserve">Najczęściej wskazywanym miejscem, w którym respondenci szukaliby informacji o możliwości uzyskania </w:t>
      </w:r>
      <w:r w:rsidRPr="004B75FE">
        <w:rPr>
          <w:rFonts w:ascii="Arial" w:hAnsi="Arial" w:cs="Arial"/>
          <w:sz w:val="24"/>
          <w:szCs w:val="24"/>
          <w:u w:val="single"/>
        </w:rPr>
        <w:t>dotacji unijnej</w:t>
      </w:r>
      <w:r w:rsidRPr="004B1D92">
        <w:rPr>
          <w:rFonts w:ascii="Arial" w:hAnsi="Arial" w:cs="Arial"/>
          <w:sz w:val="24"/>
          <w:szCs w:val="24"/>
        </w:rPr>
        <w:t>, jest Internet – odpowiedź tę wybrało 87% badanych. Kolejne źródła</w:t>
      </w:r>
      <w:r w:rsidR="00552BDC">
        <w:rPr>
          <w:rFonts w:ascii="Arial" w:hAnsi="Arial" w:cs="Arial"/>
          <w:sz w:val="24"/>
          <w:szCs w:val="24"/>
        </w:rPr>
        <w:t xml:space="preserve"> informacji</w:t>
      </w:r>
      <w:r w:rsidRPr="004B1D92">
        <w:rPr>
          <w:rFonts w:ascii="Arial" w:hAnsi="Arial" w:cs="Arial"/>
          <w:sz w:val="24"/>
          <w:szCs w:val="24"/>
        </w:rPr>
        <w:t xml:space="preserve"> to urząd (</w:t>
      </w:r>
      <w:r w:rsidR="00552BDC">
        <w:rPr>
          <w:rFonts w:ascii="Arial" w:hAnsi="Arial" w:cs="Arial"/>
          <w:sz w:val="24"/>
          <w:szCs w:val="24"/>
        </w:rPr>
        <w:t xml:space="preserve">ogólnie - </w:t>
      </w:r>
      <w:r w:rsidRPr="004B1D92">
        <w:rPr>
          <w:rFonts w:ascii="Arial" w:hAnsi="Arial" w:cs="Arial"/>
          <w:sz w:val="24"/>
          <w:szCs w:val="24"/>
        </w:rPr>
        <w:t xml:space="preserve">16%) oraz urząd gminy, miasta lub dzielnicy (15%). Rzadziej wskazywano urząd pracy (6%), Punkty Informacyjne Funduszy Europejskich (5%), znajomych (5%) oraz urząd marszałkowski (4%). Inne instytucje – agencja rolna (2%) i starostwo (1%) – mają marginalne znaczenie. 5% badanych deklaruje, że nie planuje ubiegać się o dotację, </w:t>
      </w:r>
      <w:r w:rsidRPr="004B1D92">
        <w:rPr>
          <w:rFonts w:ascii="Arial" w:hAnsi="Arial" w:cs="Arial"/>
          <w:sz w:val="24"/>
          <w:szCs w:val="24"/>
        </w:rPr>
        <w:lastRenderedPageBreak/>
        <w:t>natomiast 3% nie potrafi wskazać żadnego źródła informacji.</w:t>
      </w:r>
      <w:r w:rsidR="003814DA">
        <w:rPr>
          <w:rFonts w:ascii="Arial" w:hAnsi="Arial" w:cs="Arial"/>
          <w:sz w:val="24"/>
          <w:szCs w:val="24"/>
        </w:rPr>
        <w:t xml:space="preserve"> 47% osób nie zamierza szukać informacji o Funduszach Europejskich. </w:t>
      </w:r>
    </w:p>
    <w:p w14:paraId="1A8E8009" w14:textId="7311704A" w:rsidR="00D278D5" w:rsidRPr="00D278D5" w:rsidRDefault="00D278D5" w:rsidP="00D278D5">
      <w:pPr>
        <w:pStyle w:val="Legenda"/>
        <w:keepNext/>
        <w:spacing w:after="0"/>
        <w:rPr>
          <w:rFonts w:ascii="Arial" w:hAnsi="Arial" w:cs="Arial"/>
          <w:b/>
          <w:bCs/>
          <w:i w:val="0"/>
          <w:iCs w:val="0"/>
          <w:color w:val="auto"/>
          <w:sz w:val="24"/>
          <w:szCs w:val="24"/>
        </w:rPr>
      </w:pPr>
      <w:bookmarkStart w:id="77" w:name="_Toc219369284"/>
      <w:r w:rsidRPr="00D278D5">
        <w:rPr>
          <w:rFonts w:ascii="Arial" w:hAnsi="Arial" w:cs="Arial"/>
          <w:b/>
          <w:bCs/>
          <w:i w:val="0"/>
          <w:iCs w:val="0"/>
          <w:color w:val="auto"/>
          <w:sz w:val="24"/>
          <w:szCs w:val="24"/>
        </w:rPr>
        <w:t xml:space="preserve">Wykres </w:t>
      </w:r>
      <w:r w:rsidRPr="00D278D5">
        <w:rPr>
          <w:rFonts w:ascii="Arial" w:hAnsi="Arial" w:cs="Arial"/>
          <w:b/>
          <w:bCs/>
          <w:i w:val="0"/>
          <w:iCs w:val="0"/>
          <w:color w:val="auto"/>
          <w:sz w:val="24"/>
          <w:szCs w:val="24"/>
        </w:rPr>
        <w:fldChar w:fldCharType="begin"/>
      </w:r>
      <w:r w:rsidRPr="00D278D5">
        <w:rPr>
          <w:rFonts w:ascii="Arial" w:hAnsi="Arial" w:cs="Arial"/>
          <w:b/>
          <w:bCs/>
          <w:i w:val="0"/>
          <w:iCs w:val="0"/>
          <w:color w:val="auto"/>
          <w:sz w:val="24"/>
          <w:szCs w:val="24"/>
        </w:rPr>
        <w:instrText xml:space="preserve"> SEQ Wykres \* ARABIC </w:instrText>
      </w:r>
      <w:r w:rsidRPr="00D278D5">
        <w:rPr>
          <w:rFonts w:ascii="Arial" w:hAnsi="Arial" w:cs="Arial"/>
          <w:b/>
          <w:bCs/>
          <w:i w:val="0"/>
          <w:iCs w:val="0"/>
          <w:color w:val="auto"/>
          <w:sz w:val="24"/>
          <w:szCs w:val="24"/>
        </w:rPr>
        <w:fldChar w:fldCharType="separate"/>
      </w:r>
      <w:r w:rsidR="0055789E">
        <w:rPr>
          <w:rFonts w:ascii="Arial" w:hAnsi="Arial" w:cs="Arial"/>
          <w:b/>
          <w:bCs/>
          <w:i w:val="0"/>
          <w:iCs w:val="0"/>
          <w:noProof/>
          <w:color w:val="auto"/>
          <w:sz w:val="24"/>
          <w:szCs w:val="24"/>
        </w:rPr>
        <w:t>58</w:t>
      </w:r>
      <w:r w:rsidRPr="00D278D5">
        <w:rPr>
          <w:rFonts w:ascii="Arial" w:hAnsi="Arial" w:cs="Arial"/>
          <w:b/>
          <w:bCs/>
          <w:i w:val="0"/>
          <w:iCs w:val="0"/>
          <w:color w:val="auto"/>
          <w:sz w:val="24"/>
          <w:szCs w:val="24"/>
        </w:rPr>
        <w:fldChar w:fldCharType="end"/>
      </w:r>
      <w:r w:rsidRPr="00D278D5">
        <w:rPr>
          <w:rFonts w:ascii="Arial" w:hAnsi="Arial" w:cs="Arial"/>
          <w:b/>
          <w:bCs/>
          <w:i w:val="0"/>
          <w:iCs w:val="0"/>
          <w:color w:val="auto"/>
          <w:sz w:val="24"/>
          <w:szCs w:val="24"/>
        </w:rPr>
        <w:t>. P47. Gdyby chciał(a) się Pan(i) dowiedzieć więcej o Funduszach Europejskich, gdzie szukał(a)by Pan(i) informacji? (N=509)</w:t>
      </w:r>
      <w:bookmarkEnd w:id="77"/>
    </w:p>
    <w:p w14:paraId="67D28D0B" w14:textId="77777777" w:rsidR="00D278D5" w:rsidRDefault="00D278D5" w:rsidP="00D278D5">
      <w:pPr>
        <w:rPr>
          <w:rFonts w:ascii="Arial" w:hAnsi="Arial" w:cs="Arial"/>
          <w:b/>
          <w:bCs/>
          <w:sz w:val="24"/>
          <w:szCs w:val="24"/>
        </w:rPr>
      </w:pPr>
      <w:r>
        <w:rPr>
          <w:rFonts w:ascii="Arial" w:hAnsi="Arial" w:cs="Arial"/>
          <w:b/>
          <w:bCs/>
          <w:noProof/>
          <w:sz w:val="24"/>
          <w:szCs w:val="24"/>
        </w:rPr>
        <w:drawing>
          <wp:inline distT="0" distB="0" distL="0" distR="0" wp14:anchorId="214BF785" wp14:editId="640DD2B2">
            <wp:extent cx="5486400" cy="3200400"/>
            <wp:effectExtent l="0" t="0" r="0" b="0"/>
            <wp:docPr id="1641371009" name="Wykres 3"/>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14:paraId="1379CC8B" w14:textId="10A078CF" w:rsidR="00D278D5" w:rsidRDefault="00D278D5" w:rsidP="00D278D5">
      <w:pPr>
        <w:rPr>
          <w:rFonts w:ascii="Arial" w:hAnsi="Arial" w:cs="Arial"/>
          <w:sz w:val="24"/>
          <w:szCs w:val="24"/>
        </w:rPr>
      </w:pPr>
      <w:r w:rsidRPr="00672A70">
        <w:rPr>
          <w:rFonts w:ascii="Arial" w:hAnsi="Arial" w:cs="Arial"/>
          <w:sz w:val="24"/>
          <w:szCs w:val="24"/>
        </w:rPr>
        <w:t>Źródło: Opracowano na podstawie badania CAPI</w:t>
      </w:r>
      <w:r w:rsidR="002532ED">
        <w:rPr>
          <w:rFonts w:ascii="Arial" w:hAnsi="Arial" w:cs="Arial"/>
          <w:sz w:val="24"/>
          <w:szCs w:val="24"/>
        </w:rPr>
        <w:t>; odpowiadający: znający określenie FE lub FU, potrafiący wymienić przykłady</w:t>
      </w:r>
    </w:p>
    <w:p w14:paraId="42A8B967" w14:textId="77777777" w:rsidR="00D278D5" w:rsidRPr="00672A70" w:rsidRDefault="00D278D5" w:rsidP="00D278D5">
      <w:pPr>
        <w:spacing w:before="240" w:line="360" w:lineRule="auto"/>
        <w:rPr>
          <w:rFonts w:ascii="Arial" w:hAnsi="Arial" w:cs="Arial"/>
          <w:sz w:val="24"/>
          <w:szCs w:val="24"/>
        </w:rPr>
      </w:pPr>
      <w:r w:rsidRPr="00672A70">
        <w:rPr>
          <w:rFonts w:ascii="Arial" w:hAnsi="Arial" w:cs="Arial"/>
          <w:sz w:val="24"/>
          <w:szCs w:val="24"/>
        </w:rPr>
        <w:t xml:space="preserve">Dane </w:t>
      </w:r>
      <w:r>
        <w:rPr>
          <w:rFonts w:ascii="Arial" w:hAnsi="Arial" w:cs="Arial"/>
          <w:sz w:val="24"/>
          <w:szCs w:val="24"/>
        </w:rPr>
        <w:t xml:space="preserve">poniżej </w:t>
      </w:r>
      <w:r w:rsidRPr="00672A70">
        <w:rPr>
          <w:rFonts w:ascii="Arial" w:hAnsi="Arial" w:cs="Arial"/>
          <w:sz w:val="24"/>
          <w:szCs w:val="24"/>
        </w:rPr>
        <w:t>przedstawiają zmiany w postrzeganiu dostępności informacji o Funduszach Europejskich na przestrzeni ośmiu lat. W 2018–2023 odpowiedzi miały stabilny charakter – dominowały wskazania „raczej tak” (37–51%) oraz „ani tak, ani nie” lub „raczej nie”. Rok 2024 przyniósł wyraźne wzmocnienie ocen pozytywnych: łącznie 5</w:t>
      </w:r>
      <w:r>
        <w:rPr>
          <w:rFonts w:ascii="Arial" w:hAnsi="Arial" w:cs="Arial"/>
          <w:sz w:val="24"/>
          <w:szCs w:val="24"/>
        </w:rPr>
        <w:t>7</w:t>
      </w:r>
      <w:r w:rsidRPr="00672A70">
        <w:rPr>
          <w:rFonts w:ascii="Arial" w:hAnsi="Arial" w:cs="Arial"/>
          <w:sz w:val="24"/>
          <w:szCs w:val="24"/>
        </w:rPr>
        <w:t>% respondentów uznało informacje za dostępne (12% „zdecydowanie tak” i 4</w:t>
      </w:r>
      <w:r>
        <w:rPr>
          <w:rFonts w:ascii="Arial" w:hAnsi="Arial" w:cs="Arial"/>
          <w:sz w:val="24"/>
          <w:szCs w:val="24"/>
        </w:rPr>
        <w:t>5</w:t>
      </w:r>
      <w:r w:rsidRPr="00672A70">
        <w:rPr>
          <w:rFonts w:ascii="Arial" w:hAnsi="Arial" w:cs="Arial"/>
          <w:sz w:val="24"/>
          <w:szCs w:val="24"/>
        </w:rPr>
        <w:t xml:space="preserve">% „raczej tak”). W 2025 roku nastąpił </w:t>
      </w:r>
      <w:r>
        <w:rPr>
          <w:rFonts w:ascii="Arial" w:hAnsi="Arial" w:cs="Arial"/>
          <w:sz w:val="24"/>
          <w:szCs w:val="24"/>
        </w:rPr>
        <w:t xml:space="preserve">nieznaczny </w:t>
      </w:r>
      <w:r w:rsidRPr="00672A70">
        <w:rPr>
          <w:rFonts w:ascii="Arial" w:hAnsi="Arial" w:cs="Arial"/>
          <w:sz w:val="24"/>
          <w:szCs w:val="24"/>
        </w:rPr>
        <w:t>spadek odsetka ocen pozytywnych do 5</w:t>
      </w:r>
      <w:r>
        <w:rPr>
          <w:rFonts w:ascii="Arial" w:hAnsi="Arial" w:cs="Arial"/>
          <w:sz w:val="24"/>
          <w:szCs w:val="24"/>
        </w:rPr>
        <w:t>5</w:t>
      </w:r>
      <w:r w:rsidRPr="00672A70">
        <w:rPr>
          <w:rFonts w:ascii="Arial" w:hAnsi="Arial" w:cs="Arial"/>
          <w:sz w:val="24"/>
          <w:szCs w:val="24"/>
        </w:rPr>
        <w:t>%, przy jednoczesnym wzroście odpowiedzi „ani tak, ani nie” (25%). Udział wskazań negatywnych (</w:t>
      </w:r>
      <w:r>
        <w:rPr>
          <w:rFonts w:ascii="Arial" w:hAnsi="Arial" w:cs="Arial"/>
          <w:sz w:val="24"/>
          <w:szCs w:val="24"/>
        </w:rPr>
        <w:t>„</w:t>
      </w:r>
      <w:r w:rsidRPr="00672A70">
        <w:rPr>
          <w:rFonts w:ascii="Arial" w:hAnsi="Arial" w:cs="Arial"/>
          <w:sz w:val="24"/>
          <w:szCs w:val="24"/>
        </w:rPr>
        <w:t>raczej nie</w:t>
      </w:r>
      <w:r>
        <w:rPr>
          <w:rFonts w:ascii="Arial" w:hAnsi="Arial" w:cs="Arial"/>
          <w:sz w:val="24"/>
          <w:szCs w:val="24"/>
        </w:rPr>
        <w:t>”</w:t>
      </w:r>
      <w:r w:rsidRPr="00672A70">
        <w:rPr>
          <w:rFonts w:ascii="Arial" w:hAnsi="Arial" w:cs="Arial"/>
          <w:sz w:val="24"/>
          <w:szCs w:val="24"/>
        </w:rPr>
        <w:t xml:space="preserve"> i </w:t>
      </w:r>
      <w:r>
        <w:rPr>
          <w:rFonts w:ascii="Arial" w:hAnsi="Arial" w:cs="Arial"/>
          <w:sz w:val="24"/>
          <w:szCs w:val="24"/>
        </w:rPr>
        <w:t>„</w:t>
      </w:r>
      <w:r w:rsidRPr="00672A70">
        <w:rPr>
          <w:rFonts w:ascii="Arial" w:hAnsi="Arial" w:cs="Arial"/>
          <w:sz w:val="24"/>
          <w:szCs w:val="24"/>
        </w:rPr>
        <w:t>zdecydowanie nie</w:t>
      </w:r>
      <w:r>
        <w:rPr>
          <w:rFonts w:ascii="Arial" w:hAnsi="Arial" w:cs="Arial"/>
          <w:sz w:val="24"/>
          <w:szCs w:val="24"/>
        </w:rPr>
        <w:t>”</w:t>
      </w:r>
      <w:r w:rsidRPr="00672A70">
        <w:rPr>
          <w:rFonts w:ascii="Arial" w:hAnsi="Arial" w:cs="Arial"/>
          <w:sz w:val="24"/>
          <w:szCs w:val="24"/>
        </w:rPr>
        <w:t>) utrzymuje się na poziomie około 1</w:t>
      </w:r>
      <w:r>
        <w:rPr>
          <w:rFonts w:ascii="Arial" w:hAnsi="Arial" w:cs="Arial"/>
          <w:sz w:val="24"/>
          <w:szCs w:val="24"/>
        </w:rPr>
        <w:t>5</w:t>
      </w:r>
      <w:r w:rsidRPr="00672A70">
        <w:rPr>
          <w:rFonts w:ascii="Arial" w:hAnsi="Arial" w:cs="Arial"/>
          <w:sz w:val="24"/>
          <w:szCs w:val="24"/>
        </w:rPr>
        <w:t>%, co oznacza</w:t>
      </w:r>
      <w:r>
        <w:rPr>
          <w:rFonts w:ascii="Arial" w:hAnsi="Arial" w:cs="Arial"/>
          <w:sz w:val="24"/>
          <w:szCs w:val="24"/>
        </w:rPr>
        <w:t xml:space="preserve"> stosunkowo</w:t>
      </w:r>
      <w:r w:rsidRPr="00672A70">
        <w:rPr>
          <w:rFonts w:ascii="Arial" w:hAnsi="Arial" w:cs="Arial"/>
          <w:sz w:val="24"/>
          <w:szCs w:val="24"/>
        </w:rPr>
        <w:t xml:space="preserve"> niewielką, ale stałą grupę odbiorców, którzy mają trudności z dotarciem do informacji. Odpowiedzi „nie wiem, trudno powiedzieć” wahały się między 5% a 17% w zależności od </w:t>
      </w:r>
      <w:r>
        <w:rPr>
          <w:rFonts w:ascii="Arial" w:hAnsi="Arial" w:cs="Arial"/>
          <w:sz w:val="24"/>
          <w:szCs w:val="24"/>
        </w:rPr>
        <w:t>edycji badania – w 2025 roku wyniosły 5%</w:t>
      </w:r>
      <w:r w:rsidRPr="00672A70">
        <w:rPr>
          <w:rFonts w:ascii="Arial" w:hAnsi="Arial" w:cs="Arial"/>
          <w:sz w:val="24"/>
          <w:szCs w:val="24"/>
        </w:rPr>
        <w:t>.</w:t>
      </w:r>
    </w:p>
    <w:p w14:paraId="5DDD7424" w14:textId="31CEB0C7" w:rsidR="00D278D5" w:rsidRPr="0028226B" w:rsidRDefault="00D278D5" w:rsidP="00D278D5">
      <w:pPr>
        <w:pStyle w:val="Legenda"/>
        <w:keepNext/>
        <w:rPr>
          <w:rFonts w:ascii="Arial" w:hAnsi="Arial" w:cs="Arial"/>
          <w:b/>
          <w:bCs/>
          <w:i w:val="0"/>
          <w:iCs w:val="0"/>
          <w:color w:val="auto"/>
          <w:sz w:val="24"/>
          <w:szCs w:val="24"/>
        </w:rPr>
      </w:pPr>
      <w:bookmarkStart w:id="78" w:name="_Toc219369285"/>
      <w:r w:rsidRPr="0028226B">
        <w:rPr>
          <w:rFonts w:ascii="Arial" w:hAnsi="Arial" w:cs="Arial"/>
          <w:b/>
          <w:bCs/>
          <w:i w:val="0"/>
          <w:iCs w:val="0"/>
          <w:color w:val="auto"/>
          <w:sz w:val="24"/>
          <w:szCs w:val="24"/>
        </w:rPr>
        <w:lastRenderedPageBreak/>
        <w:t xml:space="preserve">Wykres </w:t>
      </w:r>
      <w:r w:rsidRPr="0028226B">
        <w:rPr>
          <w:rFonts w:ascii="Arial" w:hAnsi="Arial" w:cs="Arial"/>
          <w:b/>
          <w:bCs/>
          <w:i w:val="0"/>
          <w:iCs w:val="0"/>
          <w:color w:val="auto"/>
          <w:sz w:val="24"/>
          <w:szCs w:val="24"/>
        </w:rPr>
        <w:fldChar w:fldCharType="begin"/>
      </w:r>
      <w:r w:rsidRPr="0028226B">
        <w:rPr>
          <w:rFonts w:ascii="Arial" w:hAnsi="Arial" w:cs="Arial"/>
          <w:b/>
          <w:bCs/>
          <w:i w:val="0"/>
          <w:iCs w:val="0"/>
          <w:color w:val="auto"/>
          <w:sz w:val="24"/>
          <w:szCs w:val="24"/>
        </w:rPr>
        <w:instrText xml:space="preserve"> SEQ Wykres \* ARABIC </w:instrText>
      </w:r>
      <w:r w:rsidRPr="0028226B">
        <w:rPr>
          <w:rFonts w:ascii="Arial" w:hAnsi="Arial" w:cs="Arial"/>
          <w:b/>
          <w:bCs/>
          <w:i w:val="0"/>
          <w:iCs w:val="0"/>
          <w:color w:val="auto"/>
          <w:sz w:val="24"/>
          <w:szCs w:val="24"/>
        </w:rPr>
        <w:fldChar w:fldCharType="separate"/>
      </w:r>
      <w:r w:rsidR="0055789E">
        <w:rPr>
          <w:rFonts w:ascii="Arial" w:hAnsi="Arial" w:cs="Arial"/>
          <w:b/>
          <w:bCs/>
          <w:i w:val="0"/>
          <w:iCs w:val="0"/>
          <w:noProof/>
          <w:color w:val="auto"/>
          <w:sz w:val="24"/>
          <w:szCs w:val="24"/>
        </w:rPr>
        <w:t>59</w:t>
      </w:r>
      <w:r w:rsidRPr="0028226B">
        <w:rPr>
          <w:rFonts w:ascii="Arial" w:hAnsi="Arial" w:cs="Arial"/>
          <w:b/>
          <w:bCs/>
          <w:i w:val="0"/>
          <w:iCs w:val="0"/>
          <w:color w:val="auto"/>
          <w:sz w:val="24"/>
          <w:szCs w:val="24"/>
        </w:rPr>
        <w:fldChar w:fldCharType="end"/>
      </w:r>
      <w:r w:rsidRPr="0028226B">
        <w:rPr>
          <w:rFonts w:ascii="Arial" w:hAnsi="Arial" w:cs="Arial"/>
          <w:b/>
          <w:bCs/>
          <w:i w:val="0"/>
          <w:iCs w:val="0"/>
          <w:color w:val="auto"/>
          <w:sz w:val="24"/>
          <w:szCs w:val="24"/>
        </w:rPr>
        <w:t>. P48. Czy Pana(i) zdaniem informacje na temat Funduszy Europejskich są łatwo dostępne? - w latach 2018–2025</w:t>
      </w:r>
      <w:bookmarkEnd w:id="78"/>
    </w:p>
    <w:p w14:paraId="13BD6D1C" w14:textId="77777777" w:rsidR="00D278D5" w:rsidRPr="0028226B" w:rsidRDefault="00D278D5" w:rsidP="00D278D5">
      <w:pPr>
        <w:rPr>
          <w:rFonts w:ascii="Arial" w:hAnsi="Arial" w:cs="Arial"/>
          <w:b/>
          <w:bCs/>
          <w:sz w:val="24"/>
          <w:szCs w:val="24"/>
        </w:rPr>
      </w:pPr>
      <w:r w:rsidRPr="0028226B">
        <w:rPr>
          <w:rFonts w:ascii="Arial" w:hAnsi="Arial" w:cs="Arial"/>
          <w:noProof/>
          <w:sz w:val="24"/>
          <w:szCs w:val="24"/>
        </w:rPr>
        <w:drawing>
          <wp:inline distT="0" distB="0" distL="0" distR="0" wp14:anchorId="511107BC" wp14:editId="09CDC3C1">
            <wp:extent cx="5486400" cy="3956538"/>
            <wp:effectExtent l="0" t="0" r="0" b="0"/>
            <wp:docPr id="85688989" name="Wykres 5" descr="Wykres 60 przedstawia odpowiedzi na pytanie:&#10;„Czy Pana(i) zdaniem informacje na temat Funduszy Europejskich są łatwo dostępne?”&#10;Dane zaprezentowano w ujęciu lat 2018–2025. Kategorie odpowiedzi oznaczono kolorami:&#10;– zdecydowanie tak (granat),&#10;– raczej tak (jasnoszary),&#10;– ani tak, ani nie (ciemnoszary),&#10;– raczej nie (żółty),&#10;– zdecydowanie nie (niebieski),&#10;– nie wiem / trudno powiedzieć (zielony).&#10;&#10;2025 (N=955): 12% zdecydowanie tak, 43% raczej tak, 26% neutralnie, 10% raczej nie, 5% zdecydowanie nie, 5% nie wiem.&#10;2024 (N=5707): 12% zdecydowanie tak, 45% raczej tak, 17% neutralnie, 10% raczej nie, 4% zdecydowanie nie, 13% nie wiem.&#10;2023 (N=888): 11% zdecydowanie tak, 45% raczej tak, 20% neutralnie, 10% raczej nie, 4% zdecydowanie nie, 10% nie wiem.&#10;2022 (N=5279): 11% zdecydowanie tak, 42% raczej tak, 18% neutralnie, 12% raczej nie, 4% zdecydowanie nie, 12% nie wiem.&#10;2021 (N=887): 11% zdecydowanie tak, 51% raczej tak, 15% neutralnie, 11% raczej nie, 3% zdecydowanie nie, 8% nie wiem.&#10;2020 (N=5514): 7% zdecydowanie tak, 37% raczej tak, 21% neutralnie, 12% raczej nie, 6% zdecydowanie nie, 16% nie wiem.&#10;2019 (N=905): 6% zdecydowanie tak, 37% raczej tak, 24% neutralnie, 13% raczej nie, 3% zdecydowanie nie, 17% nie wiem.&#10;2018 (N=5615): 7% zdecydowanie tak, 44% raczej tak, 20% neutralnie, 11% raczej nie, 4% zdecydowanie nie, 14% nie wiem."/>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14:paraId="650F9174" w14:textId="5F2DADA4" w:rsidR="00D278D5" w:rsidRDefault="00D278D5" w:rsidP="00D278D5">
      <w:pPr>
        <w:rPr>
          <w:rFonts w:ascii="Arial" w:hAnsi="Arial" w:cs="Arial"/>
          <w:sz w:val="24"/>
          <w:szCs w:val="24"/>
        </w:rPr>
      </w:pPr>
      <w:r w:rsidRPr="00672A70">
        <w:rPr>
          <w:rFonts w:ascii="Arial" w:hAnsi="Arial" w:cs="Arial"/>
          <w:sz w:val="24"/>
          <w:szCs w:val="24"/>
        </w:rPr>
        <w:t>Źródło: Opracowano na podstawie badania CAPI</w:t>
      </w:r>
      <w:r w:rsidR="0083569E">
        <w:rPr>
          <w:rFonts w:ascii="Arial" w:hAnsi="Arial" w:cs="Arial"/>
          <w:sz w:val="24"/>
          <w:szCs w:val="24"/>
        </w:rPr>
        <w:t>; odpowiadający: znający określenie FE lub FU</w:t>
      </w:r>
    </w:p>
    <w:p w14:paraId="296BEC1C" w14:textId="77777777" w:rsidR="00B11D58" w:rsidRDefault="00B11D58" w:rsidP="00B11D58">
      <w:pPr>
        <w:spacing w:line="360" w:lineRule="auto"/>
        <w:rPr>
          <w:rFonts w:ascii="Arial" w:hAnsi="Arial" w:cs="Arial"/>
          <w:sz w:val="24"/>
          <w:szCs w:val="24"/>
        </w:rPr>
      </w:pPr>
      <w:r w:rsidRPr="000F780E">
        <w:rPr>
          <w:rFonts w:ascii="Arial" w:hAnsi="Arial" w:cs="Arial"/>
          <w:sz w:val="24"/>
          <w:szCs w:val="24"/>
        </w:rPr>
        <w:t>Dostępność informacji o Funduszach Europejskich jest różnie postrzegana w zależności od grupy społecznej. Ogólnie 43% badanych deklaruje, że informacje są raczej łatwo dostępne, a 12% uważa, że są zdecydowanie łatwo dostępne; 26% wybiera odpowiedź „ani tak, ani nie”, 10% „raczej nie”, a po 5% „zdecydowanie nie” oraz „nie wiem / trudno powiedzieć”. Podwyższony odsetek odpowiedzi „zdecydowanie tak” występuje przede wszystkim wśród mieszkańców miejscowości do 20 tys. mieszkańców (17% wobec 12% ogółem)</w:t>
      </w:r>
      <w:r>
        <w:rPr>
          <w:rFonts w:ascii="Arial" w:hAnsi="Arial" w:cs="Arial"/>
          <w:sz w:val="24"/>
          <w:szCs w:val="24"/>
        </w:rPr>
        <w:t xml:space="preserve">. </w:t>
      </w:r>
    </w:p>
    <w:p w14:paraId="2C4DBAC0" w14:textId="77777777" w:rsidR="00B11D58" w:rsidRPr="00672A70" w:rsidRDefault="00B11D58" w:rsidP="00B11D58">
      <w:pPr>
        <w:spacing w:line="360" w:lineRule="auto"/>
        <w:rPr>
          <w:rFonts w:ascii="Arial" w:hAnsi="Arial" w:cs="Arial"/>
          <w:sz w:val="24"/>
          <w:szCs w:val="24"/>
        </w:rPr>
      </w:pPr>
      <w:r w:rsidRPr="00942730">
        <w:rPr>
          <w:rFonts w:ascii="Arial" w:hAnsi="Arial" w:cs="Arial"/>
          <w:sz w:val="24"/>
          <w:szCs w:val="24"/>
        </w:rPr>
        <w:t xml:space="preserve">Osoby młodsze (15–19 oraz 20–24 lata) częściej wskazują, że informacje na temat Funduszy Europejskich są raczej łatwo dostępne, przy jednocześnie wyższym odsetku odpowiedzi „nie wiem / trudno powiedzieć”, co może świadczyć o mniejszym doświadczeniu w samodzielnym poszukiwaniu tego typu informacji. Z kolei mieszkańcy największych miast, liczących powyżej 500 tys. mieszkańców, relatywnie częściej zaznaczają odpowiedzi neutralne („ani tak, ani nie”) lub wskazujące na trudniejszy dostęp do informacji, co może wynikać z większej złożoności oferty </w:t>
      </w:r>
      <w:r w:rsidRPr="00942730">
        <w:rPr>
          <w:rFonts w:ascii="Arial" w:hAnsi="Arial" w:cs="Arial"/>
          <w:sz w:val="24"/>
          <w:szCs w:val="24"/>
        </w:rPr>
        <w:lastRenderedPageBreak/>
        <w:t>informacyjnej i większej liczby źródeł. Wśród osób z wykształceniem zawodowym najczęściej pojawia się odpowiedź „ani tak, ani nie”, co wskazuje na mniej jednoznaczne oceny dostępności informacji, przy braku wyraźnego przechylenia w stronę ocen pozytywnych lub negatywnych.</w:t>
      </w:r>
    </w:p>
    <w:p w14:paraId="3D0223A7" w14:textId="77777777" w:rsidR="00B11D58" w:rsidRPr="00672A70" w:rsidRDefault="00B11D58" w:rsidP="00B11D58">
      <w:pPr>
        <w:spacing w:line="360" w:lineRule="auto"/>
        <w:rPr>
          <w:rFonts w:ascii="Arial" w:hAnsi="Arial" w:cs="Arial"/>
          <w:sz w:val="24"/>
          <w:szCs w:val="24"/>
        </w:rPr>
      </w:pPr>
      <w:r w:rsidRPr="00672A70">
        <w:rPr>
          <w:rFonts w:ascii="Arial" w:hAnsi="Arial" w:cs="Arial"/>
          <w:sz w:val="24"/>
          <w:szCs w:val="24"/>
        </w:rPr>
        <w:t xml:space="preserve">Całościowy rozkład </w:t>
      </w:r>
      <w:r>
        <w:rPr>
          <w:rFonts w:ascii="Arial" w:hAnsi="Arial" w:cs="Arial"/>
          <w:sz w:val="24"/>
          <w:szCs w:val="24"/>
        </w:rPr>
        <w:t xml:space="preserve">odpowiedzi </w:t>
      </w:r>
      <w:r w:rsidRPr="00672A70">
        <w:rPr>
          <w:rFonts w:ascii="Arial" w:hAnsi="Arial" w:cs="Arial"/>
          <w:sz w:val="24"/>
          <w:szCs w:val="24"/>
        </w:rPr>
        <w:t>wskazuje, że choć przeważają odczucia pozytywne, istotna część respondentów (łącznie 15%) sygnalizuje trudności z dostępem do informacji</w:t>
      </w:r>
      <w:r>
        <w:rPr>
          <w:rFonts w:ascii="Arial" w:hAnsi="Arial" w:cs="Arial"/>
          <w:sz w:val="24"/>
          <w:szCs w:val="24"/>
        </w:rPr>
        <w:t xml:space="preserve"> o FE</w:t>
      </w:r>
      <w:r w:rsidRPr="00672A70">
        <w:rPr>
          <w:rFonts w:ascii="Arial" w:hAnsi="Arial" w:cs="Arial"/>
          <w:sz w:val="24"/>
          <w:szCs w:val="24"/>
        </w:rPr>
        <w:t>, a 5% nie potrafi jednoznacznie ocenić sytuacji.</w:t>
      </w:r>
    </w:p>
    <w:p w14:paraId="161E9796" w14:textId="7F4146BF" w:rsidR="00B11D58" w:rsidRPr="00AA4EBE" w:rsidRDefault="00B11D58" w:rsidP="00B11D58">
      <w:pPr>
        <w:pStyle w:val="Legenda"/>
        <w:keepNext/>
        <w:rPr>
          <w:rFonts w:ascii="Arial" w:hAnsi="Arial" w:cs="Arial"/>
          <w:b/>
          <w:bCs/>
          <w:i w:val="0"/>
          <w:iCs w:val="0"/>
          <w:color w:val="000000" w:themeColor="text1"/>
          <w:sz w:val="24"/>
          <w:szCs w:val="24"/>
        </w:rPr>
      </w:pPr>
      <w:bookmarkStart w:id="79" w:name="_Toc219369286"/>
      <w:r w:rsidRPr="00AA4EBE">
        <w:rPr>
          <w:rFonts w:ascii="Arial" w:hAnsi="Arial" w:cs="Arial"/>
          <w:b/>
          <w:bCs/>
          <w:i w:val="0"/>
          <w:iCs w:val="0"/>
          <w:color w:val="000000" w:themeColor="text1"/>
          <w:sz w:val="24"/>
          <w:szCs w:val="24"/>
        </w:rPr>
        <w:t xml:space="preserve">Wykres </w:t>
      </w:r>
      <w:r w:rsidRPr="00AA4EBE">
        <w:rPr>
          <w:rFonts w:ascii="Arial" w:hAnsi="Arial" w:cs="Arial"/>
          <w:b/>
          <w:bCs/>
          <w:i w:val="0"/>
          <w:iCs w:val="0"/>
          <w:color w:val="000000" w:themeColor="text1"/>
          <w:sz w:val="24"/>
          <w:szCs w:val="24"/>
        </w:rPr>
        <w:fldChar w:fldCharType="begin"/>
      </w:r>
      <w:r w:rsidRPr="00AA4EBE">
        <w:rPr>
          <w:rFonts w:ascii="Arial" w:hAnsi="Arial" w:cs="Arial"/>
          <w:b/>
          <w:bCs/>
          <w:i w:val="0"/>
          <w:iCs w:val="0"/>
          <w:color w:val="000000" w:themeColor="text1"/>
          <w:sz w:val="24"/>
          <w:szCs w:val="24"/>
        </w:rPr>
        <w:instrText xml:space="preserve"> SEQ Wykres \* ARABIC </w:instrText>
      </w:r>
      <w:r w:rsidRPr="00AA4EBE">
        <w:rPr>
          <w:rFonts w:ascii="Arial" w:hAnsi="Arial" w:cs="Arial"/>
          <w:b/>
          <w:bCs/>
          <w:i w:val="0"/>
          <w:iCs w:val="0"/>
          <w:color w:val="000000" w:themeColor="text1"/>
          <w:sz w:val="24"/>
          <w:szCs w:val="24"/>
        </w:rPr>
        <w:fldChar w:fldCharType="separate"/>
      </w:r>
      <w:r w:rsidR="0055789E">
        <w:rPr>
          <w:rFonts w:ascii="Arial" w:hAnsi="Arial" w:cs="Arial"/>
          <w:b/>
          <w:bCs/>
          <w:i w:val="0"/>
          <w:iCs w:val="0"/>
          <w:noProof/>
          <w:color w:val="000000" w:themeColor="text1"/>
          <w:sz w:val="24"/>
          <w:szCs w:val="24"/>
        </w:rPr>
        <w:t>60</w:t>
      </w:r>
      <w:r w:rsidRPr="00AA4EBE">
        <w:rPr>
          <w:rFonts w:ascii="Arial" w:hAnsi="Arial" w:cs="Arial"/>
          <w:b/>
          <w:bCs/>
          <w:i w:val="0"/>
          <w:iCs w:val="0"/>
          <w:color w:val="000000" w:themeColor="text1"/>
          <w:sz w:val="24"/>
          <w:szCs w:val="24"/>
        </w:rPr>
        <w:fldChar w:fldCharType="end"/>
      </w:r>
      <w:r w:rsidRPr="00AA4EBE">
        <w:rPr>
          <w:rFonts w:ascii="Arial" w:hAnsi="Arial" w:cs="Arial"/>
          <w:b/>
          <w:bCs/>
          <w:i w:val="0"/>
          <w:iCs w:val="0"/>
          <w:color w:val="000000" w:themeColor="text1"/>
          <w:sz w:val="24"/>
          <w:szCs w:val="24"/>
        </w:rPr>
        <w:t>. P48. Czy Pana(i) zdaniem informacje na temat Funduszy Europejskich są łatwo dostępne? - według cech społeczno-demograficznych</w:t>
      </w:r>
      <w:r>
        <w:rPr>
          <w:rFonts w:ascii="Arial" w:hAnsi="Arial" w:cs="Arial"/>
          <w:b/>
          <w:bCs/>
          <w:i w:val="0"/>
          <w:iCs w:val="0"/>
          <w:color w:val="000000" w:themeColor="text1"/>
          <w:sz w:val="24"/>
          <w:szCs w:val="24"/>
        </w:rPr>
        <w:t xml:space="preserve"> (N=955)</w:t>
      </w:r>
      <w:bookmarkEnd w:id="79"/>
    </w:p>
    <w:p w14:paraId="2EAA07C5" w14:textId="77777777" w:rsidR="00B11D58" w:rsidRPr="0028226B" w:rsidRDefault="00B11D58" w:rsidP="00A56EAB">
      <w:pPr>
        <w:spacing w:after="0"/>
        <w:rPr>
          <w:rFonts w:ascii="Arial" w:hAnsi="Arial" w:cs="Arial"/>
          <w:b/>
          <w:bCs/>
          <w:sz w:val="24"/>
          <w:szCs w:val="24"/>
        </w:rPr>
      </w:pPr>
      <w:r w:rsidRPr="0028226B">
        <w:rPr>
          <w:rFonts w:ascii="Arial" w:hAnsi="Arial" w:cs="Arial"/>
          <w:noProof/>
          <w:sz w:val="24"/>
          <w:szCs w:val="24"/>
        </w:rPr>
        <w:drawing>
          <wp:inline distT="0" distB="0" distL="0" distR="0" wp14:anchorId="26961158" wp14:editId="41BC8176">
            <wp:extent cx="5486400" cy="5730240"/>
            <wp:effectExtent l="0" t="0" r="0" b="0"/>
            <wp:docPr id="1569096848" name="Wykres 5" descr="Wykres 61 przedstawia odpowiedzi na pytanie:&#10;„Czy Pana(i) zdaniem informacje na temat Funduszy Europejskich są łatwo dostępne?”&#10;Dane zaprezentowano według cech społeczno-demograficznych. Kategorie odpowiedzi:&#10;– zdecydowanie tak (granat),&#10;– raczej tak (jasnoszary),&#10;– ani tak, ani nie (ciemnoszary),&#10;– raczej nie (żółty),&#10;– zdecydowanie nie (niebieski),&#10;– nie wiem / trudno powiedzieć (zielony).&#10;&#10;Ogółem: zdecydowanie tak 12%, raczej tak 43%, neutralnie 26%, raczej nie 10%, zdecydowanie nie 5%, nie wiem 5%.&#10;&#10;Płeć:&#10;Kobieta – 10% zdecydowanie tak, 44% raczej tak, 25% neutralnie, 11% raczej nie, 5% zdecydowanie nie, 6% nie wiem.&#10;Mężczyzna – 15% zdecydowanie tak, 42% raczej tak, 27% neutralnie, 9% raczej nie, 4% zdecydowanie nie, 5% nie wiem.&#10;&#10;Wiek:&#10;15–19 lat – 5% zdecydowanie tak, 54% raczej tak, 19% neutralnie, 10% raczej nie, 3% zdecydowanie nie, 9% nie wiem.&#10;20–24 lata – 14% zdecydowanie tak, 49% raczej tak, 25% neutralnie, 7% raczej nie, 3% zdecydowanie nie, 3% nie wiem.&#10;25–34 lata – 14% zdecydowanie tak, 40% raczej tak, 28% neutralnie, 10% raczej nie, 5% zdecydowanie nie, 4% nie wiem.&#10;35–44 lata – 11% zdecydowanie tak, 42% raczej tak, 28% neutralnie, 9% raczej nie, 4% zdecydowanie nie, 6% nie wiem.&#10;45–54 lata – 9% zdecydowanie tak, 40% raczej tak, 26% neutralnie, 13% raczej nie, 9% zdecydowanie nie, 4% nie wiem.&#10;55–64 lata – 13% zdecydowanie tak, 45% raczej tak, 24% neutralnie, 9% raczej nie, 7% zdecydowanie nie, 3% nie wiem.&#10;65+ – 13% zdecydowanie tak, 43% raczej tak, 25% neutralnie, 10% raczej nie, 4% zdecydowanie nie, 5% nie wiem.&#10;&#10;Wykształcenie:&#10;Wyższe – 12% zdecydowanie tak, 42% raczej tak, 27% neutralnie, 11% raczej nie, 6% zdecydowanie nie, 3% nie wiem.&#10;Średnie – 11% zdecydowanie tak, 46% raczej tak, 22% neutralnie, 11% raczej nie, 4% zdecydowanie nie, 6% nie wiem.&#10;Zawodowe – 10% zdecydowanie tak, 42% raczej tak, 30% neutralnie, 9% raczej nie, 5% zdecydowanie nie, 5% nie wiem.&#10;Podstawowe – 13% zdecydowanie tak, 43% raczej tak, 24% neutralnie, 9% raczej nie, 3% zdecydowanie nie, 7% nie wiem.&#10;&#10;Wielkość miejscowości:&#10;Wieś – 12% zdecydowanie tak, 44% raczej tak, 24% neutralnie, 8% raczej nie, 6% zdecydowanie nie, 7% nie wiem.&#10;Do 20 tys. – 17% zdecydowanie tak, 39% raczej tak, 26% neutralnie, 13% raczej nie, 4% zdecydowanie nie, 1% nie wiem.&#10;20–49 tys. – 11% zdecydowanie tak, 40% raczej tak, 30% neutralnie, 11% raczej nie, 1% zdecydowanie nie, 8% nie wiem.&#10;50–199 tys. – 11% zdecydowanie tak, 42% raczej tak, 30% neutralnie, 7% raczej nie, 5% zdecydowanie nie, 5% nie wiem.&#10;200–499 tys. – 11% zdecydowanie tak, 47% raczej tak, 20% neutralnie, 15% raczej nie, 3% zdecydowanie nie, 3% nie wiem.&#10;500 tys.+ – 5% zdecydowanie tak, 49% raczej tak, 27% neutralnie, 10% raczej nie, 5% zdecydowanie nie, 4% nie wiem.&#10;&#10;Wykres ukazuje, że dominującą odpowiedzią we wszystkich grupach jest „raczej tak”. Najwyższe wartości odpowiedzi negatywnych widoczne są w grupach 45–54 lata oraz w miastach średnich i dużych (200–499 tys. oraz 500 tys.+)."/>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14:paraId="4BF8E5D6" w14:textId="7BA09CBB" w:rsidR="00B11D58" w:rsidRPr="00672A70" w:rsidRDefault="00B11D58" w:rsidP="00B11D58">
      <w:pPr>
        <w:rPr>
          <w:rFonts w:ascii="Arial" w:hAnsi="Arial" w:cs="Arial"/>
          <w:sz w:val="24"/>
          <w:szCs w:val="24"/>
        </w:rPr>
      </w:pPr>
      <w:r w:rsidRPr="00672A70">
        <w:rPr>
          <w:rFonts w:ascii="Arial" w:hAnsi="Arial" w:cs="Arial"/>
          <w:sz w:val="24"/>
          <w:szCs w:val="24"/>
        </w:rPr>
        <w:t>Źródło: Opracowano na podstawie badania CAPI</w:t>
      </w:r>
      <w:r w:rsidR="0083569E">
        <w:rPr>
          <w:rFonts w:ascii="Arial" w:hAnsi="Arial" w:cs="Arial"/>
          <w:sz w:val="24"/>
          <w:szCs w:val="24"/>
        </w:rPr>
        <w:t>; odpowiadający: znający określenie FE lub FU</w:t>
      </w:r>
    </w:p>
    <w:p w14:paraId="7501A360" w14:textId="33864F45" w:rsidR="00B11D58" w:rsidRPr="00A56EAB" w:rsidRDefault="00B11D58" w:rsidP="00A56EAB">
      <w:pPr>
        <w:pStyle w:val="Legenda"/>
        <w:keepNext/>
        <w:spacing w:line="360" w:lineRule="auto"/>
        <w:rPr>
          <w:rFonts w:ascii="Arial" w:hAnsi="Arial" w:cs="Arial"/>
          <w:i w:val="0"/>
          <w:iCs w:val="0"/>
          <w:color w:val="auto"/>
          <w:sz w:val="24"/>
          <w:szCs w:val="24"/>
        </w:rPr>
      </w:pPr>
      <w:r w:rsidRPr="00A56EAB">
        <w:rPr>
          <w:rFonts w:ascii="Arial" w:hAnsi="Arial" w:cs="Arial"/>
          <w:i w:val="0"/>
          <w:iCs w:val="0"/>
          <w:color w:val="auto"/>
          <w:sz w:val="24"/>
          <w:szCs w:val="24"/>
        </w:rPr>
        <w:lastRenderedPageBreak/>
        <w:t xml:space="preserve">W 2025 roku respondenci zostali zapytani, gdzie szukaliby informacji, gdyby chcieli ubiegać się </w:t>
      </w:r>
      <w:r w:rsidRPr="00687EF7">
        <w:rPr>
          <w:rFonts w:ascii="Arial" w:hAnsi="Arial" w:cs="Arial"/>
          <w:i w:val="0"/>
          <w:iCs w:val="0"/>
          <w:color w:val="auto"/>
          <w:sz w:val="24"/>
          <w:szCs w:val="24"/>
          <w:u w:val="single"/>
        </w:rPr>
        <w:t>o dotację unijną</w:t>
      </w:r>
      <w:r w:rsidRPr="00A56EAB">
        <w:rPr>
          <w:rFonts w:ascii="Arial" w:hAnsi="Arial" w:cs="Arial"/>
          <w:i w:val="0"/>
          <w:iCs w:val="0"/>
          <w:color w:val="auto"/>
          <w:sz w:val="24"/>
          <w:szCs w:val="24"/>
        </w:rPr>
        <w:t>. Zdecydowanie najczęściej wskazywanym miejscem jest Internet – odpowiedź tę wybrało 87% badanych. W dalszej kolejności respondenci deklarują, że informacji szukaliby w urzędach w ujęciu ogólnym (16%) oraz w urzędach gminy, miasta lub dzielnicy (15%). Rzadziej wskazywane są urząd pracy (6%), punkty informacyjne (5%) oraz znajomi (5%). Pojedyncze wskazania dotyczą urzędu marszałkowskiego (4%), agencji rolnej (2%) oraz starostwa (1%). Jednocześnie 5% respondentów deklaruje, że nie zamierza ubiegać się o dotacje unijne, a 3% nie potrafi jednoznacznie odpowiedzieć na to pytanie. Wyniki te pokazują deklarowane preferencje informacyjne respondentów w sytuacji potencjalnego zainteresowania pozyskaniem środków z Funduszy Europejskich.</w:t>
      </w:r>
    </w:p>
    <w:p w14:paraId="7F1CB2E9" w14:textId="2AC24D69" w:rsidR="00AE25A7" w:rsidRPr="0028226B" w:rsidRDefault="00AE25A7" w:rsidP="00A56EAB">
      <w:pPr>
        <w:pStyle w:val="Legenda"/>
        <w:keepNext/>
        <w:spacing w:after="0"/>
        <w:rPr>
          <w:rFonts w:ascii="Arial" w:hAnsi="Arial" w:cs="Arial"/>
          <w:b/>
          <w:bCs/>
          <w:i w:val="0"/>
          <w:iCs w:val="0"/>
          <w:color w:val="auto"/>
          <w:sz w:val="24"/>
          <w:szCs w:val="24"/>
        </w:rPr>
      </w:pPr>
      <w:bookmarkStart w:id="80" w:name="_Toc219369287"/>
      <w:r w:rsidRPr="0028226B">
        <w:rPr>
          <w:rFonts w:ascii="Arial" w:hAnsi="Arial" w:cs="Arial"/>
          <w:b/>
          <w:bCs/>
          <w:i w:val="0"/>
          <w:iCs w:val="0"/>
          <w:color w:val="auto"/>
          <w:sz w:val="24"/>
          <w:szCs w:val="24"/>
        </w:rPr>
        <w:t xml:space="preserve">Wykres </w:t>
      </w:r>
      <w:r w:rsidRPr="0028226B">
        <w:rPr>
          <w:rFonts w:ascii="Arial" w:hAnsi="Arial" w:cs="Arial"/>
          <w:b/>
          <w:bCs/>
          <w:i w:val="0"/>
          <w:iCs w:val="0"/>
          <w:color w:val="auto"/>
          <w:sz w:val="24"/>
          <w:szCs w:val="24"/>
        </w:rPr>
        <w:fldChar w:fldCharType="begin"/>
      </w:r>
      <w:r w:rsidRPr="0028226B">
        <w:rPr>
          <w:rFonts w:ascii="Arial" w:hAnsi="Arial" w:cs="Arial"/>
          <w:b/>
          <w:bCs/>
          <w:i w:val="0"/>
          <w:iCs w:val="0"/>
          <w:color w:val="auto"/>
          <w:sz w:val="24"/>
          <w:szCs w:val="24"/>
        </w:rPr>
        <w:instrText xml:space="preserve"> SEQ Wykres \* ARABIC </w:instrText>
      </w:r>
      <w:r w:rsidRPr="0028226B">
        <w:rPr>
          <w:rFonts w:ascii="Arial" w:hAnsi="Arial" w:cs="Arial"/>
          <w:b/>
          <w:bCs/>
          <w:i w:val="0"/>
          <w:iCs w:val="0"/>
          <w:color w:val="auto"/>
          <w:sz w:val="24"/>
          <w:szCs w:val="24"/>
        </w:rPr>
        <w:fldChar w:fldCharType="separate"/>
      </w:r>
      <w:r w:rsidR="0055789E">
        <w:rPr>
          <w:rFonts w:ascii="Arial" w:hAnsi="Arial" w:cs="Arial"/>
          <w:b/>
          <w:bCs/>
          <w:i w:val="0"/>
          <w:iCs w:val="0"/>
          <w:noProof/>
          <w:color w:val="auto"/>
          <w:sz w:val="24"/>
          <w:szCs w:val="24"/>
        </w:rPr>
        <w:t>61</w:t>
      </w:r>
      <w:r w:rsidRPr="0028226B">
        <w:rPr>
          <w:rFonts w:ascii="Arial" w:hAnsi="Arial" w:cs="Arial"/>
          <w:b/>
          <w:bCs/>
          <w:i w:val="0"/>
          <w:iCs w:val="0"/>
          <w:color w:val="auto"/>
          <w:sz w:val="24"/>
          <w:szCs w:val="24"/>
        </w:rPr>
        <w:fldChar w:fldCharType="end"/>
      </w:r>
      <w:r w:rsidRPr="0028226B">
        <w:rPr>
          <w:rFonts w:ascii="Arial" w:hAnsi="Arial" w:cs="Arial"/>
          <w:b/>
          <w:bCs/>
          <w:i w:val="0"/>
          <w:iCs w:val="0"/>
          <w:color w:val="auto"/>
          <w:sz w:val="24"/>
          <w:szCs w:val="24"/>
        </w:rPr>
        <w:t xml:space="preserve">. </w:t>
      </w:r>
      <w:r w:rsidR="004B1D92" w:rsidRPr="004B1D92">
        <w:rPr>
          <w:rFonts w:ascii="Arial" w:hAnsi="Arial" w:cs="Arial"/>
          <w:b/>
          <w:bCs/>
          <w:i w:val="0"/>
          <w:iCs w:val="0"/>
          <w:color w:val="auto"/>
          <w:sz w:val="24"/>
          <w:szCs w:val="24"/>
        </w:rPr>
        <w:t>P49. A proszę powiedzieć, gdyby Pan(i) chciał(a) uzyskać dotację unijną - gdzie szukał(a)by Pan(i) informacji?</w:t>
      </w:r>
      <w:r w:rsidR="00D278D5">
        <w:rPr>
          <w:rFonts w:ascii="Arial" w:hAnsi="Arial" w:cs="Arial"/>
          <w:b/>
          <w:bCs/>
          <w:i w:val="0"/>
          <w:iCs w:val="0"/>
          <w:color w:val="auto"/>
          <w:sz w:val="24"/>
          <w:szCs w:val="24"/>
        </w:rPr>
        <w:t xml:space="preserve"> (N=955)</w:t>
      </w:r>
      <w:bookmarkEnd w:id="80"/>
    </w:p>
    <w:p w14:paraId="0CCF29EA" w14:textId="0287B148" w:rsidR="00EC0EA0" w:rsidRPr="0028226B" w:rsidRDefault="00EC0EA0" w:rsidP="00A56EAB">
      <w:pPr>
        <w:spacing w:after="0"/>
        <w:rPr>
          <w:rFonts w:ascii="Arial" w:hAnsi="Arial" w:cs="Arial"/>
          <w:b/>
          <w:bCs/>
          <w:sz w:val="24"/>
          <w:szCs w:val="24"/>
        </w:rPr>
      </w:pPr>
      <w:r w:rsidRPr="0028226B">
        <w:rPr>
          <w:rFonts w:ascii="Arial" w:hAnsi="Arial" w:cs="Arial"/>
          <w:noProof/>
          <w:sz w:val="24"/>
          <w:szCs w:val="24"/>
        </w:rPr>
        <w:drawing>
          <wp:inline distT="0" distB="0" distL="0" distR="0" wp14:anchorId="2AA8BE45" wp14:editId="7C77F237">
            <wp:extent cx="5760720" cy="2714625"/>
            <wp:effectExtent l="0" t="0" r="0" b="0"/>
            <wp:docPr id="2127543003" name="Wykres 1" descr="Wykres 59 przedstawia odpowiedzi na pytanie:&#10;„Gdyby chciał(a) się Pan(i) dowiedzieć więcej o Funduszach Europejskich, gdzie szukał(a)by Pan(i) informacji?”&#10;&#10;Zaprezentowano odsetki wskazań dla poszczególnych źródeł informacji:&#10;&#10;W internecie – 87% (zdecydowanie najczęściej wybierane źródło).&#10;&#10;W urzędzie (ogólnie) – 16%.&#10;&#10;W urzędzie gminy / miasta / dzielnicy – 15%.&#10;&#10;W urzędzie pracy – 6%.&#10;&#10;W punktach informacyjnych – 5%.&#10;&#10;Wśród znajomych – 5%.&#10;&#10;W urzędzie marszałkowskim – 4%.&#10;&#10;W agencji rolnej – 2%.&#10;&#10;W starostwie – 1%.&#10;&#10;Nie zamierzam ubiegać się o dotacje – 5%.&#10;&#10;Inne – 0%.&#10;&#10;Nie wiem / trudno powiedzieć – 3%.&#10;&#10;Wyniki pokazują jednoznaczną dominację internetu jako podstawowego źródła informacji o Funduszach Europejskich, podczas gdy pozostałe opcje są wskazywane znacznie rzadziej."/>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14:paraId="33779596" w14:textId="18DBF5A6" w:rsidR="00AE25A7" w:rsidRDefault="00AE25A7" w:rsidP="00250A58">
      <w:pPr>
        <w:rPr>
          <w:rFonts w:ascii="Arial" w:hAnsi="Arial" w:cs="Arial"/>
          <w:sz w:val="24"/>
          <w:szCs w:val="24"/>
        </w:rPr>
      </w:pPr>
      <w:r w:rsidRPr="00672A70">
        <w:rPr>
          <w:rFonts w:ascii="Arial" w:hAnsi="Arial" w:cs="Arial"/>
          <w:sz w:val="24"/>
          <w:szCs w:val="24"/>
        </w:rPr>
        <w:t>Źródło: Opracowano na podstawie badania CAPI</w:t>
      </w:r>
      <w:r w:rsidR="0083569E">
        <w:rPr>
          <w:rFonts w:ascii="Arial" w:hAnsi="Arial" w:cs="Arial"/>
          <w:sz w:val="24"/>
          <w:szCs w:val="24"/>
        </w:rPr>
        <w:t>; odpowiadający: znający określenie FE lub FU</w:t>
      </w:r>
    </w:p>
    <w:p w14:paraId="65C0D4C6" w14:textId="417AEA9D" w:rsidR="00964028" w:rsidRPr="00664D76" w:rsidRDefault="00CA6927" w:rsidP="00C0187D">
      <w:pPr>
        <w:spacing w:line="360" w:lineRule="auto"/>
        <w:rPr>
          <w:rFonts w:ascii="Arial" w:hAnsi="Arial" w:cs="Arial"/>
          <w:sz w:val="24"/>
          <w:szCs w:val="24"/>
        </w:rPr>
      </w:pPr>
      <w:r>
        <w:rPr>
          <w:rFonts w:ascii="Arial" w:hAnsi="Arial" w:cs="Arial"/>
          <w:sz w:val="24"/>
          <w:szCs w:val="24"/>
        </w:rPr>
        <w:t>Respondentom zadano pytanie, czy spotkali się ostatnio z</w:t>
      </w:r>
      <w:r w:rsidRPr="00CA6927">
        <w:rPr>
          <w:rFonts w:ascii="Arial" w:hAnsi="Arial" w:cs="Arial"/>
          <w:sz w:val="24"/>
          <w:szCs w:val="24"/>
        </w:rPr>
        <w:t xml:space="preserve"> jakąś reklamą, programem, artykułem lub informacjami o Funduszach Europejskich</w:t>
      </w:r>
      <w:r>
        <w:rPr>
          <w:rFonts w:ascii="Arial" w:hAnsi="Arial" w:cs="Arial"/>
          <w:sz w:val="24"/>
          <w:szCs w:val="24"/>
        </w:rPr>
        <w:t xml:space="preserve">. </w:t>
      </w:r>
      <w:r w:rsidR="00964028" w:rsidRPr="00672A70">
        <w:rPr>
          <w:rFonts w:ascii="Arial" w:hAnsi="Arial" w:cs="Arial"/>
          <w:sz w:val="24"/>
          <w:szCs w:val="24"/>
        </w:rPr>
        <w:t xml:space="preserve">W analizie obejmującej lata 2018–2025 widoczne są wyraźne różnice w poziomie deklarowanego kontaktu mieszkańców </w:t>
      </w:r>
      <w:r w:rsidR="002A350B">
        <w:rPr>
          <w:rFonts w:ascii="Arial" w:hAnsi="Arial" w:cs="Arial"/>
          <w:sz w:val="24"/>
          <w:szCs w:val="24"/>
        </w:rPr>
        <w:t xml:space="preserve">Polski </w:t>
      </w:r>
      <w:r w:rsidR="00964028" w:rsidRPr="00672A70">
        <w:rPr>
          <w:rFonts w:ascii="Arial" w:hAnsi="Arial" w:cs="Arial"/>
          <w:sz w:val="24"/>
          <w:szCs w:val="24"/>
        </w:rPr>
        <w:t xml:space="preserve">z reklamami, programami, artykułami lub innymi informacjami dotyczącymi Funduszy Europejskich. </w:t>
      </w:r>
      <w:r w:rsidR="00964028" w:rsidRPr="00664D76">
        <w:rPr>
          <w:rFonts w:ascii="Arial" w:hAnsi="Arial" w:cs="Arial"/>
          <w:sz w:val="24"/>
          <w:szCs w:val="24"/>
        </w:rPr>
        <w:t>Początkowe lata, czyli 2018–2020, charakteryzowały się umiarkowanie niskimi wartościami – od 14</w:t>
      </w:r>
      <w:r w:rsidR="00B11D58">
        <w:rPr>
          <w:rFonts w:ascii="Arial" w:hAnsi="Arial" w:cs="Arial"/>
          <w:sz w:val="24"/>
          <w:szCs w:val="24"/>
        </w:rPr>
        <w:t>%</w:t>
      </w:r>
      <w:r w:rsidR="00964028" w:rsidRPr="00664D76">
        <w:rPr>
          <w:rFonts w:ascii="Arial" w:hAnsi="Arial" w:cs="Arial"/>
          <w:sz w:val="24"/>
          <w:szCs w:val="24"/>
        </w:rPr>
        <w:t xml:space="preserve"> do 17</w:t>
      </w:r>
      <w:r w:rsidR="00325969" w:rsidRPr="00664D76">
        <w:rPr>
          <w:rFonts w:ascii="Arial" w:hAnsi="Arial" w:cs="Arial"/>
          <w:sz w:val="24"/>
          <w:szCs w:val="24"/>
        </w:rPr>
        <w:t>%</w:t>
      </w:r>
      <w:r w:rsidR="00964028" w:rsidRPr="00664D76">
        <w:rPr>
          <w:rFonts w:ascii="Arial" w:hAnsi="Arial" w:cs="Arial"/>
          <w:sz w:val="24"/>
          <w:szCs w:val="24"/>
        </w:rPr>
        <w:t xml:space="preserve"> wskazań odpowiedzi „tak”. Najwyższy poziom odnotowano w 2021 roku, kiedy odsetek osób deklarujących kontakt z przekazami o Funduszach Europejskich wzrósł do 33</w:t>
      </w:r>
      <w:r w:rsidR="00325969" w:rsidRPr="00664D76">
        <w:rPr>
          <w:rFonts w:ascii="Arial" w:hAnsi="Arial" w:cs="Arial"/>
          <w:sz w:val="24"/>
          <w:szCs w:val="24"/>
        </w:rPr>
        <w:t>%</w:t>
      </w:r>
      <w:r w:rsidR="00964028" w:rsidRPr="00664D76">
        <w:rPr>
          <w:rFonts w:ascii="Arial" w:hAnsi="Arial" w:cs="Arial"/>
          <w:sz w:val="24"/>
          <w:szCs w:val="24"/>
        </w:rPr>
        <w:t xml:space="preserve">, co można wiązać z </w:t>
      </w:r>
      <w:r w:rsidR="00FB372F">
        <w:rPr>
          <w:rFonts w:ascii="Arial" w:hAnsi="Arial" w:cs="Arial"/>
          <w:sz w:val="24"/>
          <w:szCs w:val="24"/>
        </w:rPr>
        <w:t>działaniami informacyjno-promocyjnymi</w:t>
      </w:r>
      <w:r w:rsidR="00964028" w:rsidRPr="00664D76">
        <w:rPr>
          <w:rFonts w:ascii="Arial" w:hAnsi="Arial" w:cs="Arial"/>
          <w:sz w:val="24"/>
          <w:szCs w:val="24"/>
        </w:rPr>
        <w:t xml:space="preserve"> w tym okresie. </w:t>
      </w:r>
      <w:r w:rsidR="00964028" w:rsidRPr="00664D76">
        <w:rPr>
          <w:rFonts w:ascii="Arial" w:hAnsi="Arial" w:cs="Arial"/>
          <w:sz w:val="24"/>
          <w:szCs w:val="24"/>
        </w:rPr>
        <w:lastRenderedPageBreak/>
        <w:t>W kolejnych latach poziom ten ponownie spadł: do 13</w:t>
      </w:r>
      <w:r w:rsidR="00325969" w:rsidRPr="00664D76">
        <w:rPr>
          <w:rFonts w:ascii="Arial" w:hAnsi="Arial" w:cs="Arial"/>
          <w:sz w:val="24"/>
          <w:szCs w:val="24"/>
        </w:rPr>
        <w:t>%</w:t>
      </w:r>
      <w:r w:rsidR="00964028" w:rsidRPr="00664D76">
        <w:rPr>
          <w:rFonts w:ascii="Arial" w:hAnsi="Arial" w:cs="Arial"/>
          <w:sz w:val="24"/>
          <w:szCs w:val="24"/>
        </w:rPr>
        <w:t xml:space="preserve"> w 2022 roku i 21</w:t>
      </w:r>
      <w:r w:rsidR="00325969" w:rsidRPr="00664D76">
        <w:rPr>
          <w:rFonts w:ascii="Arial" w:hAnsi="Arial" w:cs="Arial"/>
          <w:sz w:val="24"/>
          <w:szCs w:val="24"/>
        </w:rPr>
        <w:t>%</w:t>
      </w:r>
      <w:r w:rsidR="00964028" w:rsidRPr="00664D76">
        <w:rPr>
          <w:rFonts w:ascii="Arial" w:hAnsi="Arial" w:cs="Arial"/>
          <w:sz w:val="24"/>
          <w:szCs w:val="24"/>
        </w:rPr>
        <w:t xml:space="preserve"> w 2023 roku.</w:t>
      </w:r>
    </w:p>
    <w:p w14:paraId="31AFA831" w14:textId="776B2BED" w:rsidR="00964028" w:rsidRPr="00664D76" w:rsidRDefault="00964028" w:rsidP="00C0187D">
      <w:pPr>
        <w:spacing w:line="360" w:lineRule="auto"/>
        <w:rPr>
          <w:rFonts w:ascii="Arial" w:hAnsi="Arial" w:cs="Arial"/>
          <w:sz w:val="24"/>
          <w:szCs w:val="24"/>
        </w:rPr>
      </w:pPr>
      <w:r w:rsidRPr="00664D76">
        <w:rPr>
          <w:rFonts w:ascii="Arial" w:hAnsi="Arial" w:cs="Arial"/>
          <w:sz w:val="24"/>
          <w:szCs w:val="24"/>
        </w:rPr>
        <w:t xml:space="preserve">Rok 2024 przyniósł ponowny wzrost widoczności komunikatów – wynik </w:t>
      </w:r>
      <w:r w:rsidR="00325969" w:rsidRPr="00664D76">
        <w:rPr>
          <w:rFonts w:ascii="Arial" w:hAnsi="Arial" w:cs="Arial"/>
          <w:sz w:val="24"/>
          <w:szCs w:val="24"/>
        </w:rPr>
        <w:t>25</w:t>
      </w:r>
      <w:r w:rsidR="00061EA1" w:rsidRPr="00664D76">
        <w:rPr>
          <w:rFonts w:ascii="Arial" w:hAnsi="Arial" w:cs="Arial"/>
          <w:sz w:val="24"/>
          <w:szCs w:val="24"/>
        </w:rPr>
        <w:t>%</w:t>
      </w:r>
      <w:r w:rsidRPr="00664D76">
        <w:rPr>
          <w:rFonts w:ascii="Arial" w:hAnsi="Arial" w:cs="Arial"/>
          <w:sz w:val="24"/>
          <w:szCs w:val="24"/>
        </w:rPr>
        <w:t xml:space="preserve"> plasuje ten rok na drugim miejscu w całej serii. W 2025 roku odsetek osób deklarujących kontakt z informacjami obniżył się jednak do 18</w:t>
      </w:r>
      <w:r w:rsidR="00061EA1" w:rsidRPr="00664D76">
        <w:rPr>
          <w:rFonts w:ascii="Arial" w:hAnsi="Arial" w:cs="Arial"/>
          <w:sz w:val="24"/>
          <w:szCs w:val="24"/>
        </w:rPr>
        <w:t>%</w:t>
      </w:r>
      <w:r w:rsidRPr="00664D76">
        <w:rPr>
          <w:rFonts w:ascii="Arial" w:hAnsi="Arial" w:cs="Arial"/>
          <w:sz w:val="24"/>
          <w:szCs w:val="24"/>
        </w:rPr>
        <w:t xml:space="preserve">, co stanowi wartość bliższą średniej z wcześniejszych lat, choć nadal wyższą niż wyniki z lat o najniższej ekspozycji informacyjnej. Jednocześnie w 2025 roku </w:t>
      </w:r>
      <w:r w:rsidR="00325969" w:rsidRPr="00664D76">
        <w:rPr>
          <w:rFonts w:ascii="Arial" w:hAnsi="Arial" w:cs="Arial"/>
          <w:sz w:val="24"/>
          <w:szCs w:val="24"/>
        </w:rPr>
        <w:t xml:space="preserve">nieznacznie zmniejszył </w:t>
      </w:r>
      <w:r w:rsidRPr="00664D76">
        <w:rPr>
          <w:rFonts w:ascii="Arial" w:hAnsi="Arial" w:cs="Arial"/>
          <w:sz w:val="24"/>
          <w:szCs w:val="24"/>
        </w:rPr>
        <w:t>się odsetek osób deklarujących brak kontaktu z przekazami (</w:t>
      </w:r>
      <w:r w:rsidR="00325969" w:rsidRPr="00664D76">
        <w:rPr>
          <w:rFonts w:ascii="Arial" w:hAnsi="Arial" w:cs="Arial"/>
          <w:sz w:val="24"/>
          <w:szCs w:val="24"/>
        </w:rPr>
        <w:t>65%</w:t>
      </w:r>
      <w:r w:rsidRPr="00664D76">
        <w:rPr>
          <w:rFonts w:ascii="Arial" w:hAnsi="Arial" w:cs="Arial"/>
          <w:sz w:val="24"/>
          <w:szCs w:val="24"/>
        </w:rPr>
        <w:t>), a udział odpowiedzi „nie wiem, trudno powiedzieć” wyniósł 17</w:t>
      </w:r>
      <w:r w:rsidR="00061EA1" w:rsidRPr="00664D76">
        <w:rPr>
          <w:rFonts w:ascii="Arial" w:hAnsi="Arial" w:cs="Arial"/>
          <w:sz w:val="24"/>
          <w:szCs w:val="24"/>
        </w:rPr>
        <w:t>%</w:t>
      </w:r>
      <w:r w:rsidRPr="00664D76">
        <w:rPr>
          <w:rFonts w:ascii="Arial" w:hAnsi="Arial" w:cs="Arial"/>
          <w:sz w:val="24"/>
          <w:szCs w:val="24"/>
        </w:rPr>
        <w:t>.</w:t>
      </w:r>
    </w:p>
    <w:p w14:paraId="3AD427BC" w14:textId="77777777" w:rsidR="00964028" w:rsidRPr="00664D76" w:rsidRDefault="00964028" w:rsidP="00C0187D">
      <w:pPr>
        <w:spacing w:line="360" w:lineRule="auto"/>
        <w:rPr>
          <w:rFonts w:ascii="Arial" w:hAnsi="Arial" w:cs="Arial"/>
          <w:sz w:val="24"/>
          <w:szCs w:val="24"/>
        </w:rPr>
      </w:pPr>
      <w:r w:rsidRPr="00664D76">
        <w:rPr>
          <w:rFonts w:ascii="Arial" w:hAnsi="Arial" w:cs="Arial"/>
          <w:sz w:val="24"/>
          <w:szCs w:val="24"/>
        </w:rPr>
        <w:t>Zestawienie lat 2018–2025 wskazuje, że kontakt z informacjami o Funduszach Europejskich cechuje się dużą zmiennością, która prawdopodobnie odzwierciedla zarówno różnice w intensywności kampanii informacyjnych, jak i zróżnicowany poziom zainteresowania tematem w poszczególnych latach.</w:t>
      </w:r>
    </w:p>
    <w:p w14:paraId="0674E34D" w14:textId="3E7F239C" w:rsidR="00964028" w:rsidRPr="0028226B" w:rsidRDefault="5FBC3CF6" w:rsidP="7A361059">
      <w:pPr>
        <w:pStyle w:val="Legenda"/>
        <w:keepNext/>
        <w:rPr>
          <w:rFonts w:ascii="Arial" w:hAnsi="Arial" w:cs="Arial"/>
          <w:b/>
          <w:bCs/>
          <w:i w:val="0"/>
          <w:iCs w:val="0"/>
          <w:color w:val="auto"/>
          <w:sz w:val="24"/>
          <w:szCs w:val="24"/>
        </w:rPr>
      </w:pPr>
      <w:bookmarkStart w:id="81" w:name="_Toc219369288"/>
      <w:r w:rsidRPr="0028226B">
        <w:rPr>
          <w:rFonts w:ascii="Arial" w:hAnsi="Arial" w:cs="Arial"/>
          <w:b/>
          <w:bCs/>
          <w:i w:val="0"/>
          <w:iCs w:val="0"/>
          <w:color w:val="auto"/>
          <w:sz w:val="24"/>
          <w:szCs w:val="24"/>
        </w:rPr>
        <w:t xml:space="preserve">Wykres </w:t>
      </w:r>
      <w:r w:rsidR="00964028" w:rsidRPr="0028226B">
        <w:rPr>
          <w:rFonts w:ascii="Arial" w:hAnsi="Arial" w:cs="Arial"/>
          <w:b/>
          <w:bCs/>
          <w:i w:val="0"/>
          <w:iCs w:val="0"/>
          <w:color w:val="auto"/>
          <w:sz w:val="24"/>
          <w:szCs w:val="24"/>
        </w:rPr>
        <w:fldChar w:fldCharType="begin"/>
      </w:r>
      <w:r w:rsidR="00964028" w:rsidRPr="0028226B">
        <w:rPr>
          <w:rFonts w:ascii="Arial" w:hAnsi="Arial" w:cs="Arial"/>
          <w:b/>
          <w:bCs/>
          <w:i w:val="0"/>
          <w:iCs w:val="0"/>
          <w:color w:val="auto"/>
          <w:sz w:val="24"/>
          <w:szCs w:val="24"/>
        </w:rPr>
        <w:instrText xml:space="preserve"> SEQ Wykres \* ARABIC </w:instrText>
      </w:r>
      <w:r w:rsidR="00964028" w:rsidRPr="0028226B">
        <w:rPr>
          <w:rFonts w:ascii="Arial" w:hAnsi="Arial" w:cs="Arial"/>
          <w:b/>
          <w:bCs/>
          <w:i w:val="0"/>
          <w:iCs w:val="0"/>
          <w:color w:val="auto"/>
          <w:sz w:val="24"/>
          <w:szCs w:val="24"/>
        </w:rPr>
        <w:fldChar w:fldCharType="separate"/>
      </w:r>
      <w:r w:rsidR="0055789E">
        <w:rPr>
          <w:rFonts w:ascii="Arial" w:hAnsi="Arial" w:cs="Arial"/>
          <w:b/>
          <w:bCs/>
          <w:i w:val="0"/>
          <w:iCs w:val="0"/>
          <w:noProof/>
          <w:color w:val="auto"/>
          <w:sz w:val="24"/>
          <w:szCs w:val="24"/>
        </w:rPr>
        <w:t>62</w:t>
      </w:r>
      <w:r w:rsidR="00964028" w:rsidRPr="0028226B">
        <w:rPr>
          <w:rFonts w:ascii="Arial" w:hAnsi="Arial" w:cs="Arial"/>
          <w:b/>
          <w:bCs/>
          <w:i w:val="0"/>
          <w:iCs w:val="0"/>
          <w:color w:val="auto"/>
          <w:sz w:val="24"/>
          <w:szCs w:val="24"/>
        </w:rPr>
        <w:fldChar w:fldCharType="end"/>
      </w:r>
      <w:r w:rsidRPr="0028226B">
        <w:rPr>
          <w:rFonts w:ascii="Arial" w:hAnsi="Arial" w:cs="Arial"/>
          <w:b/>
          <w:bCs/>
          <w:i w:val="0"/>
          <w:iCs w:val="0"/>
          <w:color w:val="auto"/>
          <w:sz w:val="24"/>
          <w:szCs w:val="24"/>
        </w:rPr>
        <w:t xml:space="preserve">. </w:t>
      </w:r>
      <w:r w:rsidR="6B699AF4" w:rsidRPr="0028226B">
        <w:rPr>
          <w:rFonts w:ascii="Arial" w:hAnsi="Arial" w:cs="Arial"/>
          <w:b/>
          <w:bCs/>
          <w:i w:val="0"/>
          <w:iCs w:val="0"/>
          <w:color w:val="auto"/>
          <w:sz w:val="24"/>
          <w:szCs w:val="24"/>
        </w:rPr>
        <w:t>P37. Czy spotkała się Pan(i) ostatnio z jakąś reklamą, programem, artykułem lub informacjami o Funduszach Europejskich? – w latach 2018-2025</w:t>
      </w:r>
      <w:bookmarkEnd w:id="81"/>
    </w:p>
    <w:p w14:paraId="6462A798" w14:textId="37C45B92" w:rsidR="00F50044" w:rsidRPr="0028226B" w:rsidRDefault="00F50044" w:rsidP="000C6F51">
      <w:pPr>
        <w:rPr>
          <w:rFonts w:ascii="Arial" w:hAnsi="Arial" w:cs="Arial"/>
          <w:sz w:val="24"/>
          <w:szCs w:val="24"/>
        </w:rPr>
      </w:pPr>
      <w:r w:rsidRPr="0028226B">
        <w:rPr>
          <w:rFonts w:ascii="Arial" w:hAnsi="Arial" w:cs="Arial"/>
          <w:noProof/>
          <w:sz w:val="24"/>
          <w:szCs w:val="24"/>
        </w:rPr>
        <w:drawing>
          <wp:inline distT="0" distB="0" distL="0" distR="0" wp14:anchorId="02F9B25B" wp14:editId="74A76A3E">
            <wp:extent cx="5486400" cy="3956538"/>
            <wp:effectExtent l="0" t="0" r="0" b="0"/>
            <wp:docPr id="742974301" name="Wykres 5" descr="Wykres 62 przedstawia odpowiedzi na pytanie:&#10;„Czy spotkała się Pan(i) ostatnio z jakąś reklamą, programem, artykułem lub informacjami o Funduszach Europejskich?”&#10;Dane zaprezentowano dla lat 2018–2025. Trzy kategorie odpowiedzi: tak (granatowy), nie (jasnoszary), nie wiem / trudno powiedzieć (ciemnoszary).&#10;&#10;2018 (N=5615) – tak 14%, nie 78%, nie wiem 8%&#10;2019 (N=905) – tak 22%, nie 71%, nie wiem 7%&#10;2020 (N=5514) – tak 17%, nie 75%, nie wiem 9%&#10;2021 (N=887) – tak 33%, nie 57%, nie wiem 10%&#10;2022 (N=5279) – tak 13%, nie 78%, nie wiem 9%&#10;2023 (N=888) – tak 21%, nie 68%, nie wiem 11%&#10;2024 (N=5707) – tak 25%, nie 68%, nie wiem 7%&#10;2025 (N=955) – tak 18%, nie 65%, nie wiem 17%&#10;&#10;Wyniki pokazują, że odsetek osób deklarujących kontakt z przekazami o Funduszach Europejskich wahał się między 13% a 33%, z najwyższą wartością w roku 2021. Odpowiedź „nie” dominuje we wszystkich latach, szczególnie w 2018 i 2022 (78%). W roku 2025 zauważalny jest zwiększony odsetek osób niezdecydowanych (17%), najwyższy w całej serii pomiarów."/>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14:paraId="7540BEA8" w14:textId="2B58BD8D" w:rsidR="00964028" w:rsidRPr="00672A70" w:rsidRDefault="00964028" w:rsidP="00964028">
      <w:pPr>
        <w:rPr>
          <w:rFonts w:ascii="Arial" w:hAnsi="Arial" w:cs="Arial"/>
          <w:sz w:val="24"/>
          <w:szCs w:val="24"/>
        </w:rPr>
      </w:pPr>
      <w:r w:rsidRPr="00672A70">
        <w:rPr>
          <w:rFonts w:ascii="Arial" w:hAnsi="Arial" w:cs="Arial"/>
          <w:sz w:val="24"/>
          <w:szCs w:val="24"/>
        </w:rPr>
        <w:t>Źródło: Opracowano na podstawie badania CAPI</w:t>
      </w:r>
      <w:r w:rsidR="0083569E">
        <w:rPr>
          <w:rFonts w:ascii="Arial" w:hAnsi="Arial" w:cs="Arial"/>
          <w:sz w:val="24"/>
          <w:szCs w:val="24"/>
        </w:rPr>
        <w:t>; odpowiadający: znający określenie FE lub FU</w:t>
      </w:r>
    </w:p>
    <w:p w14:paraId="0693BEED" w14:textId="124D52EF" w:rsidR="00A61E78" w:rsidRPr="00EE2656" w:rsidRDefault="00A61E78" w:rsidP="00C0187D">
      <w:pPr>
        <w:spacing w:line="360" w:lineRule="auto"/>
        <w:rPr>
          <w:rFonts w:ascii="Arial" w:hAnsi="Arial" w:cs="Arial"/>
          <w:sz w:val="24"/>
          <w:szCs w:val="24"/>
        </w:rPr>
      </w:pPr>
      <w:r w:rsidRPr="00EE2656">
        <w:rPr>
          <w:rFonts w:ascii="Arial" w:hAnsi="Arial" w:cs="Arial"/>
          <w:sz w:val="24"/>
          <w:szCs w:val="24"/>
        </w:rPr>
        <w:lastRenderedPageBreak/>
        <w:t>Wyniki wskazują, że kontakt z informacjami o Funduszach Europejskich nie rozkłada się równomiernie w różnych grupach społecznych. W przekroju płci kobiety nie</w:t>
      </w:r>
      <w:r w:rsidR="00EE2656">
        <w:rPr>
          <w:rFonts w:ascii="Arial" w:hAnsi="Arial" w:cs="Arial"/>
          <w:sz w:val="24"/>
          <w:szCs w:val="24"/>
        </w:rPr>
        <w:t>znacznie</w:t>
      </w:r>
      <w:r w:rsidRPr="00EE2656">
        <w:rPr>
          <w:rFonts w:ascii="Arial" w:hAnsi="Arial" w:cs="Arial"/>
          <w:sz w:val="24"/>
          <w:szCs w:val="24"/>
        </w:rPr>
        <w:t xml:space="preserve"> częściej deklarują zetknięcie się z takimi przekazami (19</w:t>
      </w:r>
      <w:r w:rsidR="00061EA1" w:rsidRPr="00EE2656">
        <w:rPr>
          <w:rFonts w:ascii="Arial" w:hAnsi="Arial" w:cs="Arial"/>
          <w:sz w:val="24"/>
          <w:szCs w:val="24"/>
        </w:rPr>
        <w:t>%</w:t>
      </w:r>
      <w:r w:rsidRPr="00EE2656">
        <w:rPr>
          <w:rFonts w:ascii="Arial" w:hAnsi="Arial" w:cs="Arial"/>
          <w:sz w:val="24"/>
          <w:szCs w:val="24"/>
        </w:rPr>
        <w:t>) niż mężczyźni (</w:t>
      </w:r>
      <w:r w:rsidR="00C646D3">
        <w:rPr>
          <w:rFonts w:ascii="Arial" w:hAnsi="Arial" w:cs="Arial"/>
          <w:sz w:val="24"/>
          <w:szCs w:val="24"/>
        </w:rPr>
        <w:t>18</w:t>
      </w:r>
      <w:r w:rsidR="00061EA1" w:rsidRPr="00EE2656">
        <w:rPr>
          <w:rFonts w:ascii="Arial" w:hAnsi="Arial" w:cs="Arial"/>
          <w:sz w:val="24"/>
          <w:szCs w:val="24"/>
        </w:rPr>
        <w:t>%</w:t>
      </w:r>
      <w:r w:rsidRPr="00EE2656">
        <w:rPr>
          <w:rFonts w:ascii="Arial" w:hAnsi="Arial" w:cs="Arial"/>
          <w:sz w:val="24"/>
          <w:szCs w:val="24"/>
        </w:rPr>
        <w:t>), choć różnica ta nie jest duża.</w:t>
      </w:r>
    </w:p>
    <w:p w14:paraId="6D103315" w14:textId="3B73446A" w:rsidR="00A61E78" w:rsidRPr="00EE2656" w:rsidRDefault="00A61E78" w:rsidP="00C0187D">
      <w:pPr>
        <w:spacing w:line="360" w:lineRule="auto"/>
        <w:rPr>
          <w:rFonts w:ascii="Arial" w:hAnsi="Arial" w:cs="Arial"/>
          <w:sz w:val="24"/>
          <w:szCs w:val="24"/>
        </w:rPr>
      </w:pPr>
      <w:r w:rsidRPr="00EE2656">
        <w:rPr>
          <w:rFonts w:ascii="Arial" w:hAnsi="Arial" w:cs="Arial"/>
          <w:sz w:val="24"/>
          <w:szCs w:val="24"/>
        </w:rPr>
        <w:t>Znacznie wyraźniejsze różnice pojawiają się między grupami wieku. Osoby w wieku 20–24 lata najrzadziej deklarują kontakt z komunikatami o Funduszach Europejskich, a udział odpowiedzi „tak” w tej grupie wynosi 14,8</w:t>
      </w:r>
      <w:r w:rsidR="00061EA1" w:rsidRPr="00EE2656">
        <w:rPr>
          <w:rFonts w:ascii="Arial" w:hAnsi="Arial" w:cs="Arial"/>
          <w:sz w:val="24"/>
          <w:szCs w:val="24"/>
        </w:rPr>
        <w:t>%</w:t>
      </w:r>
      <w:r w:rsidRPr="00EE2656">
        <w:rPr>
          <w:rFonts w:ascii="Arial" w:hAnsi="Arial" w:cs="Arial"/>
          <w:sz w:val="24"/>
          <w:szCs w:val="24"/>
        </w:rPr>
        <w:t>. Najwyższy poziom kontaktu dotyczy osób w wieku 55–64 lata (24</w:t>
      </w:r>
      <w:r w:rsidR="00061EA1" w:rsidRPr="00EE2656">
        <w:rPr>
          <w:rFonts w:ascii="Arial" w:hAnsi="Arial" w:cs="Arial"/>
          <w:sz w:val="24"/>
          <w:szCs w:val="24"/>
        </w:rPr>
        <w:t>%</w:t>
      </w:r>
      <w:r w:rsidRPr="00EE2656">
        <w:rPr>
          <w:rFonts w:ascii="Arial" w:hAnsi="Arial" w:cs="Arial"/>
          <w:sz w:val="24"/>
          <w:szCs w:val="24"/>
        </w:rPr>
        <w:t>). Pozostałe grupy utrzymują wyniki zbliżone do średniej dla całej próby.</w:t>
      </w:r>
    </w:p>
    <w:p w14:paraId="4DFC9C50" w14:textId="656A991A" w:rsidR="00F83357" w:rsidRDefault="00F83357" w:rsidP="00C0187D">
      <w:pPr>
        <w:spacing w:line="360" w:lineRule="auto"/>
        <w:rPr>
          <w:rFonts w:ascii="Arial" w:hAnsi="Arial" w:cs="Arial"/>
          <w:sz w:val="24"/>
          <w:szCs w:val="24"/>
        </w:rPr>
      </w:pPr>
      <w:r w:rsidRPr="00F83357">
        <w:rPr>
          <w:rFonts w:ascii="Arial" w:hAnsi="Arial" w:cs="Arial"/>
          <w:sz w:val="24"/>
          <w:szCs w:val="24"/>
        </w:rPr>
        <w:t xml:space="preserve">Poziom wykształcenia wiąże się z niewielkimi, ale widocznymi różnicami w deklarowanej styczności z reklamą, programem, artykułem lub inną informacją </w:t>
      </w:r>
      <w:r w:rsidR="002A350B">
        <w:rPr>
          <w:rFonts w:ascii="Arial" w:hAnsi="Arial" w:cs="Arial"/>
          <w:sz w:val="24"/>
          <w:szCs w:val="24"/>
        </w:rPr>
        <w:t>o</w:t>
      </w:r>
      <w:r w:rsidR="002A350B" w:rsidRPr="00F83357">
        <w:rPr>
          <w:rFonts w:ascii="Arial" w:hAnsi="Arial" w:cs="Arial"/>
          <w:sz w:val="24"/>
          <w:szCs w:val="24"/>
        </w:rPr>
        <w:t xml:space="preserve"> </w:t>
      </w:r>
      <w:r w:rsidRPr="00F83357">
        <w:rPr>
          <w:rFonts w:ascii="Arial" w:hAnsi="Arial" w:cs="Arial"/>
          <w:sz w:val="24"/>
          <w:szCs w:val="24"/>
        </w:rPr>
        <w:t>Fundusz</w:t>
      </w:r>
      <w:r w:rsidR="002A350B">
        <w:rPr>
          <w:rFonts w:ascii="Arial" w:hAnsi="Arial" w:cs="Arial"/>
          <w:sz w:val="24"/>
          <w:szCs w:val="24"/>
        </w:rPr>
        <w:t>ach</w:t>
      </w:r>
      <w:r w:rsidRPr="00F83357">
        <w:rPr>
          <w:rFonts w:ascii="Arial" w:hAnsi="Arial" w:cs="Arial"/>
          <w:sz w:val="24"/>
          <w:szCs w:val="24"/>
        </w:rPr>
        <w:t xml:space="preserve"> Europejskich. Najwyższy udział odpowiedzi „tak” występuje wśród osób z wykształceniem zawodowym</w:t>
      </w:r>
      <w:r w:rsidR="002A350B">
        <w:rPr>
          <w:rFonts w:ascii="Arial" w:hAnsi="Arial" w:cs="Arial"/>
          <w:sz w:val="24"/>
          <w:szCs w:val="24"/>
        </w:rPr>
        <w:t xml:space="preserve"> i średnim</w:t>
      </w:r>
      <w:r w:rsidRPr="00F83357">
        <w:rPr>
          <w:rFonts w:ascii="Arial" w:hAnsi="Arial" w:cs="Arial"/>
          <w:sz w:val="24"/>
          <w:szCs w:val="24"/>
        </w:rPr>
        <w:t xml:space="preserve"> (</w:t>
      </w:r>
      <w:r w:rsidR="002A350B">
        <w:rPr>
          <w:rFonts w:ascii="Arial" w:hAnsi="Arial" w:cs="Arial"/>
          <w:sz w:val="24"/>
          <w:szCs w:val="24"/>
        </w:rPr>
        <w:t xml:space="preserve">po </w:t>
      </w:r>
      <w:r w:rsidRPr="00F83357">
        <w:rPr>
          <w:rFonts w:ascii="Arial" w:hAnsi="Arial" w:cs="Arial"/>
          <w:sz w:val="24"/>
          <w:szCs w:val="24"/>
        </w:rPr>
        <w:t>19%),</w:t>
      </w:r>
      <w:r w:rsidR="002A350B">
        <w:rPr>
          <w:rFonts w:ascii="Arial" w:hAnsi="Arial" w:cs="Arial"/>
          <w:sz w:val="24"/>
          <w:szCs w:val="24"/>
        </w:rPr>
        <w:t xml:space="preserve"> zaś </w:t>
      </w:r>
      <w:r w:rsidRPr="00F83357">
        <w:rPr>
          <w:rFonts w:ascii="Arial" w:hAnsi="Arial" w:cs="Arial"/>
          <w:sz w:val="24"/>
          <w:szCs w:val="24"/>
        </w:rPr>
        <w:t>w grup</w:t>
      </w:r>
      <w:r w:rsidR="002A350B">
        <w:rPr>
          <w:rFonts w:ascii="Arial" w:hAnsi="Arial" w:cs="Arial"/>
          <w:sz w:val="24"/>
          <w:szCs w:val="24"/>
        </w:rPr>
        <w:t>ie osób</w:t>
      </w:r>
      <w:r w:rsidRPr="00F83357">
        <w:rPr>
          <w:rFonts w:ascii="Arial" w:hAnsi="Arial" w:cs="Arial"/>
          <w:sz w:val="24"/>
          <w:szCs w:val="24"/>
        </w:rPr>
        <w:t xml:space="preserve"> z wykształceniem wyższym</w:t>
      </w:r>
      <w:r w:rsidR="002A350B">
        <w:rPr>
          <w:rFonts w:ascii="Arial" w:hAnsi="Arial" w:cs="Arial"/>
          <w:sz w:val="24"/>
          <w:szCs w:val="24"/>
        </w:rPr>
        <w:t xml:space="preserve"> wyniósł</w:t>
      </w:r>
      <w:r w:rsidRPr="00F83357">
        <w:rPr>
          <w:rFonts w:ascii="Arial" w:hAnsi="Arial" w:cs="Arial"/>
          <w:sz w:val="24"/>
          <w:szCs w:val="24"/>
        </w:rPr>
        <w:t xml:space="preserve"> 18%. Najniższy poziom styczności zadeklarowały osoby z wykształceniem podstawowym (16%), które jednocześnie częściej niż inne grupy wskazują odpowiedź „nie” (68%), co sugeruje mniejsze zetknięcie z przekazami dotyczącymi Funduszy Europejskich.</w:t>
      </w:r>
    </w:p>
    <w:p w14:paraId="763583BF" w14:textId="35A7374A" w:rsidR="00A61E78" w:rsidRPr="00EE2656" w:rsidRDefault="00A61E78" w:rsidP="00C0187D">
      <w:pPr>
        <w:spacing w:line="360" w:lineRule="auto"/>
        <w:rPr>
          <w:rFonts w:ascii="Arial" w:hAnsi="Arial" w:cs="Arial"/>
          <w:sz w:val="24"/>
          <w:szCs w:val="24"/>
        </w:rPr>
      </w:pPr>
      <w:r w:rsidRPr="00EE2656">
        <w:rPr>
          <w:rFonts w:ascii="Arial" w:hAnsi="Arial" w:cs="Arial"/>
          <w:sz w:val="24"/>
          <w:szCs w:val="24"/>
        </w:rPr>
        <w:t>Patrząc na wielkość miejscowości zamieszkania, wyraźnie wyższy poziom kontaktu</w:t>
      </w:r>
      <w:r w:rsidR="00EE2656">
        <w:rPr>
          <w:rFonts w:ascii="Arial" w:hAnsi="Arial" w:cs="Arial"/>
          <w:sz w:val="24"/>
          <w:szCs w:val="24"/>
        </w:rPr>
        <w:t xml:space="preserve"> z informacjami o FE</w:t>
      </w:r>
      <w:r w:rsidRPr="00EE2656">
        <w:rPr>
          <w:rFonts w:ascii="Arial" w:hAnsi="Arial" w:cs="Arial"/>
          <w:sz w:val="24"/>
          <w:szCs w:val="24"/>
        </w:rPr>
        <w:t xml:space="preserve"> deklarują mieszkańcy mniejszych ośrodków, zwłaszcza miejscowości liczących od 20 do 49 tysięcy mieszkańców (21</w:t>
      </w:r>
      <w:r w:rsidR="00061EA1" w:rsidRPr="00EE2656">
        <w:rPr>
          <w:rFonts w:ascii="Arial" w:hAnsi="Arial" w:cs="Arial"/>
          <w:sz w:val="24"/>
          <w:szCs w:val="24"/>
        </w:rPr>
        <w:t>%</w:t>
      </w:r>
      <w:r w:rsidRPr="00EE2656">
        <w:rPr>
          <w:rFonts w:ascii="Arial" w:hAnsi="Arial" w:cs="Arial"/>
          <w:sz w:val="24"/>
          <w:szCs w:val="24"/>
        </w:rPr>
        <w:t xml:space="preserve">) </w:t>
      </w:r>
      <w:r w:rsidR="00F079C4" w:rsidRPr="00EE2656">
        <w:rPr>
          <w:rFonts w:ascii="Arial" w:hAnsi="Arial" w:cs="Arial"/>
          <w:sz w:val="24"/>
          <w:szCs w:val="24"/>
        </w:rPr>
        <w:t>oraz wsi (20%)</w:t>
      </w:r>
      <w:r w:rsidR="00F079C4">
        <w:rPr>
          <w:rFonts w:ascii="Arial" w:hAnsi="Arial" w:cs="Arial"/>
          <w:sz w:val="24"/>
          <w:szCs w:val="24"/>
        </w:rPr>
        <w:t>.</w:t>
      </w:r>
      <w:r w:rsidR="00F079C4" w:rsidRPr="00EE2656">
        <w:rPr>
          <w:rFonts w:ascii="Arial" w:hAnsi="Arial" w:cs="Arial"/>
          <w:sz w:val="24"/>
          <w:szCs w:val="24"/>
        </w:rPr>
        <w:t xml:space="preserve"> </w:t>
      </w:r>
      <w:r w:rsidRPr="00EE2656">
        <w:rPr>
          <w:rFonts w:ascii="Arial" w:hAnsi="Arial" w:cs="Arial"/>
          <w:sz w:val="24"/>
          <w:szCs w:val="24"/>
        </w:rPr>
        <w:t>Najniższy odsetek kontaktu z przekazami odnotowano w największych miastach – w ośrodkach powyżej 500 tysięcy mieszkańców odpowiedź „tak” wskazało jedynie 11</w:t>
      </w:r>
      <w:r w:rsidR="00061EA1" w:rsidRPr="00EE2656">
        <w:rPr>
          <w:rFonts w:ascii="Arial" w:hAnsi="Arial" w:cs="Arial"/>
          <w:sz w:val="24"/>
          <w:szCs w:val="24"/>
        </w:rPr>
        <w:t>%</w:t>
      </w:r>
      <w:r w:rsidRPr="00EE2656">
        <w:rPr>
          <w:rFonts w:ascii="Arial" w:hAnsi="Arial" w:cs="Arial"/>
          <w:sz w:val="24"/>
          <w:szCs w:val="24"/>
        </w:rPr>
        <w:t xml:space="preserve"> badanych</w:t>
      </w:r>
      <w:r w:rsidR="002A350B">
        <w:rPr>
          <w:rFonts w:ascii="Arial" w:hAnsi="Arial" w:cs="Arial"/>
          <w:sz w:val="24"/>
          <w:szCs w:val="24"/>
        </w:rPr>
        <w:t>, a aż 73% twierdzi, że nie spotkało się w ostatnim czasie z żadną reklamą</w:t>
      </w:r>
      <w:r w:rsidRPr="00EE2656">
        <w:rPr>
          <w:rFonts w:ascii="Arial" w:hAnsi="Arial" w:cs="Arial"/>
          <w:sz w:val="24"/>
          <w:szCs w:val="24"/>
        </w:rPr>
        <w:t>.</w:t>
      </w:r>
    </w:p>
    <w:p w14:paraId="20B8C408" w14:textId="62BCCAC1" w:rsidR="00A61E78" w:rsidRPr="0028226B" w:rsidRDefault="00A61E78" w:rsidP="00A61E78">
      <w:pPr>
        <w:pStyle w:val="Legenda"/>
        <w:keepNext/>
        <w:rPr>
          <w:rFonts w:ascii="Arial" w:hAnsi="Arial" w:cs="Arial"/>
          <w:b/>
          <w:bCs/>
          <w:i w:val="0"/>
          <w:iCs w:val="0"/>
          <w:color w:val="auto"/>
          <w:sz w:val="24"/>
          <w:szCs w:val="24"/>
        </w:rPr>
      </w:pPr>
      <w:bookmarkStart w:id="82" w:name="_Toc219369289"/>
      <w:r w:rsidRPr="0028226B">
        <w:rPr>
          <w:rFonts w:ascii="Arial" w:hAnsi="Arial" w:cs="Arial"/>
          <w:b/>
          <w:bCs/>
          <w:i w:val="0"/>
          <w:iCs w:val="0"/>
          <w:color w:val="auto"/>
          <w:sz w:val="24"/>
          <w:szCs w:val="24"/>
        </w:rPr>
        <w:lastRenderedPageBreak/>
        <w:t xml:space="preserve">Wykres </w:t>
      </w:r>
      <w:r w:rsidRPr="0028226B">
        <w:rPr>
          <w:rFonts w:ascii="Arial" w:hAnsi="Arial" w:cs="Arial"/>
          <w:b/>
          <w:bCs/>
          <w:i w:val="0"/>
          <w:iCs w:val="0"/>
          <w:color w:val="auto"/>
          <w:sz w:val="24"/>
          <w:szCs w:val="24"/>
        </w:rPr>
        <w:fldChar w:fldCharType="begin"/>
      </w:r>
      <w:r w:rsidRPr="0028226B">
        <w:rPr>
          <w:rFonts w:ascii="Arial" w:hAnsi="Arial" w:cs="Arial"/>
          <w:b/>
          <w:bCs/>
          <w:i w:val="0"/>
          <w:iCs w:val="0"/>
          <w:color w:val="auto"/>
          <w:sz w:val="24"/>
          <w:szCs w:val="24"/>
        </w:rPr>
        <w:instrText xml:space="preserve"> SEQ Wykres \* ARABIC </w:instrText>
      </w:r>
      <w:r w:rsidRPr="0028226B">
        <w:rPr>
          <w:rFonts w:ascii="Arial" w:hAnsi="Arial" w:cs="Arial"/>
          <w:b/>
          <w:bCs/>
          <w:i w:val="0"/>
          <w:iCs w:val="0"/>
          <w:color w:val="auto"/>
          <w:sz w:val="24"/>
          <w:szCs w:val="24"/>
        </w:rPr>
        <w:fldChar w:fldCharType="separate"/>
      </w:r>
      <w:r w:rsidR="0055789E">
        <w:rPr>
          <w:rFonts w:ascii="Arial" w:hAnsi="Arial" w:cs="Arial"/>
          <w:b/>
          <w:bCs/>
          <w:i w:val="0"/>
          <w:iCs w:val="0"/>
          <w:noProof/>
          <w:color w:val="auto"/>
          <w:sz w:val="24"/>
          <w:szCs w:val="24"/>
        </w:rPr>
        <w:t>63</w:t>
      </w:r>
      <w:r w:rsidRPr="0028226B">
        <w:rPr>
          <w:rFonts w:ascii="Arial" w:hAnsi="Arial" w:cs="Arial"/>
          <w:b/>
          <w:bCs/>
          <w:i w:val="0"/>
          <w:iCs w:val="0"/>
          <w:color w:val="auto"/>
          <w:sz w:val="24"/>
          <w:szCs w:val="24"/>
        </w:rPr>
        <w:fldChar w:fldCharType="end"/>
      </w:r>
      <w:r w:rsidRPr="0028226B">
        <w:rPr>
          <w:rFonts w:ascii="Arial" w:hAnsi="Arial" w:cs="Arial"/>
          <w:b/>
          <w:bCs/>
          <w:i w:val="0"/>
          <w:iCs w:val="0"/>
          <w:color w:val="auto"/>
          <w:sz w:val="24"/>
          <w:szCs w:val="24"/>
        </w:rPr>
        <w:t xml:space="preserve">. </w:t>
      </w:r>
      <w:r w:rsidR="00717E0B" w:rsidRPr="0028226B">
        <w:rPr>
          <w:rFonts w:ascii="Arial" w:hAnsi="Arial" w:cs="Arial"/>
          <w:b/>
          <w:bCs/>
          <w:i w:val="0"/>
          <w:iCs w:val="0"/>
          <w:color w:val="auto"/>
          <w:sz w:val="24"/>
          <w:szCs w:val="24"/>
        </w:rPr>
        <w:t xml:space="preserve">Czy spotkała się Pan(i) ostatnio z jakąś reklamą, programem, artykułem lub informacjami o Funduszach Europejskich? – w latach 2018-2025 - </w:t>
      </w:r>
      <w:r w:rsidRPr="0028226B">
        <w:rPr>
          <w:rFonts w:ascii="Arial" w:hAnsi="Arial" w:cs="Arial"/>
          <w:b/>
          <w:bCs/>
          <w:i w:val="0"/>
          <w:iCs w:val="0"/>
          <w:color w:val="auto"/>
          <w:sz w:val="24"/>
          <w:szCs w:val="24"/>
        </w:rPr>
        <w:t>według cech społeczno-demograficznych</w:t>
      </w:r>
      <w:bookmarkEnd w:id="82"/>
    </w:p>
    <w:p w14:paraId="008292F8" w14:textId="0906D74E" w:rsidR="00A61E78" w:rsidRPr="0028226B" w:rsidRDefault="00A61E78" w:rsidP="003F229C">
      <w:pPr>
        <w:spacing w:after="0"/>
        <w:rPr>
          <w:rFonts w:ascii="Arial" w:hAnsi="Arial" w:cs="Arial"/>
          <w:b/>
          <w:bCs/>
          <w:sz w:val="24"/>
          <w:szCs w:val="24"/>
        </w:rPr>
      </w:pPr>
      <w:r w:rsidRPr="0028226B">
        <w:rPr>
          <w:rFonts w:ascii="Arial" w:hAnsi="Arial" w:cs="Arial"/>
          <w:noProof/>
          <w:sz w:val="24"/>
          <w:szCs w:val="24"/>
        </w:rPr>
        <w:drawing>
          <wp:inline distT="0" distB="0" distL="0" distR="0" wp14:anchorId="1BCFEF90" wp14:editId="0EC3F248">
            <wp:extent cx="5486400" cy="5952067"/>
            <wp:effectExtent l="0" t="0" r="0" b="0"/>
            <wp:docPr id="719243928" name="Wykres 5" descr="Wykres 63 przedstawia odpowiedzi na pytanie:&#10;„Czy spotkała się Pan(i) ostatnio z jakąś reklamą, programem, artykułem lub informacjami o Funduszach Europejskich?”&#10;Dane zaprezentowano według cech społeczno-demograficznych (lata 2018–2025).&#10;&#10;Trzy kategorie odpowiedzi:&#10;„tak” (granatowy), „nie” (jasnoszary), „nie wiem / trudno powiedzieć” (ciemnoszary).&#10;&#10;Wyniki ogółem:&#10;– tak: 18%&#10;– nie: 65%&#10;– nie wiem / trudno powiedzieć: 17%&#10;&#10;Płeć:&#10;Kobieta – tak 19%, nie 63%, nie wiem 18%&#10;Mężczyzna – tak 18%, nie 66%, nie wiem 17%&#10;&#10;Wiek:&#10;15–19 lat – tak 20%, nie 68%, nie wiem 12%&#10;20–24 lata – tak 15%, nie 75%, nie wiem 10%&#10;25–34 lata – tak 17%, nie 64%, nie wiem 19%&#10;35–44 lata – tak 17%, nie 64%, nie wiem 19%&#10;45–54 lata – tak 16%, nie 66%, nie wiem 18%&#10;55–64 lata – tak 24%, nie 64%, nie wiem 12%&#10;65+ – tak 18%, nie 61%, nie wiem 20%&#10;&#10;Wykształcenie:&#10;Wyższe – tak 18%, nie 65%, nie wiem 17%&#10;Średnie – tak 19%, nie 64%, nie wiem 18%&#10;Zawodowe – tak 19%, nie 64%, nie wiem 17%&#10;Podstawowe – tak 16%, nie 68%, nie wiem 16%&#10;&#10;Miejsce zamieszkania:&#10;Wieś – tak 20%, nie 63%, nie wiem 17%&#10;Do 20 tys. mieszkańców – tak 20%, nie 65%, nie wiem 16%&#10;20–49 tys. – tak 21%, nie 60%, nie wiem 19%&#10;50–199 tys. – tak 17%, nie 65%, nie wiem 18%&#10;200–499 tys. – tak 16%, nie 64%, nie wiem 20%&#10;500 tys.+ – tak 11%, nie 73%, nie wiem 16%&#10;&#10;Wykres wskazuje, że kontakt z przekazami dotyczącymi Funduszy Europejskich deklaruje od 11% do 24% badanych, zależnie od grupy, przy czym najwyższe wartości widoczne są wśród osób 55–64 lata oraz mieszkańców wsi. Odsetek odpowiedzi „nie” dominuje we wszystkich kategoriach."/>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14:paraId="2C4CDD3B" w14:textId="6DCCFFED" w:rsidR="00A61E78" w:rsidRDefault="00A61E78" w:rsidP="00A61E78">
      <w:pPr>
        <w:rPr>
          <w:rFonts w:ascii="Arial" w:hAnsi="Arial" w:cs="Arial"/>
          <w:sz w:val="24"/>
          <w:szCs w:val="24"/>
        </w:rPr>
      </w:pPr>
      <w:r w:rsidRPr="00672A70">
        <w:rPr>
          <w:rFonts w:ascii="Arial" w:hAnsi="Arial" w:cs="Arial"/>
          <w:sz w:val="24"/>
          <w:szCs w:val="24"/>
        </w:rPr>
        <w:t>Źródło: Opracowano na podstawie badania CAPI</w:t>
      </w:r>
      <w:r w:rsidR="0083569E">
        <w:rPr>
          <w:rFonts w:ascii="Arial" w:hAnsi="Arial" w:cs="Arial"/>
          <w:sz w:val="24"/>
          <w:szCs w:val="24"/>
        </w:rPr>
        <w:t>; odpowiadający: znający określenie FE lub FU</w:t>
      </w:r>
    </w:p>
    <w:p w14:paraId="0CBD4C6B" w14:textId="231D8476" w:rsidR="00CF5191" w:rsidRPr="00672A70" w:rsidRDefault="00F83357" w:rsidP="00C0187D">
      <w:pPr>
        <w:spacing w:line="360" w:lineRule="auto"/>
        <w:rPr>
          <w:rFonts w:ascii="Arial" w:hAnsi="Arial" w:cs="Arial"/>
          <w:sz w:val="24"/>
          <w:szCs w:val="24"/>
        </w:rPr>
      </w:pPr>
      <w:r w:rsidRPr="00F83357">
        <w:rPr>
          <w:rFonts w:ascii="Arial" w:hAnsi="Arial" w:cs="Arial"/>
          <w:sz w:val="24"/>
          <w:szCs w:val="24"/>
        </w:rPr>
        <w:t xml:space="preserve">W odpowiedzi na pytanie: </w:t>
      </w:r>
      <w:r w:rsidRPr="004B75FE">
        <w:rPr>
          <w:rFonts w:ascii="Arial" w:hAnsi="Arial" w:cs="Arial"/>
          <w:sz w:val="24"/>
          <w:szCs w:val="24"/>
        </w:rPr>
        <w:t>„A teraz proszę przypomnieć sobie jedną konkretną reklamę, program, artykuł lub informację o Funduszach Europejskich, którą widział(a) lub słyszał(a) Pan(i) jako ostatnią. Gdzie się Pan(i) z nią zetknął(</w:t>
      </w:r>
      <w:proofErr w:type="spellStart"/>
      <w:r w:rsidRPr="004B75FE">
        <w:rPr>
          <w:rFonts w:ascii="Arial" w:hAnsi="Arial" w:cs="Arial"/>
          <w:sz w:val="24"/>
          <w:szCs w:val="24"/>
        </w:rPr>
        <w:t>ęła</w:t>
      </w:r>
      <w:proofErr w:type="spellEnd"/>
      <w:r w:rsidRPr="004B75FE">
        <w:rPr>
          <w:rFonts w:ascii="Arial" w:hAnsi="Arial" w:cs="Arial"/>
          <w:sz w:val="24"/>
          <w:szCs w:val="24"/>
        </w:rPr>
        <w:t>)?”</w:t>
      </w:r>
      <w:r w:rsidRPr="00F83357">
        <w:rPr>
          <w:rFonts w:ascii="Arial" w:hAnsi="Arial" w:cs="Arial"/>
          <w:sz w:val="24"/>
          <w:szCs w:val="24"/>
        </w:rPr>
        <w:t xml:space="preserve"> </w:t>
      </w:r>
      <w:r w:rsidR="00407873">
        <w:rPr>
          <w:rFonts w:ascii="Arial" w:hAnsi="Arial" w:cs="Arial"/>
          <w:sz w:val="24"/>
          <w:szCs w:val="24"/>
        </w:rPr>
        <w:t>z</w:t>
      </w:r>
      <w:r w:rsidR="00407873" w:rsidRPr="00407873">
        <w:rPr>
          <w:rFonts w:ascii="Arial" w:hAnsi="Arial" w:cs="Arial"/>
          <w:sz w:val="24"/>
          <w:szCs w:val="24"/>
        </w:rPr>
        <w:t xml:space="preserve">decydowanie najczęściej wskazywanym źródłem była telewizja (19%). Na kolejnych pozycjach znalazły się prasa (18%) oraz radio (15%), co potwierdza silną rolę tradycyjnych mediów w przekazie dotyczącym Funduszy. Internet stanowił źródło informacji dla 13% badanych, podobnie jak tablice informacyjne przy inwestycjach (13%). Reklama </w:t>
      </w:r>
      <w:r w:rsidR="00407873" w:rsidRPr="00407873">
        <w:rPr>
          <w:rFonts w:ascii="Arial" w:hAnsi="Arial" w:cs="Arial"/>
          <w:sz w:val="24"/>
          <w:szCs w:val="24"/>
        </w:rPr>
        <w:lastRenderedPageBreak/>
        <w:t>zewnętrzna oraz Facebook uzyskały po 9% wskazań. Najrzadziej wskazywano rozmowy ze znajomymi lub rodziną (4%) oraz publikacje i broszury informacyjne (1%). Struktura odpowiedzi pokazuje wyraźną dominację mediów masowych nad kanałami cyfrowymi oraz komunikacją bezpośrednią.</w:t>
      </w:r>
    </w:p>
    <w:p w14:paraId="43B36237" w14:textId="4FB4DFB2" w:rsidR="00CF5191" w:rsidRPr="0028226B" w:rsidRDefault="00CF5191" w:rsidP="00CF5191">
      <w:pPr>
        <w:pStyle w:val="Legenda"/>
        <w:keepNext/>
        <w:rPr>
          <w:rFonts w:ascii="Arial" w:hAnsi="Arial" w:cs="Arial"/>
          <w:b/>
          <w:bCs/>
          <w:i w:val="0"/>
          <w:iCs w:val="0"/>
          <w:color w:val="auto"/>
          <w:sz w:val="24"/>
          <w:szCs w:val="24"/>
        </w:rPr>
      </w:pPr>
      <w:bookmarkStart w:id="83" w:name="_Toc219369290"/>
      <w:r w:rsidRPr="0028226B">
        <w:rPr>
          <w:rFonts w:ascii="Arial" w:hAnsi="Arial" w:cs="Arial"/>
          <w:b/>
          <w:bCs/>
          <w:i w:val="0"/>
          <w:iCs w:val="0"/>
          <w:color w:val="auto"/>
          <w:sz w:val="24"/>
          <w:szCs w:val="24"/>
        </w:rPr>
        <w:t xml:space="preserve">Wykres </w:t>
      </w:r>
      <w:r w:rsidRPr="0028226B">
        <w:rPr>
          <w:rFonts w:ascii="Arial" w:hAnsi="Arial" w:cs="Arial"/>
          <w:b/>
          <w:bCs/>
          <w:i w:val="0"/>
          <w:iCs w:val="0"/>
          <w:color w:val="auto"/>
          <w:sz w:val="24"/>
          <w:szCs w:val="24"/>
        </w:rPr>
        <w:fldChar w:fldCharType="begin"/>
      </w:r>
      <w:r w:rsidRPr="0028226B">
        <w:rPr>
          <w:rFonts w:ascii="Arial" w:hAnsi="Arial" w:cs="Arial"/>
          <w:b/>
          <w:bCs/>
          <w:i w:val="0"/>
          <w:iCs w:val="0"/>
          <w:color w:val="auto"/>
          <w:sz w:val="24"/>
          <w:szCs w:val="24"/>
        </w:rPr>
        <w:instrText xml:space="preserve"> SEQ Wykres \* ARABIC </w:instrText>
      </w:r>
      <w:r w:rsidRPr="0028226B">
        <w:rPr>
          <w:rFonts w:ascii="Arial" w:hAnsi="Arial" w:cs="Arial"/>
          <w:b/>
          <w:bCs/>
          <w:i w:val="0"/>
          <w:iCs w:val="0"/>
          <w:color w:val="auto"/>
          <w:sz w:val="24"/>
          <w:szCs w:val="24"/>
        </w:rPr>
        <w:fldChar w:fldCharType="separate"/>
      </w:r>
      <w:r w:rsidR="0055789E">
        <w:rPr>
          <w:rFonts w:ascii="Arial" w:hAnsi="Arial" w:cs="Arial"/>
          <w:b/>
          <w:bCs/>
          <w:i w:val="0"/>
          <w:iCs w:val="0"/>
          <w:noProof/>
          <w:color w:val="auto"/>
          <w:sz w:val="24"/>
          <w:szCs w:val="24"/>
        </w:rPr>
        <w:t>64</w:t>
      </w:r>
      <w:r w:rsidRPr="0028226B">
        <w:rPr>
          <w:rFonts w:ascii="Arial" w:hAnsi="Arial" w:cs="Arial"/>
          <w:b/>
          <w:bCs/>
          <w:i w:val="0"/>
          <w:iCs w:val="0"/>
          <w:color w:val="auto"/>
          <w:sz w:val="24"/>
          <w:szCs w:val="24"/>
        </w:rPr>
        <w:fldChar w:fldCharType="end"/>
      </w:r>
      <w:r w:rsidRPr="0028226B">
        <w:rPr>
          <w:rFonts w:ascii="Arial" w:hAnsi="Arial" w:cs="Arial"/>
          <w:b/>
          <w:bCs/>
          <w:i w:val="0"/>
          <w:iCs w:val="0"/>
          <w:color w:val="auto"/>
          <w:sz w:val="24"/>
          <w:szCs w:val="24"/>
        </w:rPr>
        <w:t xml:space="preserve">. </w:t>
      </w:r>
      <w:r w:rsidR="00DF01F1" w:rsidRPr="0028226B">
        <w:rPr>
          <w:rFonts w:ascii="Arial" w:hAnsi="Arial" w:cs="Arial"/>
          <w:b/>
          <w:bCs/>
          <w:i w:val="0"/>
          <w:iCs w:val="0"/>
          <w:color w:val="auto"/>
          <w:sz w:val="24"/>
          <w:szCs w:val="24"/>
        </w:rPr>
        <w:t>P39. A teraz proszę przypomnieć sobie jedną konkretną reklamę, program, artykuł lub informację o Funduszach Europejskich, którą widział(a) lub słyszał(a) Pan(i) jako ostatnią. Gdzie się z nią / nim Pan(i) zetknął(</w:t>
      </w:r>
      <w:proofErr w:type="spellStart"/>
      <w:r w:rsidR="00DF01F1" w:rsidRPr="0028226B">
        <w:rPr>
          <w:rFonts w:ascii="Arial" w:hAnsi="Arial" w:cs="Arial"/>
          <w:b/>
          <w:bCs/>
          <w:i w:val="0"/>
          <w:iCs w:val="0"/>
          <w:color w:val="auto"/>
          <w:sz w:val="24"/>
          <w:szCs w:val="24"/>
        </w:rPr>
        <w:t>ęła</w:t>
      </w:r>
      <w:proofErr w:type="spellEnd"/>
      <w:r w:rsidR="00DF01F1" w:rsidRPr="0028226B">
        <w:rPr>
          <w:rFonts w:ascii="Arial" w:hAnsi="Arial" w:cs="Arial"/>
          <w:b/>
          <w:bCs/>
          <w:i w:val="0"/>
          <w:iCs w:val="0"/>
          <w:color w:val="auto"/>
          <w:sz w:val="24"/>
          <w:szCs w:val="24"/>
        </w:rPr>
        <w:t>)?</w:t>
      </w:r>
      <w:r w:rsidR="00DF01F1" w:rsidRPr="0028226B" w:rsidDel="00DF01F1">
        <w:rPr>
          <w:rFonts w:ascii="Arial" w:hAnsi="Arial" w:cs="Arial"/>
          <w:b/>
          <w:bCs/>
          <w:i w:val="0"/>
          <w:iCs w:val="0"/>
          <w:color w:val="auto"/>
          <w:sz w:val="24"/>
          <w:szCs w:val="24"/>
        </w:rPr>
        <w:t xml:space="preserve"> </w:t>
      </w:r>
      <w:r w:rsidRPr="0028226B">
        <w:rPr>
          <w:rFonts w:ascii="Arial" w:hAnsi="Arial" w:cs="Arial"/>
          <w:b/>
          <w:bCs/>
          <w:i w:val="0"/>
          <w:iCs w:val="0"/>
          <w:color w:val="auto"/>
          <w:sz w:val="24"/>
          <w:szCs w:val="24"/>
        </w:rPr>
        <w:t>(N=175)</w:t>
      </w:r>
      <w:bookmarkEnd w:id="83"/>
    </w:p>
    <w:p w14:paraId="5A9F5194" w14:textId="77777777" w:rsidR="00CF5191" w:rsidRPr="0028226B" w:rsidRDefault="00CF5191" w:rsidP="00CF5191">
      <w:pPr>
        <w:rPr>
          <w:rFonts w:ascii="Arial" w:hAnsi="Arial" w:cs="Arial"/>
          <w:b/>
          <w:bCs/>
          <w:sz w:val="24"/>
          <w:szCs w:val="24"/>
        </w:rPr>
      </w:pPr>
      <w:r w:rsidRPr="0028226B">
        <w:rPr>
          <w:rFonts w:ascii="Arial" w:hAnsi="Arial" w:cs="Arial"/>
          <w:noProof/>
          <w:sz w:val="24"/>
          <w:szCs w:val="24"/>
        </w:rPr>
        <w:drawing>
          <wp:inline distT="0" distB="0" distL="0" distR="0" wp14:anchorId="5EF08E4C" wp14:editId="6F79EE55">
            <wp:extent cx="5760720" cy="4213860"/>
            <wp:effectExtent l="0" t="0" r="0" b="0"/>
            <wp:docPr id="525091680" name="Wykres 1" descr="Wykres przedstawia miejsca, w których respondenci po raz ostatni zetknęli się z informacją o Funduszach Europejskich. Najczęściej wskazywano telewizję – 19%. Kolejne źródła to prasa – 18%, radio – 15%, internet – 13% oraz tablica informacyjna przy inwestycji – 13%. Reklama na zewnątrz lub billboard oraz Facebook uzyskały po 9% wskazań. Rzadziej wymieniano rozmowy ze znajomymi, rodziną lub w pracy – 4%, a najrzadziej publikacje i broszury informacyjne – 1%. Wykres ma formę poziomych słupków ukazujących udział procentowy każdej kategorii."/>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14:paraId="2D097595" w14:textId="47116AD6" w:rsidR="00CF5191" w:rsidRDefault="00CF5191" w:rsidP="00CF5191">
      <w:pPr>
        <w:rPr>
          <w:rFonts w:ascii="Arial" w:hAnsi="Arial" w:cs="Arial"/>
          <w:color w:val="000000" w:themeColor="text1"/>
          <w:sz w:val="24"/>
          <w:szCs w:val="24"/>
        </w:rPr>
      </w:pPr>
      <w:r w:rsidRPr="00672A70">
        <w:rPr>
          <w:rFonts w:ascii="Arial" w:hAnsi="Arial" w:cs="Arial"/>
          <w:color w:val="000000" w:themeColor="text1"/>
          <w:sz w:val="24"/>
          <w:szCs w:val="24"/>
        </w:rPr>
        <w:t>Źródło: Opracowano na podstawie badania CAPI</w:t>
      </w:r>
      <w:r w:rsidR="0083569E">
        <w:rPr>
          <w:rFonts w:ascii="Arial" w:hAnsi="Arial" w:cs="Arial"/>
          <w:sz w:val="24"/>
          <w:szCs w:val="24"/>
        </w:rPr>
        <w:t>; odpowiadający: znający określenie FE lub FU, potrafiący wskazać odpowiedź</w:t>
      </w:r>
    </w:p>
    <w:p w14:paraId="04F89EC4" w14:textId="5343D9DC" w:rsidR="00407873" w:rsidRDefault="00BA3C9E" w:rsidP="000B46BF">
      <w:pPr>
        <w:spacing w:line="360" w:lineRule="auto"/>
        <w:rPr>
          <w:rFonts w:ascii="Arial" w:hAnsi="Arial" w:cs="Arial"/>
          <w:color w:val="000000" w:themeColor="text1"/>
          <w:sz w:val="24"/>
          <w:szCs w:val="24"/>
        </w:rPr>
      </w:pPr>
      <w:r>
        <w:rPr>
          <w:rFonts w:ascii="Arial" w:hAnsi="Arial" w:cs="Arial"/>
          <w:color w:val="000000" w:themeColor="text1"/>
          <w:sz w:val="24"/>
          <w:szCs w:val="24"/>
        </w:rPr>
        <w:t>Badani zostali dopytani jaką formę miała informacja, z którą zetknęli się jako ostatnią. Co piąty respondent (22%) wskazał na debatę publicystyczną, 18% na reklamę, a 16% na art</w:t>
      </w:r>
      <w:r w:rsidR="00FA2996">
        <w:rPr>
          <w:rFonts w:ascii="Arial" w:hAnsi="Arial" w:cs="Arial"/>
          <w:color w:val="000000" w:themeColor="text1"/>
          <w:sz w:val="24"/>
          <w:szCs w:val="24"/>
        </w:rPr>
        <w:t>y</w:t>
      </w:r>
      <w:r>
        <w:rPr>
          <w:rFonts w:ascii="Arial" w:hAnsi="Arial" w:cs="Arial"/>
          <w:color w:val="000000" w:themeColor="text1"/>
          <w:sz w:val="24"/>
          <w:szCs w:val="24"/>
        </w:rPr>
        <w:t xml:space="preserve">kuł. Po 14% badanych </w:t>
      </w:r>
      <w:r w:rsidR="00FA2996">
        <w:rPr>
          <w:rFonts w:ascii="Arial" w:hAnsi="Arial" w:cs="Arial"/>
          <w:color w:val="000000" w:themeColor="text1"/>
          <w:sz w:val="24"/>
          <w:szCs w:val="24"/>
        </w:rPr>
        <w:t xml:space="preserve">zadeklarowało, że spotkali się z reportażem lub wiadomościami w serwisie informacyjnym na temat FE. </w:t>
      </w:r>
    </w:p>
    <w:p w14:paraId="742E389F" w14:textId="40A14297" w:rsidR="00407873" w:rsidRPr="000B46BF" w:rsidRDefault="00407873" w:rsidP="004B75FE">
      <w:pPr>
        <w:pStyle w:val="Legenda"/>
        <w:keepNext/>
        <w:spacing w:after="0"/>
        <w:rPr>
          <w:rFonts w:ascii="Arial" w:hAnsi="Arial" w:cs="Arial"/>
          <w:b/>
          <w:bCs/>
          <w:i w:val="0"/>
          <w:iCs w:val="0"/>
          <w:color w:val="auto"/>
          <w:sz w:val="24"/>
          <w:szCs w:val="24"/>
        </w:rPr>
      </w:pPr>
      <w:bookmarkStart w:id="84" w:name="_Toc219369291"/>
      <w:r w:rsidRPr="000B46BF">
        <w:rPr>
          <w:rFonts w:ascii="Arial" w:hAnsi="Arial" w:cs="Arial"/>
          <w:b/>
          <w:bCs/>
          <w:i w:val="0"/>
          <w:iCs w:val="0"/>
          <w:color w:val="auto"/>
          <w:sz w:val="24"/>
          <w:szCs w:val="24"/>
        </w:rPr>
        <w:lastRenderedPageBreak/>
        <w:t xml:space="preserve">Wykres </w:t>
      </w:r>
      <w:r w:rsidRPr="000B46BF">
        <w:rPr>
          <w:rFonts w:ascii="Arial" w:hAnsi="Arial" w:cs="Arial"/>
          <w:b/>
          <w:bCs/>
          <w:i w:val="0"/>
          <w:iCs w:val="0"/>
          <w:color w:val="auto"/>
          <w:sz w:val="24"/>
          <w:szCs w:val="24"/>
        </w:rPr>
        <w:fldChar w:fldCharType="begin"/>
      </w:r>
      <w:r w:rsidRPr="000B46BF">
        <w:rPr>
          <w:rFonts w:ascii="Arial" w:hAnsi="Arial" w:cs="Arial"/>
          <w:b/>
          <w:bCs/>
          <w:i w:val="0"/>
          <w:iCs w:val="0"/>
          <w:color w:val="auto"/>
          <w:sz w:val="24"/>
          <w:szCs w:val="24"/>
        </w:rPr>
        <w:instrText xml:space="preserve"> SEQ Wykres \* ARABIC </w:instrText>
      </w:r>
      <w:r w:rsidRPr="000B46BF">
        <w:rPr>
          <w:rFonts w:ascii="Arial" w:hAnsi="Arial" w:cs="Arial"/>
          <w:b/>
          <w:bCs/>
          <w:i w:val="0"/>
          <w:iCs w:val="0"/>
          <w:color w:val="auto"/>
          <w:sz w:val="24"/>
          <w:szCs w:val="24"/>
        </w:rPr>
        <w:fldChar w:fldCharType="separate"/>
      </w:r>
      <w:r w:rsidR="0055789E">
        <w:rPr>
          <w:rFonts w:ascii="Arial" w:hAnsi="Arial" w:cs="Arial"/>
          <w:b/>
          <w:bCs/>
          <w:i w:val="0"/>
          <w:iCs w:val="0"/>
          <w:noProof/>
          <w:color w:val="auto"/>
          <w:sz w:val="24"/>
          <w:szCs w:val="24"/>
        </w:rPr>
        <w:t>65</w:t>
      </w:r>
      <w:r w:rsidRPr="000B46BF">
        <w:rPr>
          <w:rFonts w:ascii="Arial" w:hAnsi="Arial" w:cs="Arial"/>
          <w:b/>
          <w:bCs/>
          <w:i w:val="0"/>
          <w:iCs w:val="0"/>
          <w:color w:val="auto"/>
          <w:sz w:val="24"/>
          <w:szCs w:val="24"/>
        </w:rPr>
        <w:fldChar w:fldCharType="end"/>
      </w:r>
      <w:r w:rsidRPr="000B46BF">
        <w:rPr>
          <w:rFonts w:ascii="Arial" w:hAnsi="Arial" w:cs="Arial"/>
          <w:b/>
          <w:bCs/>
          <w:i w:val="0"/>
          <w:iCs w:val="0"/>
          <w:color w:val="auto"/>
          <w:sz w:val="24"/>
          <w:szCs w:val="24"/>
        </w:rPr>
        <w:t>. P40. Jaką formę miała informacja o Funduszach Europejskich, z którą zetknął(</w:t>
      </w:r>
      <w:proofErr w:type="spellStart"/>
      <w:r w:rsidRPr="000B46BF">
        <w:rPr>
          <w:rFonts w:ascii="Arial" w:hAnsi="Arial" w:cs="Arial"/>
          <w:b/>
          <w:bCs/>
          <w:i w:val="0"/>
          <w:iCs w:val="0"/>
          <w:color w:val="auto"/>
          <w:sz w:val="24"/>
          <w:szCs w:val="24"/>
        </w:rPr>
        <w:t>ęła</w:t>
      </w:r>
      <w:proofErr w:type="spellEnd"/>
      <w:r w:rsidRPr="000B46BF">
        <w:rPr>
          <w:rFonts w:ascii="Arial" w:hAnsi="Arial" w:cs="Arial"/>
          <w:b/>
          <w:bCs/>
          <w:i w:val="0"/>
          <w:iCs w:val="0"/>
          <w:color w:val="auto"/>
          <w:sz w:val="24"/>
          <w:szCs w:val="24"/>
        </w:rPr>
        <w:t>) się Pan(i) jako ostatnią? (N=175)</w:t>
      </w:r>
      <w:bookmarkEnd w:id="84"/>
    </w:p>
    <w:p w14:paraId="4039CB94" w14:textId="5876BF62" w:rsidR="00407873" w:rsidRDefault="00407873" w:rsidP="00CF5191">
      <w:pPr>
        <w:rPr>
          <w:rFonts w:ascii="Arial" w:hAnsi="Arial" w:cs="Arial"/>
          <w:b/>
          <w:bCs/>
          <w:color w:val="000000" w:themeColor="text1"/>
          <w:sz w:val="24"/>
          <w:szCs w:val="24"/>
        </w:rPr>
      </w:pPr>
      <w:r w:rsidRPr="0028226B">
        <w:rPr>
          <w:rFonts w:ascii="Arial" w:hAnsi="Arial" w:cs="Arial"/>
          <w:noProof/>
          <w:sz w:val="24"/>
          <w:szCs w:val="24"/>
        </w:rPr>
        <w:drawing>
          <wp:inline distT="0" distB="0" distL="0" distR="0" wp14:anchorId="5E98F2A8" wp14:editId="60EDB80A">
            <wp:extent cx="5760720" cy="3406140"/>
            <wp:effectExtent l="0" t="0" r="0" b="3810"/>
            <wp:docPr id="395578799" name="Wykres 1" descr="Wykres przedstawia formę ostatniej informacji o Funduszach Europejskich, z którą zetknęli się respondenci. Najczęściej wskazywano debatę publicystyczną – 22%. Kolejne miejsca zajęły reklama – 18%, artykuł – 16%, reportaż – 14% oraz wiadomości w serwisie informacyjnym – 14%. Opinie w mediach społecznościowych lub na forach wskazało 11% badanych, a odpowiedź „inne” – 6%. Wykres ma postać poziomych słupków porównujących wartości procentowe poszczególnych kategorii."/>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14:paraId="6DA46A9D" w14:textId="4C778407" w:rsidR="00407873" w:rsidRDefault="00407873" w:rsidP="00407873">
      <w:pPr>
        <w:rPr>
          <w:rFonts w:ascii="Arial" w:hAnsi="Arial" w:cs="Arial"/>
          <w:color w:val="000000" w:themeColor="text1"/>
          <w:sz w:val="24"/>
          <w:szCs w:val="24"/>
        </w:rPr>
      </w:pPr>
      <w:r w:rsidRPr="00672A70">
        <w:rPr>
          <w:rFonts w:ascii="Arial" w:hAnsi="Arial" w:cs="Arial"/>
          <w:color w:val="000000" w:themeColor="text1"/>
          <w:sz w:val="24"/>
          <w:szCs w:val="24"/>
        </w:rPr>
        <w:t>Źródło: Opracowano na podstawie badania CAPI</w:t>
      </w:r>
      <w:r w:rsidR="0083569E">
        <w:rPr>
          <w:rFonts w:ascii="Arial" w:hAnsi="Arial" w:cs="Arial"/>
          <w:sz w:val="24"/>
          <w:szCs w:val="24"/>
        </w:rPr>
        <w:t>; odpowiadający: znający określenie FE lub FU, potrafiący wskazać odpowiedź</w:t>
      </w:r>
    </w:p>
    <w:p w14:paraId="208AF76C" w14:textId="7CA97008" w:rsidR="0032598F" w:rsidRPr="00672A70" w:rsidRDefault="0032598F" w:rsidP="000B46BF">
      <w:pPr>
        <w:spacing w:line="360" w:lineRule="auto"/>
        <w:rPr>
          <w:rFonts w:ascii="Arial" w:hAnsi="Arial" w:cs="Arial"/>
          <w:sz w:val="24"/>
          <w:szCs w:val="24"/>
        </w:rPr>
      </w:pPr>
      <w:r w:rsidRPr="00672A70">
        <w:rPr>
          <w:rFonts w:ascii="Arial" w:hAnsi="Arial" w:cs="Arial"/>
          <w:sz w:val="24"/>
          <w:szCs w:val="24"/>
        </w:rPr>
        <w:t>Zestawienie odpowiedzi dotyczących tego, co respondenci zapamiętali z ostatnio spotkanej reklamy, programu, artykułu lub informacji o Funduszach Europejskich, ujawnia, że dominującą kategorią są ogólne informacje o dotacjach</w:t>
      </w:r>
      <w:r w:rsidR="00F5302D">
        <w:rPr>
          <w:rFonts w:ascii="Arial" w:hAnsi="Arial" w:cs="Arial"/>
          <w:sz w:val="24"/>
          <w:szCs w:val="24"/>
        </w:rPr>
        <w:t xml:space="preserve"> (19%)</w:t>
      </w:r>
      <w:r w:rsidRPr="00672A70">
        <w:rPr>
          <w:rFonts w:ascii="Arial" w:hAnsi="Arial" w:cs="Arial"/>
          <w:sz w:val="24"/>
          <w:szCs w:val="24"/>
        </w:rPr>
        <w:t>, które zapamiętało najwięcej badanych. Kolejne najczęściej wskazywane treści dotyczyły informacji o finansowaniu ze środków unijnych oraz przekazów przedstawiających konkretne inwestycje realizowane dzięki Funduszom Europejskim, takie jak projekty infrastrukturalne, działania ekologiczne, modernizacje obiektów publicznych czy wsparcie dla przedsiębiorców. Część osób zwróciła uwagę na nazwy projektów oraz cele inwestycji, w tym poprawę jakości życia, rozwój transportu, edukacji i usług publicznych. Wśród zapamiętanych elementów pojawiały się także treści odnoszące się do beneficjentów działań, w tym mieszkańców regionów, uczniów, osób bezrobotnych czy rolników.</w:t>
      </w:r>
    </w:p>
    <w:p w14:paraId="0E42A26F" w14:textId="77777777" w:rsidR="0032598F" w:rsidRPr="00672A70" w:rsidRDefault="0032598F" w:rsidP="000B46BF">
      <w:pPr>
        <w:spacing w:line="360" w:lineRule="auto"/>
        <w:rPr>
          <w:rFonts w:ascii="Arial" w:hAnsi="Arial" w:cs="Arial"/>
          <w:sz w:val="24"/>
          <w:szCs w:val="24"/>
        </w:rPr>
      </w:pPr>
      <w:r w:rsidRPr="00672A70">
        <w:rPr>
          <w:rFonts w:ascii="Arial" w:hAnsi="Arial" w:cs="Arial"/>
          <w:sz w:val="24"/>
          <w:szCs w:val="24"/>
        </w:rPr>
        <w:t xml:space="preserve">Respondenci rzadziej zapamiętywali elementy wizualne, takie jak logo Funduszy Europejskich czy tablice informacyjne umieszczane przy inwestycjach. Sporadycznie pojawiały się również informacje dotyczące procedur uzyskania środków, naborów czy harmonogramów realizacji projektów. Największą grupę stanowią jednak osoby, które nie były w stanie przypomnieć sobie żadnych szczegółów przekazu – </w:t>
      </w:r>
      <w:r w:rsidRPr="00672A70">
        <w:rPr>
          <w:rFonts w:ascii="Arial" w:hAnsi="Arial" w:cs="Arial"/>
          <w:sz w:val="24"/>
          <w:szCs w:val="24"/>
        </w:rPr>
        <w:lastRenderedPageBreak/>
        <w:t>odpowiedzi tego typu pojawiały się najczęściej w całym zestawieniu, co potwierdza, że duża część odbiorców nie zapamiętuje treści materiałów informacyjnych o funduszach lub zwraca na nie jedynie ograniczoną uwagę.</w:t>
      </w:r>
    </w:p>
    <w:p w14:paraId="33D3BCA1" w14:textId="7D4B37DA" w:rsidR="0032598F" w:rsidRPr="0028226B" w:rsidRDefault="0032598F" w:rsidP="004B75FE">
      <w:pPr>
        <w:pStyle w:val="Legenda"/>
        <w:keepNext/>
        <w:spacing w:after="0"/>
        <w:rPr>
          <w:rFonts w:ascii="Arial" w:hAnsi="Arial" w:cs="Arial"/>
          <w:b/>
          <w:bCs/>
          <w:i w:val="0"/>
          <w:iCs w:val="0"/>
          <w:color w:val="auto"/>
          <w:sz w:val="24"/>
          <w:szCs w:val="24"/>
        </w:rPr>
      </w:pPr>
      <w:bookmarkStart w:id="85" w:name="_Toc219369292"/>
      <w:r w:rsidRPr="0028226B">
        <w:rPr>
          <w:rFonts w:ascii="Arial" w:hAnsi="Arial" w:cs="Arial"/>
          <w:b/>
          <w:bCs/>
          <w:i w:val="0"/>
          <w:iCs w:val="0"/>
          <w:color w:val="auto"/>
          <w:sz w:val="24"/>
          <w:szCs w:val="24"/>
        </w:rPr>
        <w:t xml:space="preserve">Wykres </w:t>
      </w:r>
      <w:r w:rsidRPr="0028226B">
        <w:rPr>
          <w:rFonts w:ascii="Arial" w:hAnsi="Arial" w:cs="Arial"/>
          <w:b/>
          <w:bCs/>
          <w:i w:val="0"/>
          <w:iCs w:val="0"/>
          <w:color w:val="auto"/>
          <w:sz w:val="24"/>
          <w:szCs w:val="24"/>
        </w:rPr>
        <w:fldChar w:fldCharType="begin"/>
      </w:r>
      <w:r w:rsidRPr="0028226B">
        <w:rPr>
          <w:rFonts w:ascii="Arial" w:hAnsi="Arial" w:cs="Arial"/>
          <w:b/>
          <w:bCs/>
          <w:i w:val="0"/>
          <w:iCs w:val="0"/>
          <w:color w:val="auto"/>
          <w:sz w:val="24"/>
          <w:szCs w:val="24"/>
        </w:rPr>
        <w:instrText xml:space="preserve"> SEQ Wykres \* ARABIC </w:instrText>
      </w:r>
      <w:r w:rsidRPr="0028226B">
        <w:rPr>
          <w:rFonts w:ascii="Arial" w:hAnsi="Arial" w:cs="Arial"/>
          <w:b/>
          <w:bCs/>
          <w:i w:val="0"/>
          <w:iCs w:val="0"/>
          <w:color w:val="auto"/>
          <w:sz w:val="24"/>
          <w:szCs w:val="24"/>
        </w:rPr>
        <w:fldChar w:fldCharType="separate"/>
      </w:r>
      <w:r w:rsidR="0055789E">
        <w:rPr>
          <w:rFonts w:ascii="Arial" w:hAnsi="Arial" w:cs="Arial"/>
          <w:b/>
          <w:bCs/>
          <w:i w:val="0"/>
          <w:iCs w:val="0"/>
          <w:noProof/>
          <w:color w:val="auto"/>
          <w:sz w:val="24"/>
          <w:szCs w:val="24"/>
        </w:rPr>
        <w:t>66</w:t>
      </w:r>
      <w:r w:rsidRPr="0028226B">
        <w:rPr>
          <w:rFonts w:ascii="Arial" w:hAnsi="Arial" w:cs="Arial"/>
          <w:b/>
          <w:bCs/>
          <w:i w:val="0"/>
          <w:iCs w:val="0"/>
          <w:color w:val="auto"/>
          <w:sz w:val="24"/>
          <w:szCs w:val="24"/>
        </w:rPr>
        <w:fldChar w:fldCharType="end"/>
      </w:r>
      <w:r w:rsidRPr="0028226B">
        <w:rPr>
          <w:rFonts w:ascii="Arial" w:hAnsi="Arial" w:cs="Arial"/>
          <w:b/>
          <w:bCs/>
          <w:i w:val="0"/>
          <w:iCs w:val="0"/>
          <w:color w:val="auto"/>
          <w:sz w:val="24"/>
          <w:szCs w:val="24"/>
        </w:rPr>
        <w:t xml:space="preserve">. </w:t>
      </w:r>
      <w:r w:rsidR="00C24143">
        <w:rPr>
          <w:rFonts w:ascii="Arial" w:hAnsi="Arial" w:cs="Arial"/>
          <w:b/>
          <w:bCs/>
          <w:i w:val="0"/>
          <w:iCs w:val="0"/>
          <w:color w:val="auto"/>
          <w:sz w:val="24"/>
          <w:szCs w:val="24"/>
        </w:rPr>
        <w:t xml:space="preserve">P41 </w:t>
      </w:r>
      <w:r w:rsidR="00827F3B" w:rsidRPr="0028226B">
        <w:rPr>
          <w:rFonts w:ascii="Arial" w:hAnsi="Arial" w:cs="Arial"/>
          <w:b/>
          <w:bCs/>
          <w:i w:val="0"/>
          <w:iCs w:val="0"/>
          <w:color w:val="auto"/>
          <w:sz w:val="24"/>
          <w:szCs w:val="24"/>
        </w:rPr>
        <w:t xml:space="preserve">Co zapamiętał(a) Pan(i) z tej ostatnio spotkanej reklamy, programu, artykułu lub informacji o Funduszach Europejskich? </w:t>
      </w:r>
      <w:r w:rsidRPr="0028226B">
        <w:rPr>
          <w:rFonts w:ascii="Arial" w:hAnsi="Arial" w:cs="Arial"/>
          <w:b/>
          <w:bCs/>
          <w:i w:val="0"/>
          <w:iCs w:val="0"/>
          <w:color w:val="auto"/>
          <w:sz w:val="24"/>
          <w:szCs w:val="24"/>
        </w:rPr>
        <w:t xml:space="preserve"> (N=185)</w:t>
      </w:r>
      <w:bookmarkEnd w:id="85"/>
    </w:p>
    <w:p w14:paraId="422F8DAD" w14:textId="355B0109" w:rsidR="0032598F" w:rsidRPr="0028226B" w:rsidRDefault="0032598F" w:rsidP="00964028">
      <w:pPr>
        <w:rPr>
          <w:rFonts w:ascii="Arial" w:hAnsi="Arial" w:cs="Arial"/>
          <w:sz w:val="24"/>
          <w:szCs w:val="24"/>
        </w:rPr>
      </w:pPr>
      <w:r w:rsidRPr="0028226B">
        <w:rPr>
          <w:rFonts w:ascii="Arial" w:hAnsi="Arial" w:cs="Arial"/>
          <w:noProof/>
          <w:sz w:val="24"/>
          <w:szCs w:val="24"/>
        </w:rPr>
        <w:drawing>
          <wp:inline distT="0" distB="0" distL="0" distR="0" wp14:anchorId="7F439247" wp14:editId="3963D80B">
            <wp:extent cx="5760720" cy="4710022"/>
            <wp:effectExtent l="0" t="0" r="0" b="0"/>
            <wp:docPr id="320692171" name="Wykres 1" descr="Wykres poziomy przedstawia odpowiedzi na pytanie:&#10;„Co zapamiętał(a) Pan(i) z tej ostatnio spotkanej reklamy, programu, artykułu lub informacji o Funduszach Europejskich?”&#10;Badanie zrealizowano na próbie N=185.&#10;&#10;Kategorie i wartości procentowe:&#10;&#10;ogólne informacje o dotacjach – 19%&#10;&#10;informacje o inwestycji sfinansowanej ze środków unijnych – 18%&#10;&#10;finansowanie ze środków unijnych – 10%&#10;&#10;logo – 4%&#10;&#10;beneficjenci – 4%&#10;&#10;cel – 4%&#10;&#10;tablica informacyjna – 3%&#10;&#10;nazwy inwestycji/projektów – 3%&#10;&#10;przedział czasowy – 2%&#10;&#10;jak pozyskać fundusze – 2%&#10;&#10;nie wiem / trudno powiedzieć – 37%&#10;&#10;Wykres pokazuje, że najczęściej wskazywane były ogólne informacje o dotacjach i konkretne przykłady inwestycji, natomiast największa grupa respondentów (37%) nie pamiętała żadnych szczegółów."/>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14:paraId="5107C729" w14:textId="437FFD22" w:rsidR="0032598F" w:rsidRPr="00672A70" w:rsidRDefault="0032598F" w:rsidP="0032598F">
      <w:pPr>
        <w:rPr>
          <w:rFonts w:ascii="Arial" w:hAnsi="Arial" w:cs="Arial"/>
          <w:sz w:val="24"/>
          <w:szCs w:val="24"/>
        </w:rPr>
      </w:pPr>
      <w:r w:rsidRPr="00672A70">
        <w:rPr>
          <w:rFonts w:ascii="Arial" w:hAnsi="Arial" w:cs="Arial"/>
          <w:sz w:val="24"/>
          <w:szCs w:val="24"/>
        </w:rPr>
        <w:t>Źródło: Opracowano na podstawie badania CAPI</w:t>
      </w:r>
      <w:r w:rsidR="0083569E">
        <w:rPr>
          <w:rFonts w:ascii="Arial" w:hAnsi="Arial" w:cs="Arial"/>
          <w:sz w:val="24"/>
          <w:szCs w:val="24"/>
        </w:rPr>
        <w:t>; odpowiadający: znający określenie FE lub FU, potrafiący wskazać odpowiedź</w:t>
      </w:r>
    </w:p>
    <w:p w14:paraId="4F49BCED" w14:textId="726B7ABD" w:rsidR="00425786" w:rsidRPr="00672A70" w:rsidRDefault="00425786" w:rsidP="000B46BF">
      <w:pPr>
        <w:spacing w:line="360" w:lineRule="auto"/>
        <w:rPr>
          <w:rFonts w:ascii="Arial" w:hAnsi="Arial" w:cs="Arial"/>
          <w:sz w:val="24"/>
          <w:szCs w:val="24"/>
        </w:rPr>
      </w:pPr>
      <w:r w:rsidRPr="00672A70">
        <w:rPr>
          <w:rFonts w:ascii="Arial" w:hAnsi="Arial" w:cs="Arial"/>
          <w:sz w:val="24"/>
          <w:szCs w:val="24"/>
        </w:rPr>
        <w:t>W 2025 roku zdecydowana większość osób, które zetknęły się z reklamą, programem, artykułem lub inną informacją o Funduszach Europejskich, odebrała ten przekaz w sposób pozytywny. Łącznie 7</w:t>
      </w:r>
      <w:r w:rsidR="00C24143">
        <w:rPr>
          <w:rFonts w:ascii="Arial" w:hAnsi="Arial" w:cs="Arial"/>
          <w:sz w:val="24"/>
          <w:szCs w:val="24"/>
        </w:rPr>
        <w:t>3</w:t>
      </w:r>
      <w:r w:rsidRPr="00672A70">
        <w:rPr>
          <w:rFonts w:ascii="Arial" w:hAnsi="Arial" w:cs="Arial"/>
          <w:sz w:val="24"/>
          <w:szCs w:val="24"/>
        </w:rPr>
        <w:t>% respondentów zakwalifikowało prezentację Funduszy jako pozytywną, w tym 33% określiło ją jako zdecydowanie pozytywną, a 39% jako raczej pozytywną. Oznacza to, że przekaz w przeważającej mierze wzmacniał korzystny obraz Funduszy Europejskich.</w:t>
      </w:r>
    </w:p>
    <w:p w14:paraId="5AE1C18A" w14:textId="31608F9A" w:rsidR="00425786" w:rsidRPr="00672A70" w:rsidRDefault="00425786" w:rsidP="000B46BF">
      <w:pPr>
        <w:spacing w:line="360" w:lineRule="auto"/>
        <w:rPr>
          <w:rFonts w:ascii="Arial" w:hAnsi="Arial" w:cs="Arial"/>
          <w:sz w:val="24"/>
          <w:szCs w:val="24"/>
        </w:rPr>
      </w:pPr>
      <w:r w:rsidRPr="00672A70">
        <w:rPr>
          <w:rFonts w:ascii="Arial" w:hAnsi="Arial" w:cs="Arial"/>
          <w:sz w:val="24"/>
          <w:szCs w:val="24"/>
        </w:rPr>
        <w:t xml:space="preserve">Neutralny odbiór deklarowało 21% badanych, co wskazuje, że dla części osób przekaz był informacyjny, ale nie wywoływał wyraźnych emocji ani ocen. Udział ocen </w:t>
      </w:r>
      <w:r w:rsidRPr="00672A70">
        <w:rPr>
          <w:rFonts w:ascii="Arial" w:hAnsi="Arial" w:cs="Arial"/>
          <w:sz w:val="24"/>
          <w:szCs w:val="24"/>
        </w:rPr>
        <w:lastRenderedPageBreak/>
        <w:t xml:space="preserve">negatywnych pozostaje minimalny: jedynie 2% wskazało odpowiedź „raczej negatywnie”, a </w:t>
      </w:r>
      <w:r w:rsidR="000B46BF">
        <w:rPr>
          <w:rFonts w:ascii="Arial" w:hAnsi="Arial" w:cs="Arial"/>
          <w:sz w:val="24"/>
          <w:szCs w:val="24"/>
        </w:rPr>
        <w:t>2</w:t>
      </w:r>
      <w:r w:rsidRPr="00672A70">
        <w:rPr>
          <w:rFonts w:ascii="Arial" w:hAnsi="Arial" w:cs="Arial"/>
          <w:sz w:val="24"/>
          <w:szCs w:val="24"/>
        </w:rPr>
        <w:t>% – „zdecydowanie negatywnie”.</w:t>
      </w:r>
    </w:p>
    <w:p w14:paraId="21CAA520" w14:textId="2811DBB9" w:rsidR="00425786" w:rsidRPr="00672A70" w:rsidRDefault="00425786" w:rsidP="000B46BF">
      <w:pPr>
        <w:spacing w:line="360" w:lineRule="auto"/>
        <w:rPr>
          <w:rFonts w:ascii="Arial" w:hAnsi="Arial" w:cs="Arial"/>
          <w:sz w:val="24"/>
          <w:szCs w:val="24"/>
        </w:rPr>
      </w:pPr>
      <w:r w:rsidRPr="00672A70">
        <w:rPr>
          <w:rFonts w:ascii="Arial" w:hAnsi="Arial" w:cs="Arial"/>
          <w:sz w:val="24"/>
          <w:szCs w:val="24"/>
        </w:rPr>
        <w:t>Niewielka grupa respondentów (2%) nie potrafiła określić charakteru przekazu i wybrała odpowiedź „nie wiem, trudno powiedzieć”. Wyniki pokazują wysoki poziom pozytywnego odbioru komunikatów o Funduszach Europejskich, przy bardzo ograniczonym udziale ocen negatywnych.</w:t>
      </w:r>
    </w:p>
    <w:p w14:paraId="19A91FFB" w14:textId="60ACA4BE" w:rsidR="009351D9" w:rsidRPr="00672A70" w:rsidRDefault="005F0B7B" w:rsidP="000B46BF">
      <w:pPr>
        <w:spacing w:line="360" w:lineRule="auto"/>
        <w:rPr>
          <w:rFonts w:ascii="Arial" w:hAnsi="Arial" w:cs="Arial"/>
          <w:sz w:val="24"/>
          <w:szCs w:val="24"/>
        </w:rPr>
      </w:pPr>
      <w:r>
        <w:rPr>
          <w:rFonts w:ascii="Arial" w:hAnsi="Arial" w:cs="Arial"/>
          <w:sz w:val="24"/>
          <w:szCs w:val="24"/>
        </w:rPr>
        <w:t>Dane</w:t>
      </w:r>
      <w:r w:rsidRPr="00672A70">
        <w:rPr>
          <w:rFonts w:ascii="Arial" w:hAnsi="Arial" w:cs="Arial"/>
          <w:sz w:val="24"/>
          <w:szCs w:val="24"/>
        </w:rPr>
        <w:t xml:space="preserve"> </w:t>
      </w:r>
      <w:r w:rsidR="009351D9" w:rsidRPr="00672A70">
        <w:rPr>
          <w:rFonts w:ascii="Arial" w:hAnsi="Arial" w:cs="Arial"/>
          <w:sz w:val="24"/>
          <w:szCs w:val="24"/>
        </w:rPr>
        <w:t xml:space="preserve">dotyczące postrzegania Funduszy Europejskich w ostatnio spotkanej reklamie, programie, artykule lub informacji zostały przeanalizowane w podziale na cechy społeczno-demograficzne respondentów. Należy jednak podkreślić, że liczba osób udzielających odpowiedzi na pytanie </w:t>
      </w:r>
      <w:r w:rsidR="00061EA1" w:rsidRPr="00672A70">
        <w:rPr>
          <w:rFonts w:ascii="Arial" w:hAnsi="Arial" w:cs="Arial"/>
          <w:sz w:val="24"/>
          <w:szCs w:val="24"/>
        </w:rPr>
        <w:t xml:space="preserve">o ocenę przekazu dotyczącego Funduszy Europejskich </w:t>
      </w:r>
      <w:r w:rsidR="009351D9" w:rsidRPr="00672A70">
        <w:rPr>
          <w:rFonts w:ascii="Arial" w:hAnsi="Arial" w:cs="Arial"/>
          <w:sz w:val="24"/>
          <w:szCs w:val="24"/>
        </w:rPr>
        <w:t xml:space="preserve">była niewielka (łączne N=128), co sprawia, że uzyskane dane mają wyłącznie charakter poglądowy. Z tego względu nie opracowano pełnych wykresów dla poszczególnych kategorii </w:t>
      </w:r>
      <w:proofErr w:type="spellStart"/>
      <w:r w:rsidR="009351D9" w:rsidRPr="00672A70">
        <w:rPr>
          <w:rFonts w:ascii="Arial" w:hAnsi="Arial" w:cs="Arial"/>
          <w:sz w:val="24"/>
          <w:szCs w:val="24"/>
        </w:rPr>
        <w:t>metryczkowych</w:t>
      </w:r>
      <w:proofErr w:type="spellEnd"/>
      <w:r w:rsidR="009351D9" w:rsidRPr="00672A70">
        <w:rPr>
          <w:rFonts w:ascii="Arial" w:hAnsi="Arial" w:cs="Arial"/>
          <w:sz w:val="24"/>
          <w:szCs w:val="24"/>
        </w:rPr>
        <w:t>.</w:t>
      </w:r>
    </w:p>
    <w:p w14:paraId="083CB04A" w14:textId="77777777" w:rsidR="009351D9" w:rsidRPr="00672A70" w:rsidRDefault="009351D9" w:rsidP="000B46BF">
      <w:pPr>
        <w:spacing w:line="360" w:lineRule="auto"/>
        <w:rPr>
          <w:rFonts w:ascii="Arial" w:hAnsi="Arial" w:cs="Arial"/>
          <w:sz w:val="24"/>
          <w:szCs w:val="24"/>
        </w:rPr>
      </w:pPr>
      <w:r w:rsidRPr="00672A70">
        <w:rPr>
          <w:rFonts w:ascii="Arial" w:hAnsi="Arial" w:cs="Arial"/>
          <w:sz w:val="24"/>
          <w:szCs w:val="24"/>
        </w:rPr>
        <w:t>W podziale na płeć widać, że zarówno kobiety, jak i mężczyźni najczęściej oceniają przekaz jako raczej pozytywny lub zdecydowanie pozytywny, przy czym kobiety nieco częściej wskazują ocenę raczej pozytywną, a mężczyźni – zdecydowanie pozytywną. Udział ocen neutralnych oraz negatywnych jest niski w obu grupach.</w:t>
      </w:r>
    </w:p>
    <w:p w14:paraId="1B43B1AB" w14:textId="502704D3" w:rsidR="009351D9" w:rsidRPr="00672A70" w:rsidRDefault="009351D9" w:rsidP="000B46BF">
      <w:pPr>
        <w:spacing w:line="360" w:lineRule="auto"/>
        <w:rPr>
          <w:rFonts w:ascii="Arial" w:hAnsi="Arial" w:cs="Arial"/>
          <w:sz w:val="24"/>
          <w:szCs w:val="24"/>
        </w:rPr>
      </w:pPr>
      <w:r w:rsidRPr="00672A70">
        <w:rPr>
          <w:rFonts w:ascii="Arial" w:hAnsi="Arial" w:cs="Arial"/>
          <w:sz w:val="24"/>
          <w:szCs w:val="24"/>
        </w:rPr>
        <w:t xml:space="preserve">W grupach wiekowych również dominują odpowiedzi pozytywne, choć ich rozkład jest zróżnicowany między poszczególnymi kategoriami wieku. W części grup (np. 35–44 lata czy 50–199 tys. mieszkańców w przypadku wielkości miejscowości) widoczny jest wysoki udział ocen zdecydowanie pozytywnych, natomiast w najmłodszych rocznikach większą rolę odgrywają odpowiedzi neutralne. </w:t>
      </w:r>
    </w:p>
    <w:p w14:paraId="0F03BC19" w14:textId="77777777" w:rsidR="009351D9" w:rsidRPr="00672A70" w:rsidRDefault="009351D9" w:rsidP="000B46BF">
      <w:pPr>
        <w:spacing w:line="360" w:lineRule="auto"/>
        <w:rPr>
          <w:rFonts w:ascii="Arial" w:hAnsi="Arial" w:cs="Arial"/>
          <w:sz w:val="24"/>
          <w:szCs w:val="24"/>
        </w:rPr>
      </w:pPr>
      <w:r w:rsidRPr="00672A70">
        <w:rPr>
          <w:rFonts w:ascii="Arial" w:hAnsi="Arial" w:cs="Arial"/>
          <w:sz w:val="24"/>
          <w:szCs w:val="24"/>
        </w:rPr>
        <w:t>W podziale według wykształcenia również przeważają oceny pozytywne, przy czym osoby z wykształceniem średnim i podstawowym najczęściej wskazują raczej pozytywny odbiór przekazu. Odpowiedzi negatywne pojawiają się bardzo rzadko. Podobny rozkład widoczny jest w podziale według wielkości miejscowości zamieszkania, gdzie niezależnie od typu miejscowości oceny pozytywne są dominujące, choć ich udział waha się od ok. 27 % do ponad 50 %.</w:t>
      </w:r>
    </w:p>
    <w:p w14:paraId="1D53CFCB" w14:textId="77777777" w:rsidR="009351D9" w:rsidRPr="00672A70" w:rsidRDefault="009351D9" w:rsidP="000B46BF">
      <w:pPr>
        <w:spacing w:line="360" w:lineRule="auto"/>
        <w:rPr>
          <w:rFonts w:ascii="Arial" w:hAnsi="Arial" w:cs="Arial"/>
          <w:sz w:val="24"/>
          <w:szCs w:val="24"/>
        </w:rPr>
      </w:pPr>
      <w:r w:rsidRPr="00672A70">
        <w:rPr>
          <w:rFonts w:ascii="Arial" w:hAnsi="Arial" w:cs="Arial"/>
          <w:sz w:val="24"/>
          <w:szCs w:val="24"/>
        </w:rPr>
        <w:t xml:space="preserve">Podsumowując, we wszystkich analizowanych grupach przeważa postrzeganie przekazów o Funduszach Europejskich w świetle pozytywnym, jednak ze względu na </w:t>
      </w:r>
      <w:r w:rsidRPr="00672A70">
        <w:rPr>
          <w:rFonts w:ascii="Arial" w:hAnsi="Arial" w:cs="Arial"/>
          <w:sz w:val="24"/>
          <w:szCs w:val="24"/>
        </w:rPr>
        <w:lastRenderedPageBreak/>
        <w:t>ograniczoną liczbę udzielonych odpowiedzi (N=128) dane te należy traktować orientacyjnie i nie wyciągać na ich podstawie daleko idących wniosków.</w:t>
      </w:r>
    </w:p>
    <w:p w14:paraId="06B1F80A" w14:textId="02B5DE91" w:rsidR="00425786" w:rsidRPr="0028226B" w:rsidRDefault="1ABB68D1" w:rsidP="7A361059">
      <w:pPr>
        <w:pStyle w:val="Legenda"/>
        <w:keepNext/>
        <w:rPr>
          <w:rFonts w:ascii="Arial" w:hAnsi="Arial" w:cs="Arial"/>
          <w:b/>
          <w:bCs/>
          <w:i w:val="0"/>
          <w:iCs w:val="0"/>
          <w:color w:val="auto"/>
          <w:sz w:val="24"/>
          <w:szCs w:val="24"/>
        </w:rPr>
      </w:pPr>
      <w:bookmarkStart w:id="86" w:name="_Toc219369293"/>
      <w:r w:rsidRPr="0028226B">
        <w:rPr>
          <w:rFonts w:ascii="Arial" w:hAnsi="Arial" w:cs="Arial"/>
          <w:b/>
          <w:bCs/>
          <w:i w:val="0"/>
          <w:iCs w:val="0"/>
          <w:color w:val="auto"/>
          <w:sz w:val="24"/>
          <w:szCs w:val="24"/>
        </w:rPr>
        <w:t xml:space="preserve">Wykres </w:t>
      </w:r>
      <w:r w:rsidR="00425786" w:rsidRPr="0028226B">
        <w:rPr>
          <w:rFonts w:ascii="Arial" w:hAnsi="Arial" w:cs="Arial"/>
          <w:b/>
          <w:bCs/>
          <w:i w:val="0"/>
          <w:iCs w:val="0"/>
          <w:color w:val="auto"/>
          <w:sz w:val="24"/>
          <w:szCs w:val="24"/>
        </w:rPr>
        <w:fldChar w:fldCharType="begin"/>
      </w:r>
      <w:r w:rsidR="00425786" w:rsidRPr="0028226B">
        <w:rPr>
          <w:rFonts w:ascii="Arial" w:hAnsi="Arial" w:cs="Arial"/>
          <w:b/>
          <w:bCs/>
          <w:i w:val="0"/>
          <w:iCs w:val="0"/>
          <w:color w:val="auto"/>
          <w:sz w:val="24"/>
          <w:szCs w:val="24"/>
        </w:rPr>
        <w:instrText xml:space="preserve"> SEQ Wykres \* ARABIC </w:instrText>
      </w:r>
      <w:r w:rsidR="00425786" w:rsidRPr="0028226B">
        <w:rPr>
          <w:rFonts w:ascii="Arial" w:hAnsi="Arial" w:cs="Arial"/>
          <w:b/>
          <w:bCs/>
          <w:i w:val="0"/>
          <w:iCs w:val="0"/>
          <w:color w:val="auto"/>
          <w:sz w:val="24"/>
          <w:szCs w:val="24"/>
        </w:rPr>
        <w:fldChar w:fldCharType="separate"/>
      </w:r>
      <w:r w:rsidR="0055789E">
        <w:rPr>
          <w:rFonts w:ascii="Arial" w:hAnsi="Arial" w:cs="Arial"/>
          <w:b/>
          <w:bCs/>
          <w:i w:val="0"/>
          <w:iCs w:val="0"/>
          <w:noProof/>
          <w:color w:val="auto"/>
          <w:sz w:val="24"/>
          <w:szCs w:val="24"/>
        </w:rPr>
        <w:t>67</w:t>
      </w:r>
      <w:r w:rsidR="00425786" w:rsidRPr="0028226B">
        <w:rPr>
          <w:rFonts w:ascii="Arial" w:hAnsi="Arial" w:cs="Arial"/>
          <w:b/>
          <w:bCs/>
          <w:i w:val="0"/>
          <w:iCs w:val="0"/>
          <w:color w:val="auto"/>
          <w:sz w:val="24"/>
          <w:szCs w:val="24"/>
        </w:rPr>
        <w:fldChar w:fldCharType="end"/>
      </w:r>
      <w:r w:rsidRPr="0028226B">
        <w:rPr>
          <w:rFonts w:ascii="Arial" w:hAnsi="Arial" w:cs="Arial"/>
          <w:b/>
          <w:bCs/>
          <w:i w:val="0"/>
          <w:iCs w:val="0"/>
          <w:color w:val="auto"/>
          <w:sz w:val="24"/>
          <w:szCs w:val="24"/>
        </w:rPr>
        <w:t xml:space="preserve">. </w:t>
      </w:r>
      <w:r w:rsidR="4302C74B" w:rsidRPr="0028226B">
        <w:rPr>
          <w:rFonts w:ascii="Arial" w:hAnsi="Arial" w:cs="Arial"/>
          <w:b/>
          <w:bCs/>
          <w:i w:val="0"/>
          <w:iCs w:val="0"/>
          <w:color w:val="auto"/>
          <w:sz w:val="24"/>
          <w:szCs w:val="24"/>
        </w:rPr>
        <w:t>P42. Czy ta reklama, program, artykuł lub informacja prezentowała Fundusze Europejskie w pozytywnym, negatywnym czy neutralnym świetle? – w latach 2018-2025</w:t>
      </w:r>
      <w:bookmarkEnd w:id="86"/>
    </w:p>
    <w:p w14:paraId="42B11129" w14:textId="77777777" w:rsidR="0032598F" w:rsidRPr="0028226B" w:rsidRDefault="0032598F" w:rsidP="0032598F">
      <w:pPr>
        <w:rPr>
          <w:rFonts w:ascii="Arial" w:hAnsi="Arial" w:cs="Arial"/>
          <w:sz w:val="24"/>
          <w:szCs w:val="24"/>
        </w:rPr>
      </w:pPr>
      <w:r w:rsidRPr="0028226B">
        <w:rPr>
          <w:rFonts w:ascii="Arial" w:hAnsi="Arial" w:cs="Arial"/>
          <w:noProof/>
          <w:sz w:val="24"/>
          <w:szCs w:val="24"/>
        </w:rPr>
        <w:drawing>
          <wp:inline distT="0" distB="0" distL="0" distR="0" wp14:anchorId="06B00FFC" wp14:editId="5E201822">
            <wp:extent cx="5486400" cy="3956538"/>
            <wp:effectExtent l="0" t="0" r="0" b="0"/>
            <wp:docPr id="1166288116" name="Wykres 5" descr="ykres przedstawia rozkład odpowiedzi na pytanie:&#10;„Czy ta reklama, program, artykuł lub informacja prezentowała Fundusze Europejskie w pozytywnym, negatywnym czy neutralnym świetle?”&#10;dla lat 2018–2025. Pokazano sześć kategorii odpowiedzi: „zdecydowanie pozytywnie”, „raczej pozytywnie”, „ani pozytywnie, ani negatywnie”, „raczej negatywnie”, „zdecydowanie negatywnie”, „nie wiem / trudno powiedzieć”.&#10;&#10;Wyniki dla poszczególnych lat:&#10;&#10;2025, N=128: 33% „zdecydowanie pozytywnie”, 39% „raczej pozytywnie”, 21% „ani pozytywnie, ani negatywnie”, 2% „raczej negatywnie”, 2% „zdecydowanie negatywnie”, 2% „nie wiem”.&#10;&#10;2023, N=185: 45% „zdecydowanie pozytywnie”, 35% „raczej pozytywnie”, 17% „ani pozytywnie, ani negatywnie”, 1% „raczej negatywnie”, 2% „zdecydowanie negatywnie”, 1% „nie wiem”.&#10;&#10;2022, N=607: 32% „zdecydowanie pozytywnie”, 51% „raczej pozytywnie”, 11% „ani pozytywnie, ani negatywnie”, 3% „raczej negatywnie”, 1% „zdecydowanie negatywnie”, 1% „nie wiem”.&#10;&#10;2021, N=289: 46% „zdecydowanie pozytywnie”, 40% „raczej pozytywnie”, 10% „ani pozytywnie, ani negatywnie”, 1% „raczej negatywnie”, 1% „zdecydowanie negatywnie”, 1% „nie wiem”.&#10;&#10;2020, N=911: 40% „zdecydowanie pozytywnie”, 45% „raczej pozytywnie”, 12% „ani pozytywnie, ani negatywnie”, 1% „raczej negatywnie”, 2% „nie wiem”.&#10;&#10;2019, N=195: 33% „zdecydowanie pozytywnie”, 46% „raczej pozytywnie”, 16% „ani pozytywnie, ani negatywnie”, 2% „raczej negatywnie”, 2% „nie wiem”.&#10;&#10;2018, N=789: 32% „zdecydowanie pozytywnie”, 49% „raczej pozytywnie”, 14% „ani pozytywnie, ani negatywnie”, 1% „raczej negatywnie”, 1% „zdecydowanie negatywnie”, 3% „nie wiem”.&#10;&#10;Legenda na dole przedstawia kolory odpowiadające poszczególnym kategoriom odpowiedzi."/>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14:paraId="1DEC20B9" w14:textId="163F0FDF" w:rsidR="0032598F" w:rsidRPr="00672A70" w:rsidRDefault="0032598F" w:rsidP="0032598F">
      <w:pPr>
        <w:rPr>
          <w:rFonts w:ascii="Arial" w:hAnsi="Arial" w:cs="Arial"/>
          <w:sz w:val="24"/>
          <w:szCs w:val="24"/>
        </w:rPr>
      </w:pPr>
      <w:r w:rsidRPr="00672A70">
        <w:rPr>
          <w:rFonts w:ascii="Arial" w:hAnsi="Arial" w:cs="Arial"/>
          <w:sz w:val="24"/>
          <w:szCs w:val="24"/>
        </w:rPr>
        <w:t>Źródło: Opracowano na podstawie badania CAPI</w:t>
      </w:r>
      <w:r w:rsidR="0083569E">
        <w:rPr>
          <w:rFonts w:ascii="Arial" w:hAnsi="Arial" w:cs="Arial"/>
          <w:sz w:val="24"/>
          <w:szCs w:val="24"/>
        </w:rPr>
        <w:t>; odpowiadający: znający określenie FE lub FU, potrafiący wskazać odpowiedź</w:t>
      </w:r>
    </w:p>
    <w:p w14:paraId="36930384" w14:textId="77777777" w:rsidR="00957721" w:rsidRPr="00672A70" w:rsidRDefault="00957721" w:rsidP="000B46BF">
      <w:pPr>
        <w:spacing w:line="360" w:lineRule="auto"/>
        <w:rPr>
          <w:rFonts w:ascii="Arial" w:hAnsi="Arial" w:cs="Arial"/>
          <w:sz w:val="24"/>
          <w:szCs w:val="24"/>
        </w:rPr>
      </w:pPr>
      <w:r w:rsidRPr="00672A70">
        <w:rPr>
          <w:rFonts w:ascii="Arial" w:hAnsi="Arial" w:cs="Arial"/>
          <w:sz w:val="24"/>
          <w:szCs w:val="24"/>
        </w:rPr>
        <w:t>W zestawieniu lat 2018–2025 wyraźnie widać, że przekazy dotyczące Funduszy Europejskich częściej wzmacniały zainteresowanie tematem, niż je osłabiały. W większości lat najliczniejsze pozostawały wskazania „raczej tak”, co pokazuje, że oglądane reklamy, artykuły i programy informacyjne pełniły przede wszystkim funkcję zachęcającą, nawet jeśli nie zawsze bardzo silnie oddziałującą.</w:t>
      </w:r>
    </w:p>
    <w:p w14:paraId="323FE099" w14:textId="1ABD8F2D" w:rsidR="00AC25E2" w:rsidRDefault="00AC25E2" w:rsidP="000B46BF">
      <w:pPr>
        <w:spacing w:line="360" w:lineRule="auto"/>
        <w:rPr>
          <w:rFonts w:ascii="Arial" w:hAnsi="Arial" w:cs="Arial"/>
          <w:sz w:val="24"/>
          <w:szCs w:val="24"/>
        </w:rPr>
      </w:pPr>
      <w:r w:rsidRPr="00AC25E2">
        <w:rPr>
          <w:rFonts w:ascii="Arial" w:hAnsi="Arial" w:cs="Arial"/>
          <w:sz w:val="24"/>
          <w:szCs w:val="24"/>
        </w:rPr>
        <w:t xml:space="preserve">W 2025 roku większość badanych zadeklarowała pozytywny wpływ oglądanej lub słyszanej reklamy, programu, artykułu lub informacji o Funduszach Europejskich na poziom swojego zainteresowania tematem. Odpowiedzi pozytywne („zdecydowanie tak” – 28% oraz „raczej tak” – 30%) łącznie stanowią 58%, co oznacza wyraźną przewagę ocen deklarujących wzrost zainteresowania nad pozostałymi wariantami. Odpowiedź neutralną („ani tak, ani nie”) wybrało 35% respondentów, natomiast </w:t>
      </w:r>
      <w:r w:rsidRPr="00AC25E2">
        <w:rPr>
          <w:rFonts w:ascii="Arial" w:hAnsi="Arial" w:cs="Arial"/>
          <w:sz w:val="24"/>
          <w:szCs w:val="24"/>
        </w:rPr>
        <w:lastRenderedPageBreak/>
        <w:t>odpowiedzi negatywne („raczej nie” – 4% oraz „zdecydowanie nie” – 2%) występują marginalnie i łącznie obejmują 6% wskazań. Dane te sugerują, że przekazy dotyczące Funduszy Europejskich są częściej odbierane jako zachęcające niż obojętne, a oceny negatywne pojawiają się sporadycznie.</w:t>
      </w:r>
    </w:p>
    <w:p w14:paraId="6976E49F" w14:textId="1ADA0D13" w:rsidR="00957721" w:rsidRPr="00672A70" w:rsidRDefault="00957721" w:rsidP="000B46BF">
      <w:pPr>
        <w:spacing w:line="360" w:lineRule="auto"/>
        <w:rPr>
          <w:rFonts w:ascii="Arial" w:hAnsi="Arial" w:cs="Arial"/>
          <w:sz w:val="24"/>
          <w:szCs w:val="24"/>
        </w:rPr>
      </w:pPr>
      <w:r w:rsidRPr="00672A70">
        <w:rPr>
          <w:rFonts w:ascii="Arial" w:hAnsi="Arial" w:cs="Arial"/>
          <w:sz w:val="24"/>
          <w:szCs w:val="24"/>
        </w:rPr>
        <w:t>W roku 2024 struktura odpowiedzi była zbliżona, choć „raczej tak” pojawiało się znacznie częściej (</w:t>
      </w:r>
      <w:r w:rsidR="00C24143">
        <w:rPr>
          <w:rFonts w:ascii="Arial" w:hAnsi="Arial" w:cs="Arial"/>
          <w:sz w:val="24"/>
          <w:szCs w:val="24"/>
        </w:rPr>
        <w:t>40</w:t>
      </w:r>
      <w:r w:rsidRPr="00672A70">
        <w:rPr>
          <w:rFonts w:ascii="Arial" w:hAnsi="Arial" w:cs="Arial"/>
          <w:sz w:val="24"/>
          <w:szCs w:val="24"/>
        </w:rPr>
        <w:t>%). W latach wcześniejszych również przeważały umiarkowanie pozytywne reakcje – najczęściej w przedziale od 37 do 48%. Odpowiedzi negatywne we wszystkich latach pozostawały marginalne, zwykle w granicach kilku procent.</w:t>
      </w:r>
    </w:p>
    <w:p w14:paraId="112D892C" w14:textId="77777777" w:rsidR="00957721" w:rsidRPr="00672A70" w:rsidRDefault="00957721" w:rsidP="000B46BF">
      <w:pPr>
        <w:spacing w:line="360" w:lineRule="auto"/>
        <w:rPr>
          <w:rFonts w:ascii="Arial" w:hAnsi="Arial" w:cs="Arial"/>
          <w:sz w:val="24"/>
          <w:szCs w:val="24"/>
        </w:rPr>
      </w:pPr>
      <w:r w:rsidRPr="00672A70">
        <w:rPr>
          <w:rFonts w:ascii="Arial" w:hAnsi="Arial" w:cs="Arial"/>
          <w:sz w:val="24"/>
          <w:szCs w:val="24"/>
        </w:rPr>
        <w:t>Całokształt wyników sugeruje, że komunikaty promujące Fundusze Europejskie pełnią przede wszystkim funkcję informacyjno-zachęcającą, a ich odbiór – w perspektywie kilkuletniej – pozostaje względnie stabilny i jednokierunkowy, rzadko generując postawy negatywne.</w:t>
      </w:r>
    </w:p>
    <w:p w14:paraId="1105461D" w14:textId="03B6877C" w:rsidR="00957721" w:rsidRPr="0028226B" w:rsidRDefault="00004116" w:rsidP="00C372D5">
      <w:pPr>
        <w:pStyle w:val="Nagwek1"/>
        <w:shd w:val="clear" w:color="auto" w:fill="061A3D"/>
        <w:rPr>
          <w:rFonts w:ascii="Arial" w:hAnsi="Arial" w:cs="Arial"/>
          <w:b/>
          <w:bCs/>
          <w:color w:val="FFFFFF" w:themeColor="background1"/>
          <w:sz w:val="24"/>
          <w:szCs w:val="24"/>
        </w:rPr>
      </w:pPr>
      <w:bookmarkStart w:id="87" w:name="_Toc219375248"/>
      <w:r w:rsidRPr="0028226B">
        <w:rPr>
          <w:rFonts w:ascii="Arial" w:hAnsi="Arial" w:cs="Arial"/>
          <w:b/>
          <w:bCs/>
          <w:color w:val="FFFFFF" w:themeColor="background1"/>
          <w:sz w:val="24"/>
          <w:szCs w:val="24"/>
        </w:rPr>
        <w:t>Krajowy Plan Odbudowy</w:t>
      </w:r>
      <w:bookmarkEnd w:id="87"/>
    </w:p>
    <w:p w14:paraId="35CD6F81" w14:textId="74DFD1D0" w:rsidR="00446A9F" w:rsidRPr="00446A9F" w:rsidRDefault="00446A9F" w:rsidP="000B46BF">
      <w:pPr>
        <w:spacing w:before="240" w:line="360" w:lineRule="auto"/>
        <w:rPr>
          <w:rFonts w:ascii="Arial" w:hAnsi="Arial" w:cs="Arial"/>
          <w:sz w:val="24"/>
          <w:szCs w:val="24"/>
        </w:rPr>
      </w:pPr>
      <w:r w:rsidRPr="00446A9F">
        <w:rPr>
          <w:rFonts w:ascii="Arial" w:hAnsi="Arial" w:cs="Arial"/>
          <w:sz w:val="24"/>
          <w:szCs w:val="24"/>
        </w:rPr>
        <w:t xml:space="preserve">Przegląd odpowiedzi dotyczących znajomości Krajowego Planu Odbudowy wskazuje, że </w:t>
      </w:r>
      <w:r w:rsidRPr="004B75FE">
        <w:rPr>
          <w:rFonts w:ascii="Arial" w:hAnsi="Arial" w:cs="Arial"/>
          <w:sz w:val="24"/>
          <w:szCs w:val="24"/>
        </w:rPr>
        <w:t>odsetek osób deklarujących kontakt z tym pojęciem nie stanowi większości badanej populacji</w:t>
      </w:r>
      <w:r w:rsidRPr="00446A9F">
        <w:rPr>
          <w:rFonts w:ascii="Arial" w:hAnsi="Arial" w:cs="Arial"/>
          <w:sz w:val="24"/>
          <w:szCs w:val="24"/>
        </w:rPr>
        <w:t>. W ujęciu ogółem 42% respondentów deklaruje, że słyszało o KPO, natomiast 4</w:t>
      </w:r>
      <w:r w:rsidR="00245561">
        <w:rPr>
          <w:rFonts w:ascii="Arial" w:hAnsi="Arial" w:cs="Arial"/>
          <w:sz w:val="24"/>
          <w:szCs w:val="24"/>
        </w:rPr>
        <w:t>4</w:t>
      </w:r>
      <w:r w:rsidRPr="00446A9F">
        <w:rPr>
          <w:rFonts w:ascii="Arial" w:hAnsi="Arial" w:cs="Arial"/>
          <w:sz w:val="24"/>
          <w:szCs w:val="24"/>
        </w:rPr>
        <w:t>% wskazuje odpowiedź „nie”, a 14% nie potrafi udzielić jednoznacznej o</w:t>
      </w:r>
      <w:r w:rsidR="00245561">
        <w:rPr>
          <w:rFonts w:ascii="Arial" w:hAnsi="Arial" w:cs="Arial"/>
          <w:sz w:val="24"/>
          <w:szCs w:val="24"/>
        </w:rPr>
        <w:t>dpowiedzi</w:t>
      </w:r>
      <w:r w:rsidRPr="00446A9F">
        <w:rPr>
          <w:rFonts w:ascii="Arial" w:hAnsi="Arial" w:cs="Arial"/>
          <w:sz w:val="24"/>
          <w:szCs w:val="24"/>
        </w:rPr>
        <w:t xml:space="preserve">. Oznacza to, że </w:t>
      </w:r>
      <w:r w:rsidRPr="004B75FE">
        <w:rPr>
          <w:rFonts w:ascii="Arial" w:hAnsi="Arial" w:cs="Arial"/>
          <w:sz w:val="24"/>
          <w:szCs w:val="24"/>
        </w:rPr>
        <w:t>osoby nieznające KPO lub nieposiadające wyrobionej opinii przeważają nad tymi, które deklarują jego znajomość</w:t>
      </w:r>
      <w:r w:rsidR="00245561">
        <w:rPr>
          <w:rFonts w:ascii="Arial" w:hAnsi="Arial" w:cs="Arial"/>
          <w:sz w:val="24"/>
          <w:szCs w:val="24"/>
        </w:rPr>
        <w:t>. S</w:t>
      </w:r>
      <w:r w:rsidRPr="00446A9F">
        <w:rPr>
          <w:rFonts w:ascii="Arial" w:hAnsi="Arial" w:cs="Arial"/>
          <w:sz w:val="24"/>
          <w:szCs w:val="24"/>
        </w:rPr>
        <w:t xml:space="preserve">tanowi </w:t>
      </w:r>
      <w:r w:rsidR="00245561">
        <w:rPr>
          <w:rFonts w:ascii="Arial" w:hAnsi="Arial" w:cs="Arial"/>
          <w:sz w:val="24"/>
          <w:szCs w:val="24"/>
        </w:rPr>
        <w:t xml:space="preserve">to </w:t>
      </w:r>
      <w:r w:rsidRPr="00446A9F">
        <w:rPr>
          <w:rFonts w:ascii="Arial" w:hAnsi="Arial" w:cs="Arial"/>
          <w:sz w:val="24"/>
          <w:szCs w:val="24"/>
        </w:rPr>
        <w:t>punkt wyjścia do dalszej analizy zróżnicowań w poszczególnych grupach społeczno-demograficznych.</w:t>
      </w:r>
    </w:p>
    <w:p w14:paraId="627A23AA" w14:textId="5846A967" w:rsidR="0082000C" w:rsidRPr="0082000C" w:rsidRDefault="0082000C" w:rsidP="000B46BF">
      <w:pPr>
        <w:spacing w:line="360" w:lineRule="auto"/>
        <w:rPr>
          <w:rFonts w:ascii="Arial" w:hAnsi="Arial" w:cs="Arial"/>
          <w:sz w:val="24"/>
          <w:szCs w:val="24"/>
        </w:rPr>
      </w:pPr>
      <w:r w:rsidRPr="0082000C">
        <w:rPr>
          <w:rFonts w:ascii="Arial" w:hAnsi="Arial" w:cs="Arial"/>
          <w:sz w:val="24"/>
          <w:szCs w:val="24"/>
        </w:rPr>
        <w:t xml:space="preserve">W podziale na płeć poziom deklarowanej znajomości Krajowego Planu Odbudowy jest bardzo zbliżony. Znajomość KPO deklaruje </w:t>
      </w:r>
      <w:r w:rsidRPr="004B75FE">
        <w:rPr>
          <w:rFonts w:ascii="Arial" w:hAnsi="Arial" w:cs="Arial"/>
          <w:sz w:val="24"/>
          <w:szCs w:val="24"/>
        </w:rPr>
        <w:t>41% kobiet oraz 43% mężczyzn</w:t>
      </w:r>
      <w:r w:rsidRPr="0082000C">
        <w:rPr>
          <w:rFonts w:ascii="Arial" w:hAnsi="Arial" w:cs="Arial"/>
          <w:sz w:val="24"/>
          <w:szCs w:val="24"/>
        </w:rPr>
        <w:t xml:space="preserve">. Wśród kobiet wyraźnie częściej pojawia się odpowiedź „nie” (45%), co oznacza przewagę braku znajomości programu w tej grupie. </w:t>
      </w:r>
      <w:r w:rsidRPr="004B75FE">
        <w:rPr>
          <w:rFonts w:ascii="Arial" w:hAnsi="Arial" w:cs="Arial"/>
          <w:sz w:val="24"/>
          <w:szCs w:val="24"/>
        </w:rPr>
        <w:t>Wśród mężczyzn odsetki odpowiedzi „tak” i „nie” są identyczne (po 43%)</w:t>
      </w:r>
      <w:r w:rsidRPr="0082000C">
        <w:rPr>
          <w:rFonts w:ascii="Arial" w:hAnsi="Arial" w:cs="Arial"/>
          <w:sz w:val="24"/>
          <w:szCs w:val="24"/>
        </w:rPr>
        <w:t>, co wskazuje na brak dominującej postawy. Różnice między kobietami a mężczyznami są niewielkie i nie świadczą o istotnym zróżnicowaniu znajomości KPO ze względu na płeć.</w:t>
      </w:r>
    </w:p>
    <w:p w14:paraId="6195B925" w14:textId="396D0066" w:rsidR="00004116" w:rsidRPr="00672A70" w:rsidRDefault="00004116" w:rsidP="000B46BF">
      <w:pPr>
        <w:spacing w:line="360" w:lineRule="auto"/>
        <w:rPr>
          <w:rFonts w:ascii="Arial" w:hAnsi="Arial" w:cs="Arial"/>
          <w:sz w:val="24"/>
          <w:szCs w:val="24"/>
        </w:rPr>
      </w:pPr>
      <w:r w:rsidRPr="00672A70">
        <w:rPr>
          <w:rFonts w:ascii="Arial" w:hAnsi="Arial" w:cs="Arial"/>
          <w:sz w:val="24"/>
          <w:szCs w:val="24"/>
        </w:rPr>
        <w:t>W przekroju wiekowym pojawiają się już wyraźniejsze zróżnicowania. Najwyższy poziom deklarowanej znajomości KPO odnotowano w grupie 55–64 lata (5</w:t>
      </w:r>
      <w:r w:rsidR="00C24143">
        <w:rPr>
          <w:rFonts w:ascii="Arial" w:hAnsi="Arial" w:cs="Arial"/>
          <w:sz w:val="24"/>
          <w:szCs w:val="24"/>
        </w:rPr>
        <w:t>2</w:t>
      </w:r>
      <w:r w:rsidRPr="00672A70">
        <w:rPr>
          <w:rFonts w:ascii="Arial" w:hAnsi="Arial" w:cs="Arial"/>
          <w:sz w:val="24"/>
          <w:szCs w:val="24"/>
        </w:rPr>
        <w:t xml:space="preserve">%) oraz </w:t>
      </w:r>
      <w:r w:rsidRPr="00672A70">
        <w:rPr>
          <w:rFonts w:ascii="Arial" w:hAnsi="Arial" w:cs="Arial"/>
          <w:sz w:val="24"/>
          <w:szCs w:val="24"/>
        </w:rPr>
        <w:lastRenderedPageBreak/>
        <w:t>wśród osób powyżej 65. roku życia (45%). Najmniejszą świadomością wykazują się osoby młode, zwłaszcza w wieku 20–24 lata (36%) oraz 25–34 lata (33%). W grupie 20–24 lata najczęściej pojawia się również odpowiedź „nie” (</w:t>
      </w:r>
      <w:r w:rsidR="00245561">
        <w:rPr>
          <w:rFonts w:ascii="Arial" w:hAnsi="Arial" w:cs="Arial"/>
          <w:sz w:val="24"/>
          <w:szCs w:val="24"/>
        </w:rPr>
        <w:t>51</w:t>
      </w:r>
      <w:r w:rsidRPr="00672A70">
        <w:rPr>
          <w:rFonts w:ascii="Arial" w:hAnsi="Arial" w:cs="Arial"/>
          <w:sz w:val="24"/>
          <w:szCs w:val="24"/>
        </w:rPr>
        <w:t xml:space="preserve"> %), co sygnalizuje niski poziom kontaktu z tematyką KPO wśród młodych dorosłych.</w:t>
      </w:r>
    </w:p>
    <w:p w14:paraId="47ECB421" w14:textId="213CFF71" w:rsidR="00004116" w:rsidRDefault="00004116" w:rsidP="000B46BF">
      <w:pPr>
        <w:spacing w:line="360" w:lineRule="auto"/>
        <w:rPr>
          <w:rFonts w:ascii="Arial" w:hAnsi="Arial" w:cs="Arial"/>
          <w:sz w:val="24"/>
          <w:szCs w:val="24"/>
        </w:rPr>
      </w:pPr>
      <w:r w:rsidRPr="00672A70">
        <w:rPr>
          <w:rFonts w:ascii="Arial" w:hAnsi="Arial" w:cs="Arial"/>
          <w:sz w:val="24"/>
          <w:szCs w:val="24"/>
        </w:rPr>
        <w:t>Poziom wykształcenia nie różnicuje odpowiedzi w sposób jednoznaczny, choć widoczne są pewne tendencje. Osoby z wykształceniem wyższym deklarują znajomość KPO na poziomie 43%, natomiast osoby z wykształceniem podstawowym – na poziomie 3</w:t>
      </w:r>
      <w:r w:rsidR="00C24143">
        <w:rPr>
          <w:rFonts w:ascii="Arial" w:hAnsi="Arial" w:cs="Arial"/>
          <w:sz w:val="24"/>
          <w:szCs w:val="24"/>
        </w:rPr>
        <w:t>6</w:t>
      </w:r>
      <w:r w:rsidRPr="00672A70">
        <w:rPr>
          <w:rFonts w:ascii="Arial" w:hAnsi="Arial" w:cs="Arial"/>
          <w:sz w:val="24"/>
          <w:szCs w:val="24"/>
        </w:rPr>
        <w:t>%. Wraz ze spadkiem poziomu wykształcenia częściej pojawia się odpowiedź „nie wiem, trudno powiedzieć”, szczególnie w grupie wykształcenia podstawowego (1</w:t>
      </w:r>
      <w:r w:rsidR="00C24143">
        <w:rPr>
          <w:rFonts w:ascii="Arial" w:hAnsi="Arial" w:cs="Arial"/>
          <w:sz w:val="24"/>
          <w:szCs w:val="24"/>
        </w:rPr>
        <w:t>9</w:t>
      </w:r>
      <w:r w:rsidRPr="00672A70">
        <w:rPr>
          <w:rFonts w:ascii="Arial" w:hAnsi="Arial" w:cs="Arial"/>
          <w:sz w:val="24"/>
          <w:szCs w:val="24"/>
        </w:rPr>
        <w:t>%).</w:t>
      </w:r>
    </w:p>
    <w:p w14:paraId="4FB9E237" w14:textId="285DA831" w:rsidR="00942730" w:rsidRPr="00672A70" w:rsidRDefault="00942730" w:rsidP="000B46BF">
      <w:pPr>
        <w:spacing w:line="360" w:lineRule="auto"/>
        <w:rPr>
          <w:rFonts w:ascii="Arial" w:hAnsi="Arial" w:cs="Arial"/>
          <w:sz w:val="24"/>
          <w:szCs w:val="24"/>
        </w:rPr>
      </w:pPr>
      <w:r w:rsidRPr="00942730">
        <w:rPr>
          <w:rFonts w:ascii="Arial" w:hAnsi="Arial" w:cs="Arial"/>
          <w:sz w:val="24"/>
          <w:szCs w:val="24"/>
        </w:rPr>
        <w:t>Wielkość miejscowości zamieszkania wyraźnie różnicuje poziom znajomości Krajowego Planu Odbudowy. Najwyższy odsetek respondentów deklarujących, że słyszeli o KPO, odnotowano w największych miastach liczących ponad 500 tys. mieszkańców (54%). Najniższy poziom deklaracji „tak” występuje natomiast w miastach średniej wielkości, od 20 do 49 tys. mieszkańców, gdzie znajomość programu potwierdziło 33% badanych. Jednocześnie w tej kategorii miejscowości odnotowano najwyższy udział odpowiedzi „nie wiem / trudno powiedzieć” (23%), co wskazuje na większą niepewność lub brak wyraźnego kontaktu z informacjami o KPO w tej grupie.</w:t>
      </w:r>
    </w:p>
    <w:p w14:paraId="1D1D8BB0" w14:textId="77777777" w:rsidR="00004116" w:rsidRPr="00672A70" w:rsidRDefault="00004116" w:rsidP="000B46BF">
      <w:pPr>
        <w:spacing w:line="360" w:lineRule="auto"/>
        <w:rPr>
          <w:rFonts w:ascii="Arial" w:hAnsi="Arial" w:cs="Arial"/>
          <w:sz w:val="24"/>
          <w:szCs w:val="24"/>
        </w:rPr>
      </w:pPr>
      <w:r w:rsidRPr="00672A70">
        <w:rPr>
          <w:rFonts w:ascii="Arial" w:hAnsi="Arial" w:cs="Arial"/>
          <w:sz w:val="24"/>
          <w:szCs w:val="24"/>
        </w:rPr>
        <w:t>Uwzględnienie danych ogółem pokazuje, że znajomość Krajowego Planu Odbudowy jest stosunkowo wyrównana między grupami, choć osoby starsze oraz mieszkańcy największych miast wykazują wyższy poziom świadomości niż osoby młode i mieszkańcy mniejszych miejscowości.</w:t>
      </w:r>
    </w:p>
    <w:p w14:paraId="634F842E" w14:textId="02F24624" w:rsidR="00004116" w:rsidRPr="0028226B" w:rsidRDefault="00004116" w:rsidP="00004116">
      <w:pPr>
        <w:pStyle w:val="Legenda"/>
        <w:keepNext/>
        <w:rPr>
          <w:rFonts w:ascii="Arial" w:hAnsi="Arial" w:cs="Arial"/>
          <w:b/>
          <w:bCs/>
          <w:i w:val="0"/>
          <w:iCs w:val="0"/>
          <w:color w:val="auto"/>
          <w:sz w:val="24"/>
          <w:szCs w:val="24"/>
        </w:rPr>
      </w:pPr>
      <w:bookmarkStart w:id="88" w:name="_Toc219369294"/>
      <w:r w:rsidRPr="0028226B">
        <w:rPr>
          <w:rFonts w:ascii="Arial" w:hAnsi="Arial" w:cs="Arial"/>
          <w:b/>
          <w:bCs/>
          <w:i w:val="0"/>
          <w:iCs w:val="0"/>
          <w:color w:val="auto"/>
          <w:sz w:val="24"/>
          <w:szCs w:val="24"/>
        </w:rPr>
        <w:lastRenderedPageBreak/>
        <w:t xml:space="preserve">Wykres </w:t>
      </w:r>
      <w:r w:rsidRPr="0028226B">
        <w:rPr>
          <w:rFonts w:ascii="Arial" w:hAnsi="Arial" w:cs="Arial"/>
          <w:b/>
          <w:bCs/>
          <w:i w:val="0"/>
          <w:iCs w:val="0"/>
          <w:color w:val="auto"/>
          <w:sz w:val="24"/>
          <w:szCs w:val="24"/>
        </w:rPr>
        <w:fldChar w:fldCharType="begin"/>
      </w:r>
      <w:r w:rsidRPr="0028226B">
        <w:rPr>
          <w:rFonts w:ascii="Arial" w:hAnsi="Arial" w:cs="Arial"/>
          <w:b/>
          <w:bCs/>
          <w:i w:val="0"/>
          <w:iCs w:val="0"/>
          <w:color w:val="auto"/>
          <w:sz w:val="24"/>
          <w:szCs w:val="24"/>
        </w:rPr>
        <w:instrText xml:space="preserve"> SEQ Wykres \* ARABIC </w:instrText>
      </w:r>
      <w:r w:rsidRPr="0028226B">
        <w:rPr>
          <w:rFonts w:ascii="Arial" w:hAnsi="Arial" w:cs="Arial"/>
          <w:b/>
          <w:bCs/>
          <w:i w:val="0"/>
          <w:iCs w:val="0"/>
          <w:color w:val="auto"/>
          <w:sz w:val="24"/>
          <w:szCs w:val="24"/>
        </w:rPr>
        <w:fldChar w:fldCharType="separate"/>
      </w:r>
      <w:r w:rsidR="0055789E">
        <w:rPr>
          <w:rFonts w:ascii="Arial" w:hAnsi="Arial" w:cs="Arial"/>
          <w:b/>
          <w:bCs/>
          <w:i w:val="0"/>
          <w:iCs w:val="0"/>
          <w:noProof/>
          <w:color w:val="auto"/>
          <w:sz w:val="24"/>
          <w:szCs w:val="24"/>
        </w:rPr>
        <w:t>68</w:t>
      </w:r>
      <w:r w:rsidRPr="0028226B">
        <w:rPr>
          <w:rFonts w:ascii="Arial" w:hAnsi="Arial" w:cs="Arial"/>
          <w:b/>
          <w:bCs/>
          <w:i w:val="0"/>
          <w:iCs w:val="0"/>
          <w:color w:val="auto"/>
          <w:sz w:val="24"/>
          <w:szCs w:val="24"/>
        </w:rPr>
        <w:fldChar w:fldCharType="end"/>
      </w:r>
      <w:r w:rsidRPr="0028226B">
        <w:rPr>
          <w:rFonts w:ascii="Arial" w:hAnsi="Arial" w:cs="Arial"/>
          <w:b/>
          <w:bCs/>
          <w:i w:val="0"/>
          <w:iCs w:val="0"/>
          <w:color w:val="auto"/>
          <w:sz w:val="24"/>
          <w:szCs w:val="24"/>
        </w:rPr>
        <w:t xml:space="preserve">. </w:t>
      </w:r>
      <w:r w:rsidR="008A75CB" w:rsidRPr="0028226B">
        <w:rPr>
          <w:rFonts w:ascii="Arial" w:hAnsi="Arial" w:cs="Arial"/>
          <w:b/>
          <w:bCs/>
          <w:i w:val="0"/>
          <w:iCs w:val="0"/>
          <w:color w:val="auto"/>
          <w:sz w:val="24"/>
          <w:szCs w:val="24"/>
        </w:rPr>
        <w:t xml:space="preserve">P53. Czy słyszał(a) Pan(i) o Krajowym Planie Odbudowy? - </w:t>
      </w:r>
      <w:r w:rsidRPr="0028226B">
        <w:rPr>
          <w:rFonts w:ascii="Arial" w:hAnsi="Arial" w:cs="Arial"/>
          <w:b/>
          <w:bCs/>
          <w:i w:val="0"/>
          <w:iCs w:val="0"/>
          <w:color w:val="auto"/>
          <w:sz w:val="24"/>
          <w:szCs w:val="24"/>
        </w:rPr>
        <w:t>według cech demograficznych</w:t>
      </w:r>
      <w:r w:rsidR="008A75CB" w:rsidRPr="0028226B">
        <w:rPr>
          <w:rFonts w:ascii="Arial" w:hAnsi="Arial" w:cs="Arial"/>
          <w:b/>
          <w:bCs/>
          <w:i w:val="0"/>
          <w:iCs w:val="0"/>
          <w:color w:val="auto"/>
          <w:sz w:val="24"/>
          <w:szCs w:val="24"/>
        </w:rPr>
        <w:t xml:space="preserve"> oraz ogółem (N=1000)</w:t>
      </w:r>
      <w:bookmarkEnd w:id="88"/>
    </w:p>
    <w:p w14:paraId="130582C3" w14:textId="77777777" w:rsidR="00004116" w:rsidRPr="0028226B" w:rsidRDefault="00004116" w:rsidP="00004116">
      <w:pPr>
        <w:rPr>
          <w:rFonts w:ascii="Arial" w:hAnsi="Arial" w:cs="Arial"/>
          <w:b/>
          <w:bCs/>
          <w:sz w:val="24"/>
          <w:szCs w:val="24"/>
        </w:rPr>
      </w:pPr>
      <w:r w:rsidRPr="0028226B">
        <w:rPr>
          <w:rFonts w:ascii="Arial" w:hAnsi="Arial" w:cs="Arial"/>
          <w:noProof/>
          <w:sz w:val="24"/>
          <w:szCs w:val="24"/>
        </w:rPr>
        <w:drawing>
          <wp:inline distT="0" distB="0" distL="0" distR="0" wp14:anchorId="33942179" wp14:editId="348BF853">
            <wp:extent cx="5486400" cy="5135880"/>
            <wp:effectExtent l="0" t="0" r="0" b="0"/>
            <wp:docPr id="788452083" name="Wykres 5" descr="Wykres słupkowy przedstawia odpowiedzi na pytanie „Czy słyszał(a) Pan(i) o Krajowym Planie Odbudowy?” według cech demograficznych oraz ogółem (N=1000). Pokazane są trzy kategorie odpowiedzi: „tak”, „nie” oraz „nie wiem / trudno powiedzieć”.&#10;&#10;Wynik ogółem: 42% „tak”, 44% „nie”, 14% „nie wiem”.&#10;&#10;W podziale na płeć: kobiety – 41% „tak”, 45% „nie”, 14% „nie wiem”; mężczyźni – 43% „tak”, 43% „nie”, 14% „nie wiem”.&#10;&#10;Wiek: 15–19 lat – 42% „tak”; 20–24 lata – 36% „tak”; 25–34 lata – 33% „tak”; 35–44 lata – 44% „tak”; 45–54 lata – 38% „tak”; 55–64 lata – 52% „tak”; 65+ – 45% „tak”. Najwyższą wartość „nie” odnotowano w grupie 25–34 lata (20%).&#10;&#10;Wykształcenie: wyższe – 43% „tak”; średnie – 42% „tak”; zawodowe – 44% „tak”; podstawowe – 36% „tak”.&#10;&#10;Wielkość miejscowości: wieś – 42% „tak”; miasta do 20 tys. – 42% „tak”; 20–49 tys. – 33% „tak” (23% „nie”); 50–199 tys. – 41% „tak”; 200–499 tys. – 42% „tak”; powyżej 500 tys. – 54% „tak”.&#10;&#10;U dołu znajduje się legenda: „tak”, „nie”, „nie wiem / trudno powiedzieć”."/>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14:paraId="557639CC" w14:textId="1EA0C38A" w:rsidR="00004116" w:rsidRDefault="00004116" w:rsidP="00004116">
      <w:pPr>
        <w:rPr>
          <w:rFonts w:ascii="Arial" w:hAnsi="Arial" w:cs="Arial"/>
          <w:sz w:val="24"/>
          <w:szCs w:val="24"/>
        </w:rPr>
      </w:pPr>
      <w:r w:rsidRPr="00672A70">
        <w:rPr>
          <w:rFonts w:ascii="Arial" w:hAnsi="Arial" w:cs="Arial"/>
          <w:sz w:val="24"/>
          <w:szCs w:val="24"/>
        </w:rPr>
        <w:t>Źródło: Opracowano na podstawie badania CAPI</w:t>
      </w:r>
      <w:r w:rsidR="0083569E">
        <w:rPr>
          <w:rFonts w:ascii="Arial" w:hAnsi="Arial" w:cs="Arial"/>
          <w:sz w:val="24"/>
          <w:szCs w:val="24"/>
        </w:rPr>
        <w:t>; odpowiadający: wszyscy</w:t>
      </w:r>
    </w:p>
    <w:p w14:paraId="0C425EDB" w14:textId="52EA0C5F" w:rsidR="00942730" w:rsidRPr="00672A70" w:rsidRDefault="00942730" w:rsidP="00AA4EBE">
      <w:pPr>
        <w:spacing w:line="360" w:lineRule="auto"/>
        <w:rPr>
          <w:rFonts w:ascii="Arial" w:hAnsi="Arial" w:cs="Arial"/>
          <w:sz w:val="24"/>
          <w:szCs w:val="24"/>
        </w:rPr>
      </w:pPr>
      <w:r w:rsidRPr="00942730">
        <w:rPr>
          <w:rFonts w:ascii="Arial" w:hAnsi="Arial" w:cs="Arial"/>
          <w:sz w:val="24"/>
          <w:szCs w:val="24"/>
        </w:rPr>
        <w:t xml:space="preserve">Najczęściej Krajowy Plan Odbudowy kojarzony jest z wyjściem z kryzysu po pandemii i odbudową kraju – to skojarzenie o charakterze ogólnym, systemowym i makroekonomicznym, dominujące w odpowiedziach respondentów (69%). Pozostałe skojarzenia mają już wyraźnie bardziej sektorowy i konkretny charakter. Odniesienia do inwestycji infrastrukturalnych, takich jak drogi, szkoły, remonty i modernizacje, wskazało 6% badanych, natomiast skojarzenia związane z ogólnym rozwojem kraju, poprawą jakości życia i wzmacnianiem gospodarki pojawiły się w 5% odpowiedzi. W dalszej kolejności respondenci łączyli KPO ze wsparciem finansowym i środkami z Unii Europejskiej (4%) oraz bezpośrednio z Unią Europejską lub Funduszami Europejskimi (3%). Odniesienia do usług publicznych, takich jak edukacja, ochrona zdrowia czy działania samorządowe, wskazało 2% badanych. Sporadycznie </w:t>
      </w:r>
      <w:r w:rsidRPr="00942730">
        <w:rPr>
          <w:rFonts w:ascii="Arial" w:hAnsi="Arial" w:cs="Arial"/>
          <w:sz w:val="24"/>
          <w:szCs w:val="24"/>
        </w:rPr>
        <w:lastRenderedPageBreak/>
        <w:t>pojawiały się skojarzenia dotyczące wsparcia przedsiębiorców (1%), cyfryzacji i technologii (1%) oraz kontekstu politycznego (poniżej 1%). Niewielka część odpowiedzi miała charakter ogólny lub trudny do jednoznacznej klasyfikacji (2%), natomiast 7% respondentów zadeklarowało brak wiedzy lub trudność w określeniu, czym jest Krajowy Plan Odbudowy.</w:t>
      </w:r>
    </w:p>
    <w:p w14:paraId="360036FD" w14:textId="31E2F869" w:rsidR="007C5013" w:rsidRPr="0028226B" w:rsidRDefault="007C5013" w:rsidP="007C5013">
      <w:pPr>
        <w:pStyle w:val="Legenda"/>
        <w:keepNext/>
        <w:rPr>
          <w:rFonts w:ascii="Arial" w:hAnsi="Arial" w:cs="Arial"/>
          <w:b/>
          <w:bCs/>
          <w:i w:val="0"/>
          <w:iCs w:val="0"/>
          <w:color w:val="auto"/>
          <w:sz w:val="24"/>
          <w:szCs w:val="24"/>
        </w:rPr>
      </w:pPr>
      <w:bookmarkStart w:id="89" w:name="_Toc219369295"/>
      <w:r w:rsidRPr="0028226B">
        <w:rPr>
          <w:rFonts w:ascii="Arial" w:hAnsi="Arial" w:cs="Arial"/>
          <w:b/>
          <w:bCs/>
          <w:i w:val="0"/>
          <w:iCs w:val="0"/>
          <w:color w:val="auto"/>
          <w:sz w:val="24"/>
          <w:szCs w:val="24"/>
        </w:rPr>
        <w:t xml:space="preserve">Wykres </w:t>
      </w:r>
      <w:r w:rsidRPr="0028226B">
        <w:rPr>
          <w:rFonts w:ascii="Arial" w:hAnsi="Arial" w:cs="Arial"/>
          <w:b/>
          <w:bCs/>
          <w:i w:val="0"/>
          <w:iCs w:val="0"/>
          <w:color w:val="auto"/>
          <w:sz w:val="24"/>
          <w:szCs w:val="24"/>
        </w:rPr>
        <w:fldChar w:fldCharType="begin"/>
      </w:r>
      <w:r w:rsidRPr="0028226B">
        <w:rPr>
          <w:rFonts w:ascii="Arial" w:hAnsi="Arial" w:cs="Arial"/>
          <w:b/>
          <w:bCs/>
          <w:i w:val="0"/>
          <w:iCs w:val="0"/>
          <w:color w:val="auto"/>
          <w:sz w:val="24"/>
          <w:szCs w:val="24"/>
        </w:rPr>
        <w:instrText xml:space="preserve"> SEQ Wykres \* ARABIC </w:instrText>
      </w:r>
      <w:r w:rsidRPr="0028226B">
        <w:rPr>
          <w:rFonts w:ascii="Arial" w:hAnsi="Arial" w:cs="Arial"/>
          <w:b/>
          <w:bCs/>
          <w:i w:val="0"/>
          <w:iCs w:val="0"/>
          <w:color w:val="auto"/>
          <w:sz w:val="24"/>
          <w:szCs w:val="24"/>
        </w:rPr>
        <w:fldChar w:fldCharType="separate"/>
      </w:r>
      <w:r w:rsidR="0055789E">
        <w:rPr>
          <w:rFonts w:ascii="Arial" w:hAnsi="Arial" w:cs="Arial"/>
          <w:b/>
          <w:bCs/>
          <w:i w:val="0"/>
          <w:iCs w:val="0"/>
          <w:noProof/>
          <w:color w:val="auto"/>
          <w:sz w:val="24"/>
          <w:szCs w:val="24"/>
        </w:rPr>
        <w:t>69</w:t>
      </w:r>
      <w:r w:rsidRPr="0028226B">
        <w:rPr>
          <w:rFonts w:ascii="Arial" w:hAnsi="Arial" w:cs="Arial"/>
          <w:b/>
          <w:bCs/>
          <w:i w:val="0"/>
          <w:iCs w:val="0"/>
          <w:color w:val="auto"/>
          <w:sz w:val="24"/>
          <w:szCs w:val="24"/>
        </w:rPr>
        <w:fldChar w:fldCharType="end"/>
      </w:r>
      <w:r w:rsidRPr="0028226B">
        <w:rPr>
          <w:rFonts w:ascii="Arial" w:hAnsi="Arial" w:cs="Arial"/>
          <w:b/>
          <w:bCs/>
          <w:i w:val="0"/>
          <w:iCs w:val="0"/>
          <w:color w:val="auto"/>
          <w:sz w:val="24"/>
          <w:szCs w:val="24"/>
        </w:rPr>
        <w:t xml:space="preserve">. </w:t>
      </w:r>
      <w:r w:rsidR="008A75CB" w:rsidRPr="0028226B">
        <w:rPr>
          <w:rFonts w:ascii="Arial" w:hAnsi="Arial" w:cs="Arial"/>
          <w:b/>
          <w:bCs/>
          <w:i w:val="0"/>
          <w:iCs w:val="0"/>
          <w:color w:val="auto"/>
          <w:sz w:val="24"/>
          <w:szCs w:val="24"/>
        </w:rPr>
        <w:t>P54. A z czym kojarzy się Panu/Pani Krajowy Plan Odbudowy?</w:t>
      </w:r>
      <w:r w:rsidR="008A75CB" w:rsidRPr="0028226B" w:rsidDel="008A75CB">
        <w:rPr>
          <w:rFonts w:ascii="Arial" w:hAnsi="Arial" w:cs="Arial"/>
          <w:b/>
          <w:bCs/>
          <w:i w:val="0"/>
          <w:iCs w:val="0"/>
          <w:color w:val="auto"/>
          <w:sz w:val="24"/>
          <w:szCs w:val="24"/>
        </w:rPr>
        <w:t xml:space="preserve"> </w:t>
      </w:r>
      <w:r w:rsidRPr="0028226B">
        <w:rPr>
          <w:rFonts w:ascii="Arial" w:hAnsi="Arial" w:cs="Arial"/>
          <w:b/>
          <w:bCs/>
          <w:i w:val="0"/>
          <w:iCs w:val="0"/>
          <w:color w:val="auto"/>
          <w:sz w:val="24"/>
          <w:szCs w:val="24"/>
        </w:rPr>
        <w:t>(N=520)</w:t>
      </w:r>
      <w:bookmarkEnd w:id="89"/>
    </w:p>
    <w:p w14:paraId="56CBBFEE" w14:textId="77777777" w:rsidR="007C5013" w:rsidRPr="0028226B" w:rsidRDefault="007C5013" w:rsidP="004B75FE">
      <w:pPr>
        <w:spacing w:after="0"/>
        <w:rPr>
          <w:rFonts w:ascii="Arial" w:hAnsi="Arial" w:cs="Arial"/>
          <w:sz w:val="24"/>
          <w:szCs w:val="24"/>
        </w:rPr>
      </w:pPr>
      <w:r w:rsidRPr="0028226B">
        <w:rPr>
          <w:rFonts w:ascii="Arial" w:hAnsi="Arial" w:cs="Arial"/>
          <w:noProof/>
          <w:sz w:val="24"/>
          <w:szCs w:val="24"/>
        </w:rPr>
        <w:drawing>
          <wp:inline distT="0" distB="0" distL="0" distR="0" wp14:anchorId="43B3967B" wp14:editId="3AED3C14">
            <wp:extent cx="5760720" cy="4619625"/>
            <wp:effectExtent l="0" t="0" r="0" b="0"/>
            <wp:docPr id="2133835492" name="Wykres 1" descr="Odpowiedzi dotyczące skojarzeń z Krajowym Planem Odbudowy są bardzo jednoznaczne – zdecydowana większość respondentów (69%) łączy KPO przede wszystkim z wychodzeniem z kryzysu po pandemii i odbudową kraju. Pozostałe skojarzenia pojawiają się znacznie rzadziej: 6% wskazuje na inwestycje i infrastrukturę, 5% na poprawę jakości życia i rozwój gospodarczy, a 4% na wsparcie finansowe lub środki z UE. Nieliczne osoby kojarzą KPO bezpośrednio z Funduszami Europejskimi (3%), wsparciem usług publicznych (2%), przedsiębiorców (1%) czy cyfryzacją (1%). Zaledwie 2% podało inne skojarzenia, a 7% zadeklarowało brak wiedzy lub trudność z udzieleniem odpowiedzi."/>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14:paraId="618EF0AA" w14:textId="77FE9B1C" w:rsidR="007C5013" w:rsidRDefault="007C5013" w:rsidP="007C5013">
      <w:pPr>
        <w:rPr>
          <w:rFonts w:ascii="Arial" w:hAnsi="Arial" w:cs="Arial"/>
          <w:sz w:val="24"/>
          <w:szCs w:val="24"/>
        </w:rPr>
      </w:pPr>
      <w:r w:rsidRPr="00672A70">
        <w:rPr>
          <w:rFonts w:ascii="Arial" w:hAnsi="Arial" w:cs="Arial"/>
          <w:sz w:val="24"/>
          <w:szCs w:val="24"/>
        </w:rPr>
        <w:t>Źródło: Opracowano na podstawie badania CAPI</w:t>
      </w:r>
      <w:r w:rsidR="0083569E">
        <w:rPr>
          <w:rFonts w:ascii="Arial" w:hAnsi="Arial" w:cs="Arial"/>
          <w:sz w:val="24"/>
          <w:szCs w:val="24"/>
        </w:rPr>
        <w:t>; odpowiadający: wszyscy, potrafiący wskazać odpowiedź</w:t>
      </w:r>
    </w:p>
    <w:p w14:paraId="5EC81FA5" w14:textId="77777777" w:rsidR="00A56EAB" w:rsidRDefault="00A56EAB" w:rsidP="007C5013">
      <w:pPr>
        <w:rPr>
          <w:rFonts w:ascii="Arial" w:hAnsi="Arial" w:cs="Arial"/>
          <w:sz w:val="24"/>
          <w:szCs w:val="24"/>
        </w:rPr>
      </w:pPr>
    </w:p>
    <w:p w14:paraId="5AE7F750" w14:textId="77777777" w:rsidR="00A56EAB" w:rsidRDefault="00A56EAB" w:rsidP="007C5013">
      <w:pPr>
        <w:rPr>
          <w:rFonts w:ascii="Arial" w:hAnsi="Arial" w:cs="Arial"/>
          <w:sz w:val="24"/>
          <w:szCs w:val="24"/>
        </w:rPr>
      </w:pPr>
    </w:p>
    <w:p w14:paraId="4AB7ACAA" w14:textId="77777777" w:rsidR="00A56EAB" w:rsidRDefault="00A56EAB" w:rsidP="007C5013">
      <w:pPr>
        <w:rPr>
          <w:rFonts w:ascii="Arial" w:hAnsi="Arial" w:cs="Arial"/>
          <w:sz w:val="24"/>
          <w:szCs w:val="24"/>
        </w:rPr>
      </w:pPr>
    </w:p>
    <w:p w14:paraId="33848F3B" w14:textId="77777777" w:rsidR="00A56EAB" w:rsidRPr="00672A70" w:rsidRDefault="00A56EAB" w:rsidP="007C5013">
      <w:pPr>
        <w:rPr>
          <w:rFonts w:ascii="Arial" w:hAnsi="Arial" w:cs="Arial"/>
          <w:sz w:val="24"/>
          <w:szCs w:val="24"/>
        </w:rPr>
      </w:pPr>
    </w:p>
    <w:p w14:paraId="75153A08" w14:textId="14B5E699" w:rsidR="0096116B" w:rsidRPr="0028226B" w:rsidRDefault="0096116B" w:rsidP="00C372D5">
      <w:pPr>
        <w:pStyle w:val="Nagwek1"/>
        <w:shd w:val="clear" w:color="auto" w:fill="061A3D"/>
        <w:rPr>
          <w:rFonts w:ascii="Arial" w:hAnsi="Arial" w:cs="Arial"/>
          <w:b/>
          <w:bCs/>
          <w:color w:val="FFFFFF" w:themeColor="background1"/>
          <w:sz w:val="24"/>
          <w:szCs w:val="24"/>
        </w:rPr>
      </w:pPr>
      <w:bookmarkStart w:id="90" w:name="_Toc219375249"/>
      <w:r w:rsidRPr="0028226B">
        <w:rPr>
          <w:rFonts w:ascii="Arial" w:hAnsi="Arial" w:cs="Arial"/>
          <w:b/>
          <w:bCs/>
          <w:color w:val="FFFFFF" w:themeColor="background1"/>
          <w:sz w:val="24"/>
          <w:szCs w:val="24"/>
        </w:rPr>
        <w:lastRenderedPageBreak/>
        <w:t>Podsumowanie</w:t>
      </w:r>
      <w:bookmarkEnd w:id="90"/>
    </w:p>
    <w:p w14:paraId="242C1722" w14:textId="77777777" w:rsidR="00C372D5" w:rsidRPr="00672A70" w:rsidRDefault="00C372D5" w:rsidP="000B46BF">
      <w:pPr>
        <w:spacing w:before="240" w:line="360" w:lineRule="auto"/>
        <w:rPr>
          <w:rFonts w:ascii="Arial" w:hAnsi="Arial" w:cs="Arial"/>
          <w:sz w:val="24"/>
          <w:szCs w:val="24"/>
        </w:rPr>
      </w:pPr>
      <w:r w:rsidRPr="00672A70">
        <w:rPr>
          <w:rFonts w:ascii="Arial" w:hAnsi="Arial" w:cs="Arial"/>
          <w:sz w:val="24"/>
          <w:szCs w:val="24"/>
        </w:rPr>
        <w:t>Badanie rozpoznawalności i wiedzy o Funduszach Europejskich w społeczeństwie polskim przeprowadzone w 2025 roku ukazuje dojrzały, stabilny i bardzo wysoki poziom świadomości tematyki unijnej wśród mieszkańców kraju. Jest to kontynuacja wieloletniego monitoringu, który pokazuje nie tylko trwałość rozpoznawalności Funduszy Europejskich, ale również kierunki zmian w postawach społecznych, wiedzy definicyjnej, rozumieniu obszarów finansowania oraz ocenie wpływu FE na życie mieszkańców.</w:t>
      </w:r>
    </w:p>
    <w:p w14:paraId="4A80282D" w14:textId="1F869EFF" w:rsidR="00C372D5" w:rsidRPr="00672A70" w:rsidRDefault="00C372D5" w:rsidP="000B46BF">
      <w:pPr>
        <w:spacing w:line="360" w:lineRule="auto"/>
        <w:rPr>
          <w:rFonts w:ascii="Arial" w:hAnsi="Arial" w:cs="Arial"/>
          <w:sz w:val="24"/>
          <w:szCs w:val="24"/>
        </w:rPr>
      </w:pPr>
      <w:r w:rsidRPr="00672A70">
        <w:rPr>
          <w:rFonts w:ascii="Arial" w:hAnsi="Arial" w:cs="Arial"/>
          <w:sz w:val="24"/>
          <w:szCs w:val="24"/>
        </w:rPr>
        <w:t>Najważniejszym wnioskiem płynącym z całego materiału badawczego jest to, że Fundusze Europejskie stały się elementem powszechnej wiedzy społecznej – obecnym w świadomości zdecydowanej większości Polaków oraz kojarzonym przede wszystkim z rozwojem, modernizacją, inwestycjami publicznymi i poprawą jakości życia. Jednocześnie widoczne są pewne luki informacyjne dotyczące szczegółowych narzędzi komunikacyjnych, takich jak Punkt</w:t>
      </w:r>
      <w:r w:rsidR="00C71A52">
        <w:rPr>
          <w:rFonts w:ascii="Arial" w:hAnsi="Arial" w:cs="Arial"/>
          <w:sz w:val="24"/>
          <w:szCs w:val="24"/>
        </w:rPr>
        <w:t>y</w:t>
      </w:r>
      <w:r w:rsidRPr="00672A70">
        <w:rPr>
          <w:rFonts w:ascii="Arial" w:hAnsi="Arial" w:cs="Arial"/>
          <w:sz w:val="24"/>
          <w:szCs w:val="24"/>
        </w:rPr>
        <w:t xml:space="preserve"> Informacyjn</w:t>
      </w:r>
      <w:r w:rsidR="00C71A52">
        <w:rPr>
          <w:rFonts w:ascii="Arial" w:hAnsi="Arial" w:cs="Arial"/>
          <w:sz w:val="24"/>
          <w:szCs w:val="24"/>
        </w:rPr>
        <w:t>e</w:t>
      </w:r>
      <w:r w:rsidRPr="00672A70">
        <w:rPr>
          <w:rFonts w:ascii="Arial" w:hAnsi="Arial" w:cs="Arial"/>
          <w:sz w:val="24"/>
          <w:szCs w:val="24"/>
        </w:rPr>
        <w:t xml:space="preserve"> FE czy Portal Funduszy Europejskich, co sygnalizuje potrzebę bardziej precyzyjnego dotarcia do obywateli.</w:t>
      </w:r>
    </w:p>
    <w:p w14:paraId="31922DDD" w14:textId="77777777" w:rsidR="00C372D5" w:rsidRPr="00D762DB" w:rsidRDefault="00C372D5" w:rsidP="000B46BF">
      <w:pPr>
        <w:spacing w:line="360" w:lineRule="auto"/>
        <w:rPr>
          <w:rFonts w:ascii="Arial" w:hAnsi="Arial" w:cs="Arial"/>
          <w:b/>
          <w:bCs/>
          <w:sz w:val="24"/>
          <w:szCs w:val="24"/>
        </w:rPr>
      </w:pPr>
      <w:r w:rsidRPr="00D762DB">
        <w:rPr>
          <w:rFonts w:ascii="Arial" w:hAnsi="Arial" w:cs="Arial"/>
          <w:b/>
          <w:bCs/>
          <w:sz w:val="24"/>
          <w:szCs w:val="24"/>
        </w:rPr>
        <w:t>1. Rozpoznawalność i wiedza o Funduszach Europejskich</w:t>
      </w:r>
    </w:p>
    <w:p w14:paraId="4FF63B78" w14:textId="0FD7AD91" w:rsidR="00C372D5" w:rsidRPr="00672A70" w:rsidRDefault="00C372D5" w:rsidP="000B46BF">
      <w:pPr>
        <w:spacing w:line="360" w:lineRule="auto"/>
        <w:rPr>
          <w:rFonts w:ascii="Arial" w:hAnsi="Arial" w:cs="Arial"/>
          <w:sz w:val="24"/>
          <w:szCs w:val="24"/>
        </w:rPr>
      </w:pPr>
      <w:r w:rsidRPr="00672A70">
        <w:rPr>
          <w:rFonts w:ascii="Arial" w:hAnsi="Arial" w:cs="Arial"/>
          <w:sz w:val="24"/>
          <w:szCs w:val="24"/>
        </w:rPr>
        <w:t>Zdecydowana większość respondentów spotkała się z pojęciami „Fundusze Europejskie” i „Fundusze Unijne”. W 2025 roku znajomość tych określeń osiągnęła rekordowy poziom 9</w:t>
      </w:r>
      <w:r w:rsidR="0006025E">
        <w:rPr>
          <w:rFonts w:ascii="Arial" w:hAnsi="Arial" w:cs="Arial"/>
          <w:sz w:val="24"/>
          <w:szCs w:val="24"/>
        </w:rPr>
        <w:t>6</w:t>
      </w:r>
      <w:r w:rsidRPr="00672A70">
        <w:rPr>
          <w:rFonts w:ascii="Arial" w:hAnsi="Arial" w:cs="Arial"/>
          <w:sz w:val="24"/>
          <w:szCs w:val="24"/>
        </w:rPr>
        <w:t xml:space="preserve">%, najwyższy w całym analizowanym okresie od </w:t>
      </w:r>
      <w:r w:rsidR="00577E54" w:rsidRPr="00672A70">
        <w:rPr>
          <w:rFonts w:ascii="Arial" w:hAnsi="Arial" w:cs="Arial"/>
          <w:sz w:val="24"/>
          <w:szCs w:val="24"/>
        </w:rPr>
        <w:t>20</w:t>
      </w:r>
      <w:r w:rsidR="00577E54">
        <w:rPr>
          <w:rFonts w:ascii="Arial" w:hAnsi="Arial" w:cs="Arial"/>
          <w:sz w:val="24"/>
          <w:szCs w:val="24"/>
        </w:rPr>
        <w:t>14</w:t>
      </w:r>
      <w:r w:rsidR="00577E54" w:rsidRPr="00672A70">
        <w:rPr>
          <w:rFonts w:ascii="Arial" w:hAnsi="Arial" w:cs="Arial"/>
          <w:sz w:val="24"/>
          <w:szCs w:val="24"/>
        </w:rPr>
        <w:t xml:space="preserve"> </w:t>
      </w:r>
      <w:r w:rsidRPr="00672A70">
        <w:rPr>
          <w:rFonts w:ascii="Arial" w:hAnsi="Arial" w:cs="Arial"/>
          <w:sz w:val="24"/>
          <w:szCs w:val="24"/>
        </w:rPr>
        <w:t>roku. Dane jednoznacznie wskazują, że FE są utrwalonym elementem społecznej świadomości, a ich obecność w debacie publicznej oraz przestrzeni lokalnej jest wyraźna i konsekwentnie rośnie.</w:t>
      </w:r>
    </w:p>
    <w:p w14:paraId="34544FAC" w14:textId="0F00A86C" w:rsidR="00C372D5" w:rsidRPr="00672A70" w:rsidRDefault="00C372D5" w:rsidP="000B46BF">
      <w:pPr>
        <w:spacing w:line="360" w:lineRule="auto"/>
        <w:rPr>
          <w:rFonts w:ascii="Arial" w:hAnsi="Arial" w:cs="Arial"/>
          <w:sz w:val="24"/>
          <w:szCs w:val="24"/>
        </w:rPr>
      </w:pPr>
      <w:r w:rsidRPr="00672A70">
        <w:rPr>
          <w:rFonts w:ascii="Arial" w:hAnsi="Arial" w:cs="Arial"/>
          <w:sz w:val="24"/>
          <w:szCs w:val="24"/>
        </w:rPr>
        <w:t>Wiedza definicyjna również pozostaje wysoka, choć w tej kategorii występują różnice demograficzne. Lepszą orientację mają osoby młodsze, mieszkańcy dużych miast oraz osoby z wyższym wykształceniem. Badani najczęściej definiują FE jako środki finansowe Unii Europejskiej służące rozwojowi kraju (3</w:t>
      </w:r>
      <w:r w:rsidR="0006025E">
        <w:rPr>
          <w:rFonts w:ascii="Arial" w:hAnsi="Arial" w:cs="Arial"/>
          <w:sz w:val="24"/>
          <w:szCs w:val="24"/>
        </w:rPr>
        <w:t>1</w:t>
      </w:r>
      <w:r w:rsidRPr="00672A70">
        <w:rPr>
          <w:rFonts w:ascii="Arial" w:hAnsi="Arial" w:cs="Arial"/>
          <w:sz w:val="24"/>
          <w:szCs w:val="24"/>
        </w:rPr>
        <w:t>% wskazań). Wyraźnie pojawiają się też skojarzenia sektorowe: rolnictwo, obszary społeczne, infrastruktura, budownictwo czy rozwój przedsiębiorczości. Dalej widać, że Polacy utożsamiają FE przede wszystkim z konkretnymi, namacalnymi inwestycjami i poprawą warunków życia, rzadziej zaś z bardziej abstrakcyjnymi funkcjami</w:t>
      </w:r>
      <w:r w:rsidR="00C34E6E">
        <w:rPr>
          <w:rFonts w:ascii="Arial" w:hAnsi="Arial" w:cs="Arial"/>
          <w:sz w:val="24"/>
          <w:szCs w:val="24"/>
        </w:rPr>
        <w:t>.</w:t>
      </w:r>
    </w:p>
    <w:p w14:paraId="21815499" w14:textId="77777777" w:rsidR="00C372D5" w:rsidRPr="00D762DB" w:rsidRDefault="00C372D5" w:rsidP="000B46BF">
      <w:pPr>
        <w:spacing w:line="360" w:lineRule="auto"/>
        <w:rPr>
          <w:rFonts w:ascii="Arial" w:hAnsi="Arial" w:cs="Arial"/>
          <w:b/>
          <w:bCs/>
          <w:sz w:val="24"/>
          <w:szCs w:val="24"/>
        </w:rPr>
      </w:pPr>
      <w:r w:rsidRPr="00D762DB">
        <w:rPr>
          <w:rFonts w:ascii="Arial" w:hAnsi="Arial" w:cs="Arial"/>
          <w:b/>
          <w:bCs/>
          <w:sz w:val="24"/>
          <w:szCs w:val="24"/>
        </w:rPr>
        <w:t>2. Postrzegane korzyści i straty związane z członkostwem w Unii Europejskiej</w:t>
      </w:r>
    </w:p>
    <w:p w14:paraId="7997469F" w14:textId="77777777" w:rsidR="00C372D5" w:rsidRPr="00672A70" w:rsidRDefault="00C372D5" w:rsidP="000B46BF">
      <w:pPr>
        <w:spacing w:line="360" w:lineRule="auto"/>
        <w:rPr>
          <w:rFonts w:ascii="Arial" w:hAnsi="Arial" w:cs="Arial"/>
          <w:sz w:val="24"/>
          <w:szCs w:val="24"/>
        </w:rPr>
      </w:pPr>
      <w:r w:rsidRPr="00672A70">
        <w:rPr>
          <w:rFonts w:ascii="Arial" w:hAnsi="Arial" w:cs="Arial"/>
          <w:sz w:val="24"/>
          <w:szCs w:val="24"/>
        </w:rPr>
        <w:lastRenderedPageBreak/>
        <w:t>Polacy generalnie pozytywnie postrzegają efekty integracji europejskiej. W świadomości społecznej FE są przede wszystkim narzędziem rozwoju, modernizacji i poprawy infrastruktury. Wśród spontanicznie wymienianych strat pojawiają się najczęściej wzrost cen, emigracja zarobkowa i dopasowanie prawa polskiego do unijnego, jednak ich natężenie jest relatywnie niskie i wyraźnie zależne od grup demograficznych. Co ważne – negatywne skutki nie dominują w percepcji badanych.</w:t>
      </w:r>
    </w:p>
    <w:p w14:paraId="3B7D482F" w14:textId="77777777" w:rsidR="00C372D5" w:rsidRPr="00D762DB" w:rsidRDefault="00C372D5" w:rsidP="000B46BF">
      <w:pPr>
        <w:spacing w:line="360" w:lineRule="auto"/>
        <w:rPr>
          <w:rFonts w:ascii="Arial" w:hAnsi="Arial" w:cs="Arial"/>
          <w:b/>
          <w:bCs/>
          <w:sz w:val="24"/>
          <w:szCs w:val="24"/>
        </w:rPr>
      </w:pPr>
      <w:r w:rsidRPr="00D762DB">
        <w:rPr>
          <w:rFonts w:ascii="Arial" w:hAnsi="Arial" w:cs="Arial"/>
          <w:b/>
          <w:bCs/>
          <w:sz w:val="24"/>
          <w:szCs w:val="24"/>
        </w:rPr>
        <w:t>3. Zainteresowanie tematyką Funduszy Europejskich</w:t>
      </w:r>
    </w:p>
    <w:p w14:paraId="504707D1" w14:textId="629B3327" w:rsidR="00C372D5" w:rsidRPr="00672A70" w:rsidRDefault="00C372D5" w:rsidP="000B46BF">
      <w:pPr>
        <w:spacing w:line="360" w:lineRule="auto"/>
        <w:rPr>
          <w:rFonts w:ascii="Arial" w:hAnsi="Arial" w:cs="Arial"/>
          <w:sz w:val="24"/>
          <w:szCs w:val="24"/>
        </w:rPr>
      </w:pPr>
      <w:r w:rsidRPr="00672A70">
        <w:rPr>
          <w:rFonts w:ascii="Arial" w:hAnsi="Arial" w:cs="Arial"/>
          <w:sz w:val="24"/>
          <w:szCs w:val="24"/>
        </w:rPr>
        <w:t xml:space="preserve">Zainteresowanie FE osiągnęło historycznie najwyższy poziom – </w:t>
      </w:r>
      <w:r w:rsidR="0006025E">
        <w:rPr>
          <w:rFonts w:ascii="Arial" w:hAnsi="Arial" w:cs="Arial"/>
          <w:sz w:val="24"/>
          <w:szCs w:val="24"/>
        </w:rPr>
        <w:t>80</w:t>
      </w:r>
      <w:r w:rsidRPr="00672A70">
        <w:rPr>
          <w:rFonts w:ascii="Arial" w:hAnsi="Arial" w:cs="Arial"/>
          <w:sz w:val="24"/>
          <w:szCs w:val="24"/>
        </w:rPr>
        <w:t>% respondentów deklaruje, że tematyka ta jest dla nich interesująca. Jest to wynik zdecydowanie wyższy niż w latach 2019–2022, kiedy zainteresowanie spadało do najniższych wartości w całym omawianym okresie (nawet 35–40%). Obecny wzrost można interpretować jako efekt wzmożonej debaty publicznej, aktywności projektowej oraz ogólnego przyspieszenia inwestycji.</w:t>
      </w:r>
    </w:p>
    <w:p w14:paraId="5003C779" w14:textId="77777777" w:rsidR="00C372D5" w:rsidRPr="00672A70" w:rsidRDefault="00C372D5" w:rsidP="000B46BF">
      <w:pPr>
        <w:spacing w:line="360" w:lineRule="auto"/>
        <w:rPr>
          <w:rFonts w:ascii="Arial" w:hAnsi="Arial" w:cs="Arial"/>
          <w:sz w:val="24"/>
          <w:szCs w:val="24"/>
        </w:rPr>
      </w:pPr>
      <w:r w:rsidRPr="00672A70">
        <w:rPr>
          <w:rFonts w:ascii="Arial" w:hAnsi="Arial" w:cs="Arial"/>
          <w:sz w:val="24"/>
          <w:szCs w:val="24"/>
        </w:rPr>
        <w:t>Zainteresowanie jest stosunkowo równomierne w różnych grupach społeczno-demograficznych. Odsetki nie spadają poniżej 70% w żadnej kategorii wieku, a płeć czy poziom wykształcenia nie różnicują wyniku w sposób istotny.</w:t>
      </w:r>
    </w:p>
    <w:p w14:paraId="3C085209" w14:textId="77777777" w:rsidR="00C372D5" w:rsidRPr="00D762DB" w:rsidRDefault="00C372D5" w:rsidP="000B46BF">
      <w:pPr>
        <w:spacing w:line="360" w:lineRule="auto"/>
        <w:rPr>
          <w:rFonts w:ascii="Arial" w:hAnsi="Arial" w:cs="Arial"/>
          <w:b/>
          <w:bCs/>
          <w:sz w:val="24"/>
          <w:szCs w:val="24"/>
        </w:rPr>
      </w:pPr>
      <w:r w:rsidRPr="00D762DB">
        <w:rPr>
          <w:rFonts w:ascii="Arial" w:hAnsi="Arial" w:cs="Arial"/>
          <w:b/>
          <w:bCs/>
          <w:sz w:val="24"/>
          <w:szCs w:val="24"/>
        </w:rPr>
        <w:t>4. Obszary finansowane z Funduszy Europejskich – wiedza i skojarzenia</w:t>
      </w:r>
    </w:p>
    <w:p w14:paraId="263FFE62" w14:textId="73B58E19" w:rsidR="00C372D5" w:rsidRPr="00672A70" w:rsidRDefault="00C372D5" w:rsidP="000B46BF">
      <w:pPr>
        <w:spacing w:line="360" w:lineRule="auto"/>
        <w:rPr>
          <w:rFonts w:ascii="Arial" w:hAnsi="Arial" w:cs="Arial"/>
          <w:sz w:val="24"/>
          <w:szCs w:val="24"/>
        </w:rPr>
      </w:pPr>
      <w:r w:rsidRPr="00672A70">
        <w:rPr>
          <w:rFonts w:ascii="Arial" w:hAnsi="Arial" w:cs="Arial"/>
          <w:sz w:val="24"/>
          <w:szCs w:val="24"/>
        </w:rPr>
        <w:t>Respondenci mają szerokie i trafne wyobrażenie dotyczące obszarów, które są finansowane ze środków UE. Aż 9</w:t>
      </w:r>
      <w:r w:rsidR="001B6E6D">
        <w:rPr>
          <w:rFonts w:ascii="Arial" w:hAnsi="Arial" w:cs="Arial"/>
          <w:sz w:val="24"/>
          <w:szCs w:val="24"/>
        </w:rPr>
        <w:t>0</w:t>
      </w:r>
      <w:r w:rsidRPr="00672A70">
        <w:rPr>
          <w:rFonts w:ascii="Arial" w:hAnsi="Arial" w:cs="Arial"/>
          <w:sz w:val="24"/>
          <w:szCs w:val="24"/>
        </w:rPr>
        <w:t>% wskazuje na transport (drogi, mosty, kolej) jako obszar najbardziej wspierany z FE. Równie wysokie wskaźniki dotyczą rolnictwa (84%), zielonych technologii (82%), transformacji energetycznej (80%) oraz ochrony środowiska (7</w:t>
      </w:r>
      <w:r w:rsidR="0006025E">
        <w:rPr>
          <w:rFonts w:ascii="Arial" w:hAnsi="Arial" w:cs="Arial"/>
          <w:sz w:val="24"/>
          <w:szCs w:val="24"/>
        </w:rPr>
        <w:t>8</w:t>
      </w:r>
      <w:r w:rsidRPr="00672A70">
        <w:rPr>
          <w:rFonts w:ascii="Arial" w:hAnsi="Arial" w:cs="Arial"/>
          <w:sz w:val="24"/>
          <w:szCs w:val="24"/>
        </w:rPr>
        <w:t>%). Widoczna jest też świadomość inwestycji w przedsiębiorczość, cyfryzację, ochronę zdrowia oraz rozwój usług publicznych.</w:t>
      </w:r>
    </w:p>
    <w:p w14:paraId="5280FC00" w14:textId="77777777" w:rsidR="00C372D5" w:rsidRPr="00D762DB" w:rsidRDefault="00C372D5" w:rsidP="000B46BF">
      <w:pPr>
        <w:spacing w:line="360" w:lineRule="auto"/>
        <w:rPr>
          <w:rFonts w:ascii="Arial" w:hAnsi="Arial" w:cs="Arial"/>
          <w:b/>
          <w:bCs/>
          <w:sz w:val="24"/>
          <w:szCs w:val="24"/>
        </w:rPr>
      </w:pPr>
      <w:r w:rsidRPr="00D762DB">
        <w:rPr>
          <w:rFonts w:ascii="Arial" w:hAnsi="Arial" w:cs="Arial"/>
          <w:b/>
          <w:bCs/>
          <w:sz w:val="24"/>
          <w:szCs w:val="24"/>
        </w:rPr>
        <w:t>5. Widoczność Funduszy Europejskich w otoczeniu i życiu codziennym</w:t>
      </w:r>
    </w:p>
    <w:p w14:paraId="39506099" w14:textId="3A3458A3" w:rsidR="00C372D5" w:rsidRPr="00672A70" w:rsidRDefault="00C372D5" w:rsidP="000B46BF">
      <w:pPr>
        <w:spacing w:line="360" w:lineRule="auto"/>
        <w:rPr>
          <w:rFonts w:ascii="Arial" w:hAnsi="Arial" w:cs="Arial"/>
          <w:sz w:val="24"/>
          <w:szCs w:val="24"/>
        </w:rPr>
      </w:pPr>
      <w:r w:rsidRPr="00672A70">
        <w:rPr>
          <w:rFonts w:ascii="Arial" w:hAnsi="Arial" w:cs="Arial"/>
          <w:sz w:val="24"/>
          <w:szCs w:val="24"/>
        </w:rPr>
        <w:t>Zdecydowana większość badanych dostrzega zmiany w najbliższym otoczeniu, które – ich zdaniem – są wynikiem projektów finansowanych z FE. Najczęściej</w:t>
      </w:r>
      <w:r w:rsidR="007264BC">
        <w:rPr>
          <w:rFonts w:ascii="Arial" w:hAnsi="Arial" w:cs="Arial"/>
          <w:sz w:val="24"/>
          <w:szCs w:val="24"/>
        </w:rPr>
        <w:t xml:space="preserve"> </w:t>
      </w:r>
      <w:r w:rsidRPr="00672A70">
        <w:rPr>
          <w:rFonts w:ascii="Arial" w:hAnsi="Arial" w:cs="Arial"/>
          <w:sz w:val="24"/>
          <w:szCs w:val="24"/>
        </w:rPr>
        <w:t>wskazywane obszary to:</w:t>
      </w:r>
    </w:p>
    <w:p w14:paraId="5B969177" w14:textId="588FDBC1" w:rsidR="00C372D5" w:rsidRPr="00672A70" w:rsidRDefault="00C372D5" w:rsidP="000B46BF">
      <w:pPr>
        <w:spacing w:line="360" w:lineRule="auto"/>
        <w:rPr>
          <w:rFonts w:ascii="Arial" w:hAnsi="Arial" w:cs="Arial"/>
          <w:sz w:val="24"/>
          <w:szCs w:val="24"/>
        </w:rPr>
      </w:pPr>
      <w:r w:rsidRPr="00672A70">
        <w:rPr>
          <w:rFonts w:ascii="Arial" w:hAnsi="Arial" w:cs="Arial"/>
          <w:sz w:val="24"/>
          <w:szCs w:val="24"/>
        </w:rPr>
        <w:t>• infrastruktura drogowa (2</w:t>
      </w:r>
      <w:r w:rsidR="0006025E">
        <w:rPr>
          <w:rFonts w:ascii="Arial" w:hAnsi="Arial" w:cs="Arial"/>
          <w:sz w:val="24"/>
          <w:szCs w:val="24"/>
        </w:rPr>
        <w:t>8</w:t>
      </w:r>
      <w:r w:rsidRPr="00672A70">
        <w:rPr>
          <w:rFonts w:ascii="Arial" w:hAnsi="Arial" w:cs="Arial"/>
          <w:sz w:val="24"/>
          <w:szCs w:val="24"/>
        </w:rPr>
        <w:t>%),</w:t>
      </w:r>
      <w:r w:rsidRPr="00672A70">
        <w:rPr>
          <w:rFonts w:ascii="Arial" w:hAnsi="Arial" w:cs="Arial"/>
          <w:sz w:val="24"/>
          <w:szCs w:val="24"/>
        </w:rPr>
        <w:br/>
        <w:t>• infrastruktura edukacyjna (13%),</w:t>
      </w:r>
      <w:r w:rsidRPr="00672A70">
        <w:rPr>
          <w:rFonts w:ascii="Arial" w:hAnsi="Arial" w:cs="Arial"/>
          <w:sz w:val="24"/>
          <w:szCs w:val="24"/>
        </w:rPr>
        <w:br/>
        <w:t>• inwestycje gospodarcze i rolnicze (11%),</w:t>
      </w:r>
      <w:r w:rsidRPr="00672A70">
        <w:rPr>
          <w:rFonts w:ascii="Arial" w:hAnsi="Arial" w:cs="Arial"/>
          <w:sz w:val="24"/>
          <w:szCs w:val="24"/>
        </w:rPr>
        <w:br/>
      </w:r>
      <w:r w:rsidRPr="00672A70">
        <w:rPr>
          <w:rFonts w:ascii="Arial" w:hAnsi="Arial" w:cs="Arial"/>
          <w:sz w:val="24"/>
          <w:szCs w:val="24"/>
        </w:rPr>
        <w:lastRenderedPageBreak/>
        <w:t>• poprawa funkcjonowania administracji (10%),</w:t>
      </w:r>
      <w:r w:rsidRPr="00672A70">
        <w:rPr>
          <w:rFonts w:ascii="Arial" w:hAnsi="Arial" w:cs="Arial"/>
          <w:sz w:val="24"/>
          <w:szCs w:val="24"/>
        </w:rPr>
        <w:br/>
        <w:t>• transport publiczny i kolej (8%).</w:t>
      </w:r>
    </w:p>
    <w:p w14:paraId="3A5771CD" w14:textId="21EE6870" w:rsidR="00C372D5" w:rsidRPr="00672A70" w:rsidRDefault="00C372D5" w:rsidP="000B46BF">
      <w:pPr>
        <w:spacing w:line="360" w:lineRule="auto"/>
        <w:rPr>
          <w:rFonts w:ascii="Arial" w:hAnsi="Arial" w:cs="Arial"/>
          <w:sz w:val="24"/>
          <w:szCs w:val="24"/>
        </w:rPr>
      </w:pPr>
      <w:r w:rsidRPr="00672A70">
        <w:rPr>
          <w:rFonts w:ascii="Arial" w:hAnsi="Arial" w:cs="Arial"/>
          <w:sz w:val="24"/>
          <w:szCs w:val="24"/>
        </w:rPr>
        <w:t>Tylko 1% badanych deklaruje brak dostrzegalnych zmian w przestrzeni lokalnej. Oznacza to, że efekty projektów unijnych są bardzo dobrze widoczne w codziennym życiu Polaków, co przekłada się na wysoką akceptację i poczucie korzyści ze środków UE.</w:t>
      </w:r>
    </w:p>
    <w:p w14:paraId="47B58AB5" w14:textId="77777777" w:rsidR="00C372D5" w:rsidRPr="00D762DB" w:rsidRDefault="00C372D5" w:rsidP="000B46BF">
      <w:pPr>
        <w:spacing w:line="360" w:lineRule="auto"/>
        <w:rPr>
          <w:rFonts w:ascii="Arial" w:hAnsi="Arial" w:cs="Arial"/>
          <w:b/>
          <w:bCs/>
          <w:sz w:val="24"/>
          <w:szCs w:val="24"/>
        </w:rPr>
      </w:pPr>
      <w:r w:rsidRPr="00D762DB">
        <w:rPr>
          <w:rFonts w:ascii="Arial" w:hAnsi="Arial" w:cs="Arial"/>
          <w:b/>
          <w:bCs/>
          <w:sz w:val="24"/>
          <w:szCs w:val="24"/>
        </w:rPr>
        <w:t>6. Ocena wykorzystania Funduszy Europejskich i ich wpływu na jakość życia</w:t>
      </w:r>
    </w:p>
    <w:p w14:paraId="1A97154D" w14:textId="77777777" w:rsidR="00C372D5" w:rsidRPr="00672A70" w:rsidRDefault="00C372D5" w:rsidP="000B46BF">
      <w:pPr>
        <w:spacing w:line="360" w:lineRule="auto"/>
        <w:rPr>
          <w:rFonts w:ascii="Arial" w:hAnsi="Arial" w:cs="Arial"/>
          <w:sz w:val="24"/>
          <w:szCs w:val="24"/>
        </w:rPr>
      </w:pPr>
      <w:r w:rsidRPr="00672A70">
        <w:rPr>
          <w:rFonts w:ascii="Arial" w:hAnsi="Arial" w:cs="Arial"/>
          <w:sz w:val="24"/>
          <w:szCs w:val="24"/>
        </w:rPr>
        <w:t>Ocena wykorzystania FE pozostaje stabilnie wysoka. Od 2016 roku odsetek odpowiedzi pozytywnych („zdecydowanie tak” i „raczej tak”) oscyluje w granicach 55–66%. Najwyższą ocenę uzyskano w 2025 roku – 66%. Jednocześnie negatywne odpowiedzi są rzadkie i niemal nigdy nie przekraczają 10%.</w:t>
      </w:r>
    </w:p>
    <w:p w14:paraId="3118F2C1" w14:textId="522944B0" w:rsidR="00C372D5" w:rsidRPr="00672A70" w:rsidRDefault="00C372D5" w:rsidP="000B46BF">
      <w:pPr>
        <w:spacing w:line="360" w:lineRule="auto"/>
        <w:rPr>
          <w:rFonts w:ascii="Arial" w:hAnsi="Arial" w:cs="Arial"/>
          <w:sz w:val="24"/>
          <w:szCs w:val="24"/>
        </w:rPr>
      </w:pPr>
      <w:r w:rsidRPr="00672A70">
        <w:rPr>
          <w:rFonts w:ascii="Arial" w:hAnsi="Arial" w:cs="Arial"/>
          <w:sz w:val="24"/>
          <w:szCs w:val="24"/>
        </w:rPr>
        <w:t>Jeszcze wyraźniej pozytywny jest obraz wpływu FE na jakość życia mieszkańców Polski. Od kilkunastu lat wartości wskazań pozytywnych utrzymują się na bardzo wysokim poziomie 78–87%, a w 2025 roku osiągnęły rekordowy wynik 9</w:t>
      </w:r>
      <w:r w:rsidR="0006025E">
        <w:rPr>
          <w:rFonts w:ascii="Arial" w:hAnsi="Arial" w:cs="Arial"/>
          <w:sz w:val="24"/>
          <w:szCs w:val="24"/>
        </w:rPr>
        <w:t>1</w:t>
      </w:r>
      <w:r w:rsidRPr="00672A70">
        <w:rPr>
          <w:rFonts w:ascii="Arial" w:hAnsi="Arial" w:cs="Arial"/>
          <w:sz w:val="24"/>
          <w:szCs w:val="24"/>
        </w:rPr>
        <w:t>%. Dane te jednoznacznie potwierdzają, że Polacy uznają Fundusze Europejskie za kluczowy czynnik poprawiający standard życia.</w:t>
      </w:r>
    </w:p>
    <w:p w14:paraId="2525B067" w14:textId="77777777" w:rsidR="00C372D5" w:rsidRPr="00D762DB" w:rsidRDefault="00C372D5" w:rsidP="000B46BF">
      <w:pPr>
        <w:spacing w:line="360" w:lineRule="auto"/>
        <w:rPr>
          <w:rFonts w:ascii="Arial" w:hAnsi="Arial" w:cs="Arial"/>
          <w:b/>
          <w:bCs/>
          <w:sz w:val="24"/>
          <w:szCs w:val="24"/>
        </w:rPr>
      </w:pPr>
      <w:r w:rsidRPr="00D762DB">
        <w:rPr>
          <w:rFonts w:ascii="Arial" w:hAnsi="Arial" w:cs="Arial"/>
          <w:b/>
          <w:bCs/>
          <w:sz w:val="24"/>
          <w:szCs w:val="24"/>
        </w:rPr>
        <w:t>7. Kto korzysta z Funduszy Europejskich – percepcja społeczna</w:t>
      </w:r>
    </w:p>
    <w:p w14:paraId="31ED348A" w14:textId="77777777" w:rsidR="00C372D5" w:rsidRPr="00672A70" w:rsidRDefault="00C372D5" w:rsidP="000B46BF">
      <w:pPr>
        <w:spacing w:line="360" w:lineRule="auto"/>
        <w:rPr>
          <w:rFonts w:ascii="Arial" w:hAnsi="Arial" w:cs="Arial"/>
          <w:sz w:val="24"/>
          <w:szCs w:val="24"/>
        </w:rPr>
      </w:pPr>
      <w:r w:rsidRPr="00672A70">
        <w:rPr>
          <w:rFonts w:ascii="Arial" w:hAnsi="Arial" w:cs="Arial"/>
          <w:sz w:val="24"/>
          <w:szCs w:val="24"/>
        </w:rPr>
        <w:t>Respondenci najczęściej wskazują, że z Funduszy Europejskich najbardziej korzystają:</w:t>
      </w:r>
    </w:p>
    <w:p w14:paraId="38F4EA6D" w14:textId="25B5152F" w:rsidR="00577E54" w:rsidRPr="004B75FE" w:rsidRDefault="00577E54" w:rsidP="00D762DB">
      <w:pPr>
        <w:pStyle w:val="Akapitzlist"/>
        <w:numPr>
          <w:ilvl w:val="0"/>
          <w:numId w:val="7"/>
        </w:numPr>
        <w:spacing w:line="360" w:lineRule="auto"/>
        <w:rPr>
          <w:rFonts w:ascii="Arial" w:hAnsi="Arial" w:cs="Arial"/>
          <w:sz w:val="24"/>
          <w:szCs w:val="24"/>
        </w:rPr>
      </w:pPr>
      <w:r w:rsidRPr="004B75FE">
        <w:rPr>
          <w:rFonts w:ascii="Arial" w:hAnsi="Arial" w:cs="Arial"/>
          <w:sz w:val="24"/>
          <w:szCs w:val="24"/>
        </w:rPr>
        <w:t>przedsiębiorcy,</w:t>
      </w:r>
    </w:p>
    <w:p w14:paraId="3900349A" w14:textId="77777777" w:rsidR="00577E54" w:rsidRDefault="3DE53D81" w:rsidP="00D762DB">
      <w:pPr>
        <w:pStyle w:val="Akapitzlist"/>
        <w:numPr>
          <w:ilvl w:val="0"/>
          <w:numId w:val="7"/>
        </w:numPr>
        <w:spacing w:line="360" w:lineRule="auto"/>
        <w:rPr>
          <w:rFonts w:ascii="Arial" w:hAnsi="Arial" w:cs="Arial"/>
          <w:sz w:val="24"/>
          <w:szCs w:val="24"/>
        </w:rPr>
      </w:pPr>
      <w:r w:rsidRPr="004B75FE">
        <w:rPr>
          <w:rFonts w:ascii="Arial" w:hAnsi="Arial" w:cs="Arial"/>
          <w:sz w:val="24"/>
          <w:szCs w:val="24"/>
        </w:rPr>
        <w:t>samorządy,</w:t>
      </w:r>
    </w:p>
    <w:p w14:paraId="54953E7A" w14:textId="77777777" w:rsidR="00577E54" w:rsidRDefault="3DE53D81" w:rsidP="00D762DB">
      <w:pPr>
        <w:pStyle w:val="Akapitzlist"/>
        <w:numPr>
          <w:ilvl w:val="0"/>
          <w:numId w:val="7"/>
        </w:numPr>
        <w:spacing w:line="360" w:lineRule="auto"/>
        <w:rPr>
          <w:rFonts w:ascii="Arial" w:hAnsi="Arial" w:cs="Arial"/>
          <w:sz w:val="24"/>
          <w:szCs w:val="24"/>
        </w:rPr>
      </w:pPr>
      <w:r w:rsidRPr="004B75FE">
        <w:rPr>
          <w:rFonts w:ascii="Arial" w:hAnsi="Arial" w:cs="Arial"/>
          <w:sz w:val="24"/>
          <w:szCs w:val="24"/>
        </w:rPr>
        <w:t>rolnicy</w:t>
      </w:r>
      <w:r w:rsidR="00577E54">
        <w:rPr>
          <w:rFonts w:ascii="Arial" w:hAnsi="Arial" w:cs="Arial"/>
          <w:sz w:val="24"/>
          <w:szCs w:val="24"/>
        </w:rPr>
        <w:t>,</w:t>
      </w:r>
    </w:p>
    <w:p w14:paraId="236922D1" w14:textId="77777777" w:rsidR="00577E54" w:rsidRDefault="3DE53D81" w:rsidP="00D762DB">
      <w:pPr>
        <w:pStyle w:val="Akapitzlist"/>
        <w:numPr>
          <w:ilvl w:val="0"/>
          <w:numId w:val="7"/>
        </w:numPr>
        <w:spacing w:line="360" w:lineRule="auto"/>
        <w:rPr>
          <w:rFonts w:ascii="Arial" w:hAnsi="Arial" w:cs="Arial"/>
          <w:sz w:val="24"/>
          <w:szCs w:val="24"/>
        </w:rPr>
      </w:pPr>
      <w:r w:rsidRPr="004B75FE">
        <w:rPr>
          <w:rFonts w:ascii="Arial" w:hAnsi="Arial" w:cs="Arial"/>
          <w:sz w:val="24"/>
          <w:szCs w:val="24"/>
        </w:rPr>
        <w:t>sektor publiczny</w:t>
      </w:r>
      <w:r w:rsidR="00577E54">
        <w:rPr>
          <w:rFonts w:ascii="Arial" w:hAnsi="Arial" w:cs="Arial"/>
          <w:sz w:val="24"/>
          <w:szCs w:val="24"/>
        </w:rPr>
        <w:t>,</w:t>
      </w:r>
    </w:p>
    <w:p w14:paraId="740552CB" w14:textId="12A6C891" w:rsidR="00C372D5" w:rsidRPr="004B75FE" w:rsidRDefault="3DE53D81" w:rsidP="00D762DB">
      <w:pPr>
        <w:pStyle w:val="Akapitzlist"/>
        <w:numPr>
          <w:ilvl w:val="0"/>
          <w:numId w:val="7"/>
        </w:numPr>
        <w:spacing w:line="360" w:lineRule="auto"/>
        <w:rPr>
          <w:rFonts w:ascii="Arial" w:hAnsi="Arial" w:cs="Arial"/>
          <w:sz w:val="24"/>
          <w:szCs w:val="24"/>
        </w:rPr>
      </w:pPr>
      <w:r w:rsidRPr="004B75FE">
        <w:rPr>
          <w:rFonts w:ascii="Arial" w:hAnsi="Arial" w:cs="Arial"/>
          <w:sz w:val="24"/>
          <w:szCs w:val="24"/>
        </w:rPr>
        <w:t>wszyscy mieszkańcy („społeczeństwo ogółem”).</w:t>
      </w:r>
    </w:p>
    <w:p w14:paraId="0B462C96" w14:textId="77777777" w:rsidR="00C372D5" w:rsidRPr="00672A70" w:rsidRDefault="00C372D5" w:rsidP="000B46BF">
      <w:pPr>
        <w:spacing w:line="360" w:lineRule="auto"/>
        <w:rPr>
          <w:rFonts w:ascii="Arial" w:hAnsi="Arial" w:cs="Arial"/>
          <w:sz w:val="24"/>
          <w:szCs w:val="24"/>
        </w:rPr>
      </w:pPr>
      <w:r w:rsidRPr="00672A70">
        <w:rPr>
          <w:rFonts w:ascii="Arial" w:hAnsi="Arial" w:cs="Arial"/>
          <w:sz w:val="24"/>
          <w:szCs w:val="24"/>
        </w:rPr>
        <w:t>Rzadziej wskazywane są grupy społeczne w trudniejszej sytuacji, takie jak seniorzy, osoby z niepełnosprawnościami czy bezrobotni, co sugeruje, że FE w świadomości społecznej łączone są przede wszystkim z działaniami inwestycyjnymi.</w:t>
      </w:r>
    </w:p>
    <w:p w14:paraId="1E292D44" w14:textId="77777777" w:rsidR="00C372D5" w:rsidRPr="00D762DB" w:rsidRDefault="00C372D5" w:rsidP="000B46BF">
      <w:pPr>
        <w:spacing w:line="360" w:lineRule="auto"/>
        <w:rPr>
          <w:rFonts w:ascii="Arial" w:hAnsi="Arial" w:cs="Arial"/>
          <w:b/>
          <w:bCs/>
          <w:sz w:val="24"/>
          <w:szCs w:val="24"/>
        </w:rPr>
      </w:pPr>
      <w:r w:rsidRPr="00D762DB">
        <w:rPr>
          <w:rFonts w:ascii="Arial" w:hAnsi="Arial" w:cs="Arial"/>
          <w:b/>
          <w:bCs/>
          <w:sz w:val="24"/>
          <w:szCs w:val="24"/>
        </w:rPr>
        <w:t>8. Zamiary ubiegania się o środki unijne</w:t>
      </w:r>
    </w:p>
    <w:p w14:paraId="2CBA5B14" w14:textId="77777777" w:rsidR="00C372D5" w:rsidRPr="00672A70" w:rsidRDefault="00C372D5" w:rsidP="000B46BF">
      <w:pPr>
        <w:spacing w:line="360" w:lineRule="auto"/>
        <w:rPr>
          <w:rFonts w:ascii="Arial" w:hAnsi="Arial" w:cs="Arial"/>
          <w:sz w:val="24"/>
          <w:szCs w:val="24"/>
        </w:rPr>
      </w:pPr>
      <w:r w:rsidRPr="00672A70">
        <w:rPr>
          <w:rFonts w:ascii="Arial" w:hAnsi="Arial" w:cs="Arial"/>
          <w:sz w:val="24"/>
          <w:szCs w:val="24"/>
        </w:rPr>
        <w:t>Badani deklarują różnorodne cele, dla których w przyszłości chcieliby ubiegać się o środki europejskie. Wyraźnie dominują dwa obszary:</w:t>
      </w:r>
    </w:p>
    <w:p w14:paraId="0444CBC9" w14:textId="77777777" w:rsidR="00C372D5" w:rsidRPr="00672A70" w:rsidRDefault="00C372D5" w:rsidP="000B46BF">
      <w:pPr>
        <w:spacing w:line="360" w:lineRule="auto"/>
        <w:rPr>
          <w:rFonts w:ascii="Arial" w:hAnsi="Arial" w:cs="Arial"/>
          <w:sz w:val="24"/>
          <w:szCs w:val="24"/>
        </w:rPr>
      </w:pPr>
      <w:r w:rsidRPr="00672A70">
        <w:rPr>
          <w:rFonts w:ascii="Arial" w:hAnsi="Arial" w:cs="Arial"/>
          <w:sz w:val="24"/>
          <w:szCs w:val="24"/>
        </w:rPr>
        <w:lastRenderedPageBreak/>
        <w:t>• rozwój zawodowy i gospodarczy – otwarcie firmy, rozwój przedsiębiorstwa, zakup sprzętu rolniczego, inwestycje technologiczne;</w:t>
      </w:r>
      <w:r w:rsidRPr="00672A70">
        <w:rPr>
          <w:rFonts w:ascii="Arial" w:hAnsi="Arial" w:cs="Arial"/>
          <w:sz w:val="24"/>
          <w:szCs w:val="24"/>
        </w:rPr>
        <w:br/>
        <w:t>• inwestycje w kapitał ludzki – kursy, szkolenia zawodowe, kursy komputerowe i językowe, podnoszenie kwalifikacji, edukacja dzieci.</w:t>
      </w:r>
    </w:p>
    <w:p w14:paraId="5E4A965D" w14:textId="77777777" w:rsidR="00C372D5" w:rsidRPr="00672A70" w:rsidRDefault="00C372D5" w:rsidP="000B46BF">
      <w:pPr>
        <w:spacing w:line="360" w:lineRule="auto"/>
        <w:rPr>
          <w:rFonts w:ascii="Arial" w:hAnsi="Arial" w:cs="Arial"/>
          <w:sz w:val="24"/>
          <w:szCs w:val="24"/>
        </w:rPr>
      </w:pPr>
      <w:r w:rsidRPr="00672A70">
        <w:rPr>
          <w:rFonts w:ascii="Arial" w:hAnsi="Arial" w:cs="Arial"/>
          <w:sz w:val="24"/>
          <w:szCs w:val="24"/>
        </w:rPr>
        <w:t>Kolejne kategorie to poprawa warunków mieszkaniowych, termomodernizacja, działania ekologiczne, rozwój infrastruktury lokalnej i usług publicznych.</w:t>
      </w:r>
    </w:p>
    <w:p w14:paraId="6E775E66" w14:textId="77777777" w:rsidR="00C372D5" w:rsidRPr="00D762DB" w:rsidRDefault="00C372D5" w:rsidP="000B46BF">
      <w:pPr>
        <w:spacing w:line="360" w:lineRule="auto"/>
        <w:rPr>
          <w:rFonts w:ascii="Arial" w:hAnsi="Arial" w:cs="Arial"/>
          <w:b/>
          <w:bCs/>
          <w:sz w:val="24"/>
          <w:szCs w:val="24"/>
        </w:rPr>
      </w:pPr>
      <w:r w:rsidRPr="00D762DB">
        <w:rPr>
          <w:rFonts w:ascii="Arial" w:hAnsi="Arial" w:cs="Arial"/>
          <w:b/>
          <w:bCs/>
          <w:sz w:val="24"/>
          <w:szCs w:val="24"/>
        </w:rPr>
        <w:t>9. Kanały informacyjne: Portal FE i Punkty Informacyjne FE</w:t>
      </w:r>
    </w:p>
    <w:p w14:paraId="746D6F7B" w14:textId="77777777" w:rsidR="00C372D5" w:rsidRPr="00672A70" w:rsidRDefault="00C372D5" w:rsidP="000B46BF">
      <w:pPr>
        <w:spacing w:line="360" w:lineRule="auto"/>
        <w:rPr>
          <w:rFonts w:ascii="Arial" w:hAnsi="Arial" w:cs="Arial"/>
          <w:sz w:val="24"/>
          <w:szCs w:val="24"/>
        </w:rPr>
      </w:pPr>
      <w:r w:rsidRPr="00672A70">
        <w:rPr>
          <w:rFonts w:ascii="Arial" w:hAnsi="Arial" w:cs="Arial"/>
          <w:sz w:val="24"/>
          <w:szCs w:val="24"/>
        </w:rPr>
        <w:t>Pomimo wysokiego poziomu rozpoznawalności FE, narzędzia informacyjne są znacznie słabiej znane:</w:t>
      </w:r>
    </w:p>
    <w:p w14:paraId="255AA86A" w14:textId="668A2C6D" w:rsidR="00C372D5" w:rsidRPr="00672A70" w:rsidRDefault="3DE53D81" w:rsidP="000B46BF">
      <w:pPr>
        <w:spacing w:line="360" w:lineRule="auto"/>
        <w:rPr>
          <w:rFonts w:ascii="Arial" w:hAnsi="Arial" w:cs="Arial"/>
          <w:sz w:val="24"/>
          <w:szCs w:val="24"/>
        </w:rPr>
      </w:pPr>
      <w:r w:rsidRPr="00672A70">
        <w:rPr>
          <w:rFonts w:ascii="Arial" w:hAnsi="Arial" w:cs="Arial"/>
          <w:sz w:val="24"/>
          <w:szCs w:val="24"/>
        </w:rPr>
        <w:t xml:space="preserve">• o Portalu </w:t>
      </w:r>
      <w:r w:rsidR="00F608EB">
        <w:rPr>
          <w:rFonts w:ascii="Arial" w:hAnsi="Arial" w:cs="Arial"/>
          <w:sz w:val="24"/>
          <w:szCs w:val="24"/>
        </w:rPr>
        <w:t xml:space="preserve">FE słyszało </w:t>
      </w:r>
      <w:r w:rsidR="000A3529">
        <w:rPr>
          <w:rFonts w:ascii="Arial" w:hAnsi="Arial" w:cs="Arial"/>
          <w:sz w:val="24"/>
          <w:szCs w:val="24"/>
        </w:rPr>
        <w:t>45</w:t>
      </w:r>
      <w:r w:rsidR="00F608EB">
        <w:rPr>
          <w:rFonts w:ascii="Arial" w:hAnsi="Arial" w:cs="Arial"/>
          <w:sz w:val="24"/>
          <w:szCs w:val="24"/>
        </w:rPr>
        <w:t>% badanych</w:t>
      </w:r>
      <w:r w:rsidR="00AD322C">
        <w:rPr>
          <w:rFonts w:ascii="Arial" w:hAnsi="Arial" w:cs="Arial"/>
          <w:sz w:val="24"/>
          <w:szCs w:val="24"/>
        </w:rPr>
        <w:t>;</w:t>
      </w:r>
      <w:r w:rsidR="00C372D5" w:rsidRPr="0028226B">
        <w:rPr>
          <w:rFonts w:ascii="Arial" w:hAnsi="Arial" w:cs="Arial"/>
          <w:sz w:val="24"/>
          <w:szCs w:val="24"/>
        </w:rPr>
        <w:br/>
      </w:r>
      <w:r w:rsidRPr="00672A70">
        <w:rPr>
          <w:rFonts w:ascii="Arial" w:hAnsi="Arial" w:cs="Arial"/>
          <w:sz w:val="24"/>
          <w:szCs w:val="24"/>
        </w:rPr>
        <w:t xml:space="preserve">• tylko </w:t>
      </w:r>
      <w:r w:rsidR="0006025E">
        <w:rPr>
          <w:rFonts w:ascii="Arial" w:hAnsi="Arial" w:cs="Arial"/>
          <w:sz w:val="24"/>
          <w:szCs w:val="24"/>
        </w:rPr>
        <w:t>4</w:t>
      </w:r>
      <w:r w:rsidRPr="00672A70">
        <w:rPr>
          <w:rFonts w:ascii="Arial" w:hAnsi="Arial" w:cs="Arial"/>
          <w:sz w:val="24"/>
          <w:szCs w:val="24"/>
        </w:rPr>
        <w:t>% korzystało osobiście z portalu;</w:t>
      </w:r>
      <w:r w:rsidR="00C372D5" w:rsidRPr="0028226B">
        <w:rPr>
          <w:rFonts w:ascii="Arial" w:hAnsi="Arial" w:cs="Arial"/>
          <w:sz w:val="24"/>
          <w:szCs w:val="24"/>
        </w:rPr>
        <w:br/>
      </w:r>
      <w:r w:rsidRPr="00672A70">
        <w:rPr>
          <w:rFonts w:ascii="Arial" w:hAnsi="Arial" w:cs="Arial"/>
          <w:sz w:val="24"/>
          <w:szCs w:val="24"/>
        </w:rPr>
        <w:t xml:space="preserve">• </w:t>
      </w:r>
      <w:r w:rsidR="000A3529">
        <w:rPr>
          <w:rFonts w:ascii="Arial" w:hAnsi="Arial" w:cs="Arial"/>
          <w:sz w:val="24"/>
          <w:szCs w:val="24"/>
        </w:rPr>
        <w:t xml:space="preserve">o </w:t>
      </w:r>
      <w:r w:rsidR="000A3529" w:rsidRPr="00672A70">
        <w:rPr>
          <w:rFonts w:ascii="Arial" w:hAnsi="Arial" w:cs="Arial"/>
          <w:sz w:val="24"/>
          <w:szCs w:val="24"/>
        </w:rPr>
        <w:t>Punkt</w:t>
      </w:r>
      <w:r w:rsidR="000A3529">
        <w:rPr>
          <w:rFonts w:ascii="Arial" w:hAnsi="Arial" w:cs="Arial"/>
          <w:sz w:val="24"/>
          <w:szCs w:val="24"/>
        </w:rPr>
        <w:t>ach</w:t>
      </w:r>
      <w:r w:rsidR="000A3529" w:rsidRPr="00672A70">
        <w:rPr>
          <w:rFonts w:ascii="Arial" w:hAnsi="Arial" w:cs="Arial"/>
          <w:sz w:val="24"/>
          <w:szCs w:val="24"/>
        </w:rPr>
        <w:t xml:space="preserve"> Informacyjnych FE </w:t>
      </w:r>
      <w:r w:rsidR="000A3529">
        <w:rPr>
          <w:rFonts w:ascii="Arial" w:hAnsi="Arial" w:cs="Arial"/>
          <w:sz w:val="24"/>
          <w:szCs w:val="24"/>
        </w:rPr>
        <w:t xml:space="preserve">słyszało 32% respondentów a </w:t>
      </w:r>
      <w:r w:rsidRPr="00672A70">
        <w:rPr>
          <w:rFonts w:ascii="Arial" w:hAnsi="Arial" w:cs="Arial"/>
          <w:sz w:val="24"/>
          <w:szCs w:val="24"/>
        </w:rPr>
        <w:t xml:space="preserve">korzystanie z </w:t>
      </w:r>
      <w:r w:rsidR="000A3529">
        <w:rPr>
          <w:rFonts w:ascii="Arial" w:hAnsi="Arial" w:cs="Arial"/>
          <w:sz w:val="24"/>
          <w:szCs w:val="24"/>
        </w:rPr>
        <w:t>nich</w:t>
      </w:r>
      <w:r w:rsidR="004530C8">
        <w:rPr>
          <w:rFonts w:ascii="Arial" w:hAnsi="Arial" w:cs="Arial"/>
          <w:sz w:val="24"/>
          <w:szCs w:val="24"/>
        </w:rPr>
        <w:t xml:space="preserve"> deklaruje 4%.</w:t>
      </w:r>
    </w:p>
    <w:p w14:paraId="21FB9F2F" w14:textId="5465FA21" w:rsidR="00C372D5" w:rsidRPr="00672A70" w:rsidRDefault="00C372D5" w:rsidP="000B46BF">
      <w:pPr>
        <w:spacing w:line="360" w:lineRule="auto"/>
        <w:rPr>
          <w:rFonts w:ascii="Arial" w:hAnsi="Arial" w:cs="Arial"/>
          <w:sz w:val="24"/>
          <w:szCs w:val="24"/>
        </w:rPr>
      </w:pPr>
      <w:r w:rsidRPr="00672A70">
        <w:rPr>
          <w:rFonts w:ascii="Arial" w:hAnsi="Arial" w:cs="Arial"/>
          <w:sz w:val="24"/>
          <w:szCs w:val="24"/>
        </w:rPr>
        <w:t>Pokazuje to wyraźny rozdźwięk między wysoką świadomością ogólną</w:t>
      </w:r>
      <w:r w:rsidR="001C3D82">
        <w:rPr>
          <w:rFonts w:ascii="Arial" w:hAnsi="Arial" w:cs="Arial"/>
          <w:sz w:val="24"/>
          <w:szCs w:val="24"/>
        </w:rPr>
        <w:t>,</w:t>
      </w:r>
      <w:r w:rsidRPr="00672A70">
        <w:rPr>
          <w:rFonts w:ascii="Arial" w:hAnsi="Arial" w:cs="Arial"/>
          <w:sz w:val="24"/>
          <w:szCs w:val="24"/>
        </w:rPr>
        <w:t xml:space="preserve"> a niską znajomością konkretnych </w:t>
      </w:r>
      <w:r w:rsidR="004530C8">
        <w:rPr>
          <w:rFonts w:ascii="Arial" w:hAnsi="Arial" w:cs="Arial"/>
          <w:sz w:val="24"/>
          <w:szCs w:val="24"/>
        </w:rPr>
        <w:t>źródeł</w:t>
      </w:r>
      <w:r w:rsidRPr="00672A70">
        <w:rPr>
          <w:rFonts w:ascii="Arial" w:hAnsi="Arial" w:cs="Arial"/>
          <w:sz w:val="24"/>
          <w:szCs w:val="24"/>
        </w:rPr>
        <w:t>, co stanowi ważny kierunek doskonalenia działań komunikacyjnych.</w:t>
      </w:r>
    </w:p>
    <w:p w14:paraId="4D169C26" w14:textId="77777777" w:rsidR="00C372D5" w:rsidRPr="00D762DB" w:rsidRDefault="00C372D5" w:rsidP="000B46BF">
      <w:pPr>
        <w:spacing w:line="360" w:lineRule="auto"/>
        <w:rPr>
          <w:rFonts w:ascii="Arial" w:hAnsi="Arial" w:cs="Arial"/>
          <w:b/>
          <w:bCs/>
          <w:sz w:val="24"/>
          <w:szCs w:val="24"/>
        </w:rPr>
      </w:pPr>
      <w:r w:rsidRPr="00D762DB">
        <w:rPr>
          <w:rFonts w:ascii="Arial" w:hAnsi="Arial" w:cs="Arial"/>
          <w:b/>
          <w:bCs/>
          <w:sz w:val="24"/>
          <w:szCs w:val="24"/>
        </w:rPr>
        <w:t>10. Znajomość Krajowego Planu Odbudowy</w:t>
      </w:r>
    </w:p>
    <w:p w14:paraId="13E5D7DC" w14:textId="2AC02B7E" w:rsidR="00AD2F8E" w:rsidRPr="00AD2F8E" w:rsidRDefault="00AD2F8E" w:rsidP="000B46BF">
      <w:pPr>
        <w:spacing w:line="360" w:lineRule="auto"/>
        <w:rPr>
          <w:rFonts w:ascii="Arial" w:hAnsi="Arial" w:cs="Arial"/>
          <w:sz w:val="24"/>
          <w:szCs w:val="24"/>
        </w:rPr>
      </w:pPr>
      <w:r w:rsidRPr="00AD2F8E">
        <w:rPr>
          <w:rFonts w:ascii="Arial" w:hAnsi="Arial" w:cs="Arial"/>
          <w:sz w:val="24"/>
          <w:szCs w:val="24"/>
        </w:rPr>
        <w:t xml:space="preserve">Znajomość Krajowego Planu Odbudowy nie ma charakteru powszechnego, choć jest wyraźnie zróżnicowana społeczno-demograficznie. W ujęciu ogólnym </w:t>
      </w:r>
      <w:r w:rsidRPr="00AD2F8E">
        <w:rPr>
          <w:rFonts w:ascii="Arial" w:hAnsi="Arial" w:cs="Arial"/>
          <w:b/>
          <w:bCs/>
          <w:sz w:val="24"/>
          <w:szCs w:val="24"/>
        </w:rPr>
        <w:t>42% respondentów deklaruje, że słyszało o KPO</w:t>
      </w:r>
      <w:r w:rsidRPr="00AD2F8E">
        <w:rPr>
          <w:rFonts w:ascii="Arial" w:hAnsi="Arial" w:cs="Arial"/>
          <w:sz w:val="24"/>
          <w:szCs w:val="24"/>
        </w:rPr>
        <w:t xml:space="preserve">, podczas gdy 44% wskazuje odpowiedź „nie”, a 14% nie </w:t>
      </w:r>
      <w:r w:rsidR="004530C8">
        <w:rPr>
          <w:rFonts w:ascii="Arial" w:hAnsi="Arial" w:cs="Arial"/>
          <w:sz w:val="24"/>
          <w:szCs w:val="24"/>
        </w:rPr>
        <w:t>wie.</w:t>
      </w:r>
      <w:r w:rsidRPr="00AD2F8E">
        <w:rPr>
          <w:rFonts w:ascii="Arial" w:hAnsi="Arial" w:cs="Arial"/>
          <w:sz w:val="24"/>
          <w:szCs w:val="24"/>
        </w:rPr>
        <w:t xml:space="preserve"> Oznacza to, że odsetek osób mających jakikolwiek kontakt z tym pojęciem jest zbliżony do odsetka osób, które go nie znają. Jednocześnie znajomość KPO jest silniej zróżnicowana niż ogólna wiedza o Funduszach Europejskich – relatywnie częściej deklarują ją osoby starsze oraz mieszkańcy największych miast. Młodsi respondenci wyraźnie częściej wskazują brak wiedzy lub trudność w ocenie, co może świadczyć o niższym poziomie zainteresowania tym zagadnieniem w tej grupie. Na tle Funduszy Europejskich ogólny poziom znajomości KPO pozostaje jednak </w:t>
      </w:r>
      <w:r w:rsidRPr="00AD2F8E">
        <w:rPr>
          <w:rFonts w:ascii="Arial" w:hAnsi="Arial" w:cs="Arial"/>
          <w:b/>
          <w:bCs/>
          <w:sz w:val="24"/>
          <w:szCs w:val="24"/>
        </w:rPr>
        <w:t>niższy</w:t>
      </w:r>
      <w:r w:rsidRPr="00AD2F8E">
        <w:rPr>
          <w:rFonts w:ascii="Arial" w:hAnsi="Arial" w:cs="Arial"/>
          <w:sz w:val="24"/>
          <w:szCs w:val="24"/>
        </w:rPr>
        <w:t>, mimo że dla znacznej części badanych pojęcie to nie jest całkowicie obce.</w:t>
      </w:r>
    </w:p>
    <w:p w14:paraId="67751068" w14:textId="34FB8867" w:rsidR="00F91AB2" w:rsidRPr="00672A70" w:rsidRDefault="00F91AB2" w:rsidP="00F91AB2">
      <w:pPr>
        <w:pStyle w:val="Nagwek1"/>
        <w:shd w:val="clear" w:color="auto" w:fill="061A3D"/>
        <w:rPr>
          <w:rFonts w:ascii="Arial" w:hAnsi="Arial" w:cs="Arial"/>
          <w:b/>
          <w:bCs/>
          <w:color w:val="FFFFFF" w:themeColor="background1"/>
          <w:sz w:val="24"/>
          <w:szCs w:val="24"/>
        </w:rPr>
      </w:pPr>
      <w:bookmarkStart w:id="91" w:name="_Toc219375250"/>
      <w:r w:rsidRPr="00672A70">
        <w:rPr>
          <w:rFonts w:ascii="Arial" w:hAnsi="Arial" w:cs="Arial"/>
          <w:b/>
          <w:bCs/>
          <w:color w:val="FFFFFF" w:themeColor="background1"/>
          <w:sz w:val="24"/>
          <w:szCs w:val="24"/>
        </w:rPr>
        <w:lastRenderedPageBreak/>
        <w:t>Wnioski</w:t>
      </w:r>
      <w:bookmarkEnd w:id="91"/>
    </w:p>
    <w:p w14:paraId="1D063463" w14:textId="7F5CF866" w:rsidR="00F91AB2" w:rsidRPr="00672A70" w:rsidRDefault="00F91AB2" w:rsidP="000B46BF">
      <w:pPr>
        <w:spacing w:before="240" w:line="360" w:lineRule="auto"/>
        <w:rPr>
          <w:rFonts w:ascii="Arial" w:hAnsi="Arial" w:cs="Arial"/>
          <w:sz w:val="24"/>
          <w:szCs w:val="24"/>
        </w:rPr>
      </w:pPr>
      <w:r w:rsidRPr="00672A70">
        <w:rPr>
          <w:rFonts w:ascii="Arial" w:hAnsi="Arial" w:cs="Arial"/>
          <w:sz w:val="24"/>
          <w:szCs w:val="24"/>
        </w:rPr>
        <w:t>W niniejszym rozdziale przedstawiono najważniejsze wnioski wynikające z przeprowadzonego badania dotyczącego rozpoznawalności i wiedzy o Funduszach Europejskich wśród mieszkańców Polski. Zestawienie obejmuje zarówno obserwacje dotyczące poziomu świadomości, postaw i skojarzeń społecznych, jak i oceny wpływu FE na codzienne życie, dostępność środków, znajomość narzędzi informacyjnych oraz kierunki deklarowanego zainteresowania wsparciem. Wnioski stanowią syntetyczne podsumowanie najistotniejszych wyników badania i tworzą podstawę do formułowania rekomendacji w zakresie dalszej komunikacji oraz zwiększania dostępności informacji o Funduszach Europejskich.</w:t>
      </w:r>
    </w:p>
    <w:p w14:paraId="310CCC8F" w14:textId="0625287B" w:rsidR="00F91AB2" w:rsidRPr="00672A70" w:rsidRDefault="00F91AB2" w:rsidP="000B46BF">
      <w:pPr>
        <w:spacing w:before="240" w:line="360" w:lineRule="auto"/>
        <w:rPr>
          <w:rFonts w:ascii="Arial" w:hAnsi="Arial" w:cs="Arial"/>
          <w:sz w:val="24"/>
          <w:szCs w:val="24"/>
        </w:rPr>
      </w:pPr>
      <w:r w:rsidRPr="00672A70">
        <w:rPr>
          <w:rFonts w:ascii="Arial" w:hAnsi="Arial" w:cs="Arial"/>
          <w:b/>
          <w:bCs/>
          <w:sz w:val="24"/>
          <w:szCs w:val="24"/>
        </w:rPr>
        <w:t>1. Rozpoznawalność pojęć „Fundusze Europejskie” i „Fundusze Unijne” jest rekordowo wysoka — 96% respondentów deklaruje ich znajomość.</w:t>
      </w:r>
      <w:r w:rsidRPr="00672A70">
        <w:rPr>
          <w:rFonts w:ascii="Arial" w:hAnsi="Arial" w:cs="Arial"/>
          <w:sz w:val="24"/>
          <w:szCs w:val="24"/>
        </w:rPr>
        <w:br/>
        <w:t xml:space="preserve">Tak wysoki poziom znajomości świadczy o silnym zakorzenieniu tematyki funduszy w świadomości społecznej. Wynik ten jest najwyższy w całym </w:t>
      </w:r>
      <w:r w:rsidR="00577E54">
        <w:rPr>
          <w:rFonts w:ascii="Arial" w:hAnsi="Arial" w:cs="Arial"/>
          <w:sz w:val="24"/>
          <w:szCs w:val="24"/>
        </w:rPr>
        <w:t>analizowanym okresie</w:t>
      </w:r>
      <w:r w:rsidRPr="00672A70">
        <w:rPr>
          <w:rFonts w:ascii="Arial" w:hAnsi="Arial" w:cs="Arial"/>
          <w:sz w:val="24"/>
          <w:szCs w:val="24"/>
        </w:rPr>
        <w:t>. Oznacza to, że przez lata komunikacja dotycząca FE była konsekwentna i skuteczna. Dane potwierdzają, że FE są jednym z najbardziej rozpoznawalnych elementów polityki publicznej w Polsce.</w:t>
      </w:r>
    </w:p>
    <w:p w14:paraId="53105BD8" w14:textId="295159B7" w:rsidR="00F91AB2" w:rsidRPr="00672A70" w:rsidRDefault="00F91AB2" w:rsidP="000B46BF">
      <w:pPr>
        <w:spacing w:line="360" w:lineRule="auto"/>
        <w:rPr>
          <w:rFonts w:ascii="Arial" w:hAnsi="Arial" w:cs="Arial"/>
          <w:sz w:val="24"/>
          <w:szCs w:val="24"/>
        </w:rPr>
      </w:pPr>
      <w:r w:rsidRPr="00672A70">
        <w:rPr>
          <w:rFonts w:ascii="Arial" w:hAnsi="Arial" w:cs="Arial"/>
          <w:b/>
          <w:bCs/>
          <w:sz w:val="24"/>
          <w:szCs w:val="24"/>
        </w:rPr>
        <w:t>2. Wiedza definicyjna o FE jest wysoka, ale nierównomierna demograficznie.</w:t>
      </w:r>
      <w:r w:rsidRPr="00672A70">
        <w:rPr>
          <w:rFonts w:ascii="Arial" w:hAnsi="Arial" w:cs="Arial"/>
          <w:sz w:val="24"/>
          <w:szCs w:val="24"/>
        </w:rPr>
        <w:br/>
        <w:t>Osoby młodsze oraz mieszkańcy dużych miast częściej deklarują rozumienie pojęcia. Natomiast osoby starsze i z mniejszych miejscowości częściej mają trudności z precyzyjnym definiowaniem FE. Zróżnicowania te mają charakter powtarzalny i utrzymują się od lat. Wskazuje to, że działania edukacyjne są potrzebne, ale powinny być grupowo zróżnicowane.</w:t>
      </w:r>
    </w:p>
    <w:p w14:paraId="35A05BC4" w14:textId="77777777" w:rsidR="00F91AB2" w:rsidRPr="00672A70" w:rsidRDefault="00F91AB2" w:rsidP="000B46BF">
      <w:pPr>
        <w:spacing w:line="360" w:lineRule="auto"/>
        <w:rPr>
          <w:rFonts w:ascii="Arial" w:hAnsi="Arial" w:cs="Arial"/>
          <w:sz w:val="24"/>
          <w:szCs w:val="24"/>
        </w:rPr>
      </w:pPr>
      <w:r w:rsidRPr="00672A70">
        <w:rPr>
          <w:rFonts w:ascii="Arial" w:hAnsi="Arial" w:cs="Arial"/>
          <w:b/>
          <w:bCs/>
          <w:sz w:val="24"/>
          <w:szCs w:val="24"/>
        </w:rPr>
        <w:t>3. Najsilniejszym skojarzeniem z FE pozostaje ogólnie rozumiane wsparcie finansowe i rozwój kraju.</w:t>
      </w:r>
      <w:r w:rsidRPr="00672A70">
        <w:rPr>
          <w:rFonts w:ascii="Arial" w:hAnsi="Arial" w:cs="Arial"/>
          <w:sz w:val="24"/>
          <w:szCs w:val="24"/>
        </w:rPr>
        <w:br/>
        <w:t>Respondenci spontanicznie wskazują, że FE kojarzą im się ze środkami na modernizację i poprawę infrastruktury. Dopiero w dalszej kolejności pojawiają się skojarzenia sektorowe, takie jak rolnictwo czy budownictwo. Struktura skojarzeń pokazuje, że FE są czymś postrzeganym jako „duży mechanizm wsparcia”. Jednocześnie spontaniczne odpowiedzi odzwierciedlają dominujące tematy debaty publicznej.</w:t>
      </w:r>
    </w:p>
    <w:p w14:paraId="63ED3010" w14:textId="77777777" w:rsidR="00F91AB2" w:rsidRPr="00672A70" w:rsidRDefault="00F91AB2" w:rsidP="000B46BF">
      <w:pPr>
        <w:spacing w:line="360" w:lineRule="auto"/>
        <w:rPr>
          <w:rFonts w:ascii="Arial" w:hAnsi="Arial" w:cs="Arial"/>
          <w:sz w:val="24"/>
          <w:szCs w:val="24"/>
        </w:rPr>
      </w:pPr>
      <w:r w:rsidRPr="00672A70">
        <w:rPr>
          <w:rFonts w:ascii="Arial" w:hAnsi="Arial" w:cs="Arial"/>
          <w:b/>
          <w:bCs/>
          <w:sz w:val="24"/>
          <w:szCs w:val="24"/>
        </w:rPr>
        <w:lastRenderedPageBreak/>
        <w:t>4. Polacy mają dobrą orientację w obszarach finansowanych z FE.</w:t>
      </w:r>
      <w:r w:rsidRPr="00672A70">
        <w:rPr>
          <w:rFonts w:ascii="Arial" w:hAnsi="Arial" w:cs="Arial"/>
          <w:sz w:val="24"/>
          <w:szCs w:val="24"/>
        </w:rPr>
        <w:br/>
        <w:t>Najczęściej wskazywanym obszarem jest transport, a następnie rolnictwo, zielone technologie i transformacja energetyczna. Takie wyniki oznaczają, że komunikacja sektorowa dotarła do odbiorców. Widoczność infrastruktury transportowej szczególnie wpływa na znajomość tego obszaru. Respondenci kojarzą FE przede wszystkim z dużymi projektami o znaczeniu publicznym.</w:t>
      </w:r>
    </w:p>
    <w:p w14:paraId="1D59C90E" w14:textId="77777777" w:rsidR="00F91AB2" w:rsidRPr="00672A70" w:rsidRDefault="00F91AB2" w:rsidP="000B46BF">
      <w:pPr>
        <w:spacing w:line="360" w:lineRule="auto"/>
        <w:rPr>
          <w:rFonts w:ascii="Arial" w:hAnsi="Arial" w:cs="Arial"/>
          <w:sz w:val="24"/>
          <w:szCs w:val="24"/>
        </w:rPr>
      </w:pPr>
      <w:r w:rsidRPr="00672A70">
        <w:rPr>
          <w:rFonts w:ascii="Arial" w:hAnsi="Arial" w:cs="Arial"/>
          <w:b/>
          <w:bCs/>
          <w:sz w:val="24"/>
          <w:szCs w:val="24"/>
        </w:rPr>
        <w:t>5. Efekty FE są najbardziej dostrzegalne w infrastrukturze drogowej.</w:t>
      </w:r>
      <w:r w:rsidRPr="00672A70">
        <w:rPr>
          <w:rFonts w:ascii="Arial" w:hAnsi="Arial" w:cs="Arial"/>
          <w:sz w:val="24"/>
          <w:szCs w:val="24"/>
        </w:rPr>
        <w:br/>
        <w:t>Jest to obszar, który większość respondentów widzi w swoim najbliższym otoczeniu. Wynika to z dużej skali i widoczności projektów, takich jak drogi, mosty czy ronda. Projekty te są łatwe do zidentyfikowania przez mieszkańców. Utrwala to przekonanie, że FE mają rzeczywisty wpływ na codzienne funkcjonowanie.</w:t>
      </w:r>
    </w:p>
    <w:p w14:paraId="1882DF80" w14:textId="77777777" w:rsidR="00F91AB2" w:rsidRPr="00672A70" w:rsidRDefault="00F91AB2" w:rsidP="000B46BF">
      <w:pPr>
        <w:spacing w:line="360" w:lineRule="auto"/>
        <w:rPr>
          <w:rFonts w:ascii="Arial" w:hAnsi="Arial" w:cs="Arial"/>
          <w:sz w:val="24"/>
          <w:szCs w:val="24"/>
        </w:rPr>
      </w:pPr>
      <w:r w:rsidRPr="00672A70">
        <w:rPr>
          <w:rFonts w:ascii="Arial" w:hAnsi="Arial" w:cs="Arial"/>
          <w:b/>
          <w:bCs/>
          <w:sz w:val="24"/>
          <w:szCs w:val="24"/>
        </w:rPr>
        <w:t>6. Widoczność FE obejmuje także szkoły, administrację, lokalną gospodarkę i transport publiczny.</w:t>
      </w:r>
      <w:r w:rsidRPr="00672A70">
        <w:rPr>
          <w:rFonts w:ascii="Arial" w:hAnsi="Arial" w:cs="Arial"/>
          <w:sz w:val="24"/>
          <w:szCs w:val="24"/>
        </w:rPr>
        <w:br/>
        <w:t>Respondenci wymieniają liczne przykłady zmian obserwowanych w swoich miejscowościach. Dotyczą one zarówno infrastruktury twardej, jak i instytucjonalnej. Pokazuje to szeroki zakres interwencji finansowanych z FE. Odbiorcy postrzegają FE jako wszechstronny mechanizm wspierający lokalny rozwój.</w:t>
      </w:r>
    </w:p>
    <w:p w14:paraId="6FC4FAED" w14:textId="30EB8C43" w:rsidR="00F91AB2" w:rsidRPr="00672A70" w:rsidRDefault="00F91AB2" w:rsidP="000B46BF">
      <w:pPr>
        <w:spacing w:line="360" w:lineRule="auto"/>
        <w:rPr>
          <w:rFonts w:ascii="Arial" w:hAnsi="Arial" w:cs="Arial"/>
          <w:sz w:val="24"/>
          <w:szCs w:val="24"/>
        </w:rPr>
      </w:pPr>
      <w:r w:rsidRPr="00672A70">
        <w:rPr>
          <w:rFonts w:ascii="Arial" w:hAnsi="Arial" w:cs="Arial"/>
          <w:b/>
          <w:bCs/>
          <w:sz w:val="24"/>
          <w:szCs w:val="24"/>
        </w:rPr>
        <w:t>7. Ocena wpływu FE na jakość życia Polaków jest najwyższa w historii badań (9</w:t>
      </w:r>
      <w:r w:rsidR="004530C8">
        <w:rPr>
          <w:rFonts w:ascii="Arial" w:hAnsi="Arial" w:cs="Arial"/>
          <w:b/>
          <w:bCs/>
          <w:sz w:val="24"/>
          <w:szCs w:val="24"/>
        </w:rPr>
        <w:t>1</w:t>
      </w:r>
      <w:r w:rsidRPr="00672A70">
        <w:rPr>
          <w:rFonts w:ascii="Arial" w:hAnsi="Arial" w:cs="Arial"/>
          <w:b/>
          <w:bCs/>
          <w:sz w:val="24"/>
          <w:szCs w:val="24"/>
        </w:rPr>
        <w:t>%).</w:t>
      </w:r>
      <w:r w:rsidRPr="00672A70">
        <w:rPr>
          <w:rFonts w:ascii="Arial" w:hAnsi="Arial" w:cs="Arial"/>
          <w:sz w:val="24"/>
          <w:szCs w:val="24"/>
        </w:rPr>
        <w:br/>
        <w:t>To wyjątkowy wynik na tle poprzednich edycji. Wskazuje, że mieszkańcy dostrzegają bezpośrednie korzyści płynące z inwestycji. Opinie są stabilne i konsekwentnie pozytywne. FE są postrzegane jako istotny czynnik podnoszący standard życia.</w:t>
      </w:r>
    </w:p>
    <w:p w14:paraId="72DB5699" w14:textId="77777777" w:rsidR="00F91AB2" w:rsidRPr="00672A70" w:rsidRDefault="00F91AB2" w:rsidP="000B46BF">
      <w:pPr>
        <w:spacing w:line="360" w:lineRule="auto"/>
        <w:rPr>
          <w:rFonts w:ascii="Arial" w:hAnsi="Arial" w:cs="Arial"/>
          <w:sz w:val="24"/>
          <w:szCs w:val="24"/>
        </w:rPr>
      </w:pPr>
      <w:r w:rsidRPr="00672A70">
        <w:rPr>
          <w:rFonts w:ascii="Arial" w:hAnsi="Arial" w:cs="Arial"/>
          <w:b/>
          <w:bCs/>
          <w:sz w:val="24"/>
          <w:szCs w:val="24"/>
        </w:rPr>
        <w:t>8. Sposób wykorzystania środków unijnych oceniany jest stabilnie dobrze.</w:t>
      </w:r>
      <w:r w:rsidRPr="00672A70">
        <w:rPr>
          <w:rFonts w:ascii="Arial" w:hAnsi="Arial" w:cs="Arial"/>
          <w:sz w:val="24"/>
          <w:szCs w:val="24"/>
        </w:rPr>
        <w:br/>
        <w:t>Odsetek opinii pozytywnych jest wysoki, a odpowiedzi negatywne pozostają marginalne. Oznacza to, że społeczeństwo ocenia efektywność FE raczej przez pryzmat widocznych rezultatów. Wysoka akceptacja utrzymuje się od wielu lat. Działania finansowane z FE budują trwały kapitał zaufania.</w:t>
      </w:r>
    </w:p>
    <w:p w14:paraId="63961933" w14:textId="5770A474" w:rsidR="00F91AB2" w:rsidRPr="00672A70" w:rsidRDefault="00F91AB2" w:rsidP="000B46BF">
      <w:pPr>
        <w:spacing w:line="360" w:lineRule="auto"/>
        <w:rPr>
          <w:rFonts w:ascii="Arial" w:hAnsi="Arial" w:cs="Arial"/>
          <w:sz w:val="24"/>
          <w:szCs w:val="24"/>
        </w:rPr>
      </w:pPr>
      <w:r w:rsidRPr="00672A70">
        <w:rPr>
          <w:rFonts w:ascii="Arial" w:hAnsi="Arial" w:cs="Arial"/>
          <w:b/>
          <w:bCs/>
          <w:sz w:val="24"/>
          <w:szCs w:val="24"/>
        </w:rPr>
        <w:t>9. Zainteresowanie FE jest bardzo duże i szybko wzrosło po spadkach z lat 2019–2022.</w:t>
      </w:r>
      <w:r w:rsidRPr="00672A70">
        <w:rPr>
          <w:rFonts w:ascii="Arial" w:hAnsi="Arial" w:cs="Arial"/>
          <w:sz w:val="24"/>
          <w:szCs w:val="24"/>
        </w:rPr>
        <w:br/>
        <w:t xml:space="preserve">Wynik </w:t>
      </w:r>
      <w:r w:rsidR="004530C8">
        <w:rPr>
          <w:rFonts w:ascii="Arial" w:hAnsi="Arial" w:cs="Arial"/>
          <w:sz w:val="24"/>
          <w:szCs w:val="24"/>
        </w:rPr>
        <w:t>80</w:t>
      </w:r>
      <w:r w:rsidRPr="00672A70">
        <w:rPr>
          <w:rFonts w:ascii="Arial" w:hAnsi="Arial" w:cs="Arial"/>
          <w:sz w:val="24"/>
          <w:szCs w:val="24"/>
        </w:rPr>
        <w:t xml:space="preserve">% świadczy o odwróceniu wcześniejszego trendu. Zainteresowanie jest znowu na poziomie najwyższych historycznych wartości. Przyczyną może być </w:t>
      </w:r>
      <w:r w:rsidRPr="00672A70">
        <w:rPr>
          <w:rFonts w:ascii="Arial" w:hAnsi="Arial" w:cs="Arial"/>
          <w:sz w:val="24"/>
          <w:szCs w:val="24"/>
        </w:rPr>
        <w:lastRenderedPageBreak/>
        <w:t>zwiększona aktywność inwestycyjna oraz debata publiczna. Dane sugerują, że społeczna uwaga wobec FE ponownie wzrosła.</w:t>
      </w:r>
    </w:p>
    <w:p w14:paraId="1051AFD8" w14:textId="77777777" w:rsidR="00F91AB2" w:rsidRPr="00672A70" w:rsidRDefault="00F91AB2" w:rsidP="000B46BF">
      <w:pPr>
        <w:spacing w:line="360" w:lineRule="auto"/>
        <w:rPr>
          <w:rFonts w:ascii="Arial" w:hAnsi="Arial" w:cs="Arial"/>
          <w:sz w:val="24"/>
          <w:szCs w:val="24"/>
        </w:rPr>
      </w:pPr>
      <w:r w:rsidRPr="00672A70">
        <w:rPr>
          <w:rFonts w:ascii="Arial" w:hAnsi="Arial" w:cs="Arial"/>
          <w:b/>
          <w:bCs/>
          <w:sz w:val="24"/>
          <w:szCs w:val="24"/>
        </w:rPr>
        <w:t>10. Zainteresowanie FE jest równomierne w populacji.</w:t>
      </w:r>
      <w:r w:rsidRPr="00672A70">
        <w:rPr>
          <w:rFonts w:ascii="Arial" w:hAnsi="Arial" w:cs="Arial"/>
          <w:sz w:val="24"/>
          <w:szCs w:val="24"/>
        </w:rPr>
        <w:br/>
        <w:t>Nie ma wyraźnych różnic wynikających z wieku, płci czy miejsca zamieszkania. Oznacza to, że FE funkcjonują jako temat powszechny i rozpoznawalny w całym społeczeństwie. Wysoka dostępność informacji sprzyja wyrównaniu wiedzy. Wyniki świadczą o stabilnej świadomości tematu.</w:t>
      </w:r>
    </w:p>
    <w:p w14:paraId="28D39DAE" w14:textId="77777777" w:rsidR="00F91AB2" w:rsidRPr="00672A70" w:rsidRDefault="00F91AB2" w:rsidP="000B46BF">
      <w:pPr>
        <w:spacing w:line="360" w:lineRule="auto"/>
        <w:rPr>
          <w:rFonts w:ascii="Arial" w:hAnsi="Arial" w:cs="Arial"/>
          <w:sz w:val="24"/>
          <w:szCs w:val="24"/>
        </w:rPr>
      </w:pPr>
      <w:r w:rsidRPr="00672A70">
        <w:rPr>
          <w:rFonts w:ascii="Arial" w:hAnsi="Arial" w:cs="Arial"/>
          <w:b/>
          <w:bCs/>
          <w:sz w:val="24"/>
          <w:szCs w:val="24"/>
        </w:rPr>
        <w:t>11. Mieszkańcy dużych miast częściej kojarzą FE z nowoczesnymi obszarami.</w:t>
      </w:r>
      <w:r w:rsidRPr="00672A70">
        <w:rPr>
          <w:rFonts w:ascii="Arial" w:hAnsi="Arial" w:cs="Arial"/>
          <w:sz w:val="24"/>
          <w:szCs w:val="24"/>
        </w:rPr>
        <w:br/>
        <w:t xml:space="preserve">Dotyczy to kompetencji cyfrowych, technologii, </w:t>
      </w:r>
      <w:proofErr w:type="spellStart"/>
      <w:r w:rsidRPr="00672A70">
        <w:rPr>
          <w:rFonts w:ascii="Arial" w:hAnsi="Arial" w:cs="Arial"/>
          <w:sz w:val="24"/>
          <w:szCs w:val="24"/>
        </w:rPr>
        <w:t>cyberbezpieczeństwa</w:t>
      </w:r>
      <w:proofErr w:type="spellEnd"/>
      <w:r w:rsidRPr="00672A70">
        <w:rPr>
          <w:rFonts w:ascii="Arial" w:hAnsi="Arial" w:cs="Arial"/>
          <w:sz w:val="24"/>
          <w:szCs w:val="24"/>
        </w:rPr>
        <w:t xml:space="preserve"> czy start-</w:t>
      </w:r>
      <w:proofErr w:type="spellStart"/>
      <w:r w:rsidRPr="00672A70">
        <w:rPr>
          <w:rFonts w:ascii="Arial" w:hAnsi="Arial" w:cs="Arial"/>
          <w:sz w:val="24"/>
          <w:szCs w:val="24"/>
        </w:rPr>
        <w:t>upów</w:t>
      </w:r>
      <w:proofErr w:type="spellEnd"/>
      <w:r w:rsidRPr="00672A70">
        <w:rPr>
          <w:rFonts w:ascii="Arial" w:hAnsi="Arial" w:cs="Arial"/>
          <w:sz w:val="24"/>
          <w:szCs w:val="24"/>
        </w:rPr>
        <w:t>. Wynika to z większego nasycenia projektami innowacyjnymi. Mieszkańcy wsi natomiast częściej wskazują rolnictwo, środowisko naturalne i szkolenia. Różnice te odpowiadają lokalnym potrzebom i specyfice regionów.</w:t>
      </w:r>
    </w:p>
    <w:p w14:paraId="5954D621" w14:textId="5DD73E51" w:rsidR="00F91AB2" w:rsidRPr="0028226B" w:rsidRDefault="1E2960A4" w:rsidP="000B46BF">
      <w:pPr>
        <w:spacing w:line="360" w:lineRule="auto"/>
        <w:rPr>
          <w:rFonts w:ascii="Arial" w:hAnsi="Arial" w:cs="Arial"/>
          <w:sz w:val="24"/>
          <w:szCs w:val="24"/>
        </w:rPr>
      </w:pPr>
      <w:r w:rsidRPr="00672A70">
        <w:rPr>
          <w:rFonts w:ascii="Arial" w:hAnsi="Arial" w:cs="Arial"/>
          <w:b/>
          <w:bCs/>
          <w:sz w:val="24"/>
          <w:szCs w:val="24"/>
        </w:rPr>
        <w:t xml:space="preserve">12. </w:t>
      </w:r>
      <w:r w:rsidR="00C14812">
        <w:rPr>
          <w:rFonts w:ascii="Arial" w:hAnsi="Arial" w:cs="Arial"/>
          <w:b/>
          <w:bCs/>
          <w:sz w:val="24"/>
          <w:szCs w:val="24"/>
        </w:rPr>
        <w:t>Polacy</w:t>
      </w:r>
      <w:r w:rsidR="00C14812" w:rsidRPr="00672A70">
        <w:rPr>
          <w:rFonts w:ascii="Arial" w:hAnsi="Arial" w:cs="Arial"/>
          <w:b/>
          <w:bCs/>
          <w:sz w:val="24"/>
          <w:szCs w:val="24"/>
        </w:rPr>
        <w:t xml:space="preserve"> </w:t>
      </w:r>
      <w:r w:rsidRPr="00672A70">
        <w:rPr>
          <w:rFonts w:ascii="Arial" w:hAnsi="Arial" w:cs="Arial"/>
          <w:b/>
          <w:bCs/>
          <w:sz w:val="24"/>
          <w:szCs w:val="24"/>
        </w:rPr>
        <w:t>uważają, że z FE najbardziej korzystają</w:t>
      </w:r>
      <w:r w:rsidR="00AD2F8E">
        <w:rPr>
          <w:rFonts w:ascii="Arial" w:hAnsi="Arial" w:cs="Arial"/>
          <w:b/>
          <w:bCs/>
          <w:sz w:val="24"/>
          <w:szCs w:val="24"/>
        </w:rPr>
        <w:t xml:space="preserve"> przedsiębiorcy i</w:t>
      </w:r>
      <w:r w:rsidRPr="00672A70">
        <w:rPr>
          <w:rFonts w:ascii="Arial" w:hAnsi="Arial" w:cs="Arial"/>
          <w:b/>
          <w:bCs/>
          <w:sz w:val="24"/>
          <w:szCs w:val="24"/>
        </w:rPr>
        <w:t xml:space="preserve"> samorządy</w:t>
      </w:r>
      <w:r w:rsidR="00AD322C">
        <w:rPr>
          <w:rFonts w:ascii="Arial" w:hAnsi="Arial" w:cs="Arial"/>
          <w:b/>
          <w:bCs/>
          <w:sz w:val="24"/>
          <w:szCs w:val="24"/>
        </w:rPr>
        <w:t>.</w:t>
      </w:r>
      <w:r w:rsidR="00F91AB2" w:rsidRPr="0028226B">
        <w:rPr>
          <w:rFonts w:ascii="Arial" w:hAnsi="Arial" w:cs="Arial"/>
          <w:sz w:val="24"/>
          <w:szCs w:val="24"/>
        </w:rPr>
        <w:br/>
      </w:r>
      <w:r w:rsidRPr="0028226B">
        <w:rPr>
          <w:rFonts w:ascii="Arial" w:hAnsi="Arial" w:cs="Arial"/>
          <w:sz w:val="24"/>
          <w:szCs w:val="24"/>
        </w:rPr>
        <w:t>To obrazuje świadomość inwestycyjnego charakteru funduszy. Rolnicy i ogół społeczeństwa również postrzegani są jako istotni beneficjenci. Wskazuje to na szerokie uznanie dla roli FE w kształtowaniu polityk publicznych. Wyniki potwierdzają, że FE są kojarzone jako narzędzie systemowe.</w:t>
      </w:r>
    </w:p>
    <w:p w14:paraId="26A7997D" w14:textId="05392AAD" w:rsidR="00F91AB2" w:rsidRPr="00672A70" w:rsidRDefault="1E2960A4" w:rsidP="000B46BF">
      <w:pPr>
        <w:spacing w:line="360" w:lineRule="auto"/>
        <w:rPr>
          <w:rFonts w:ascii="Arial" w:hAnsi="Arial" w:cs="Arial"/>
          <w:sz w:val="24"/>
          <w:szCs w:val="24"/>
        </w:rPr>
      </w:pPr>
      <w:r w:rsidRPr="0028226B">
        <w:rPr>
          <w:rFonts w:ascii="Arial" w:hAnsi="Arial" w:cs="Arial"/>
          <w:b/>
          <w:bCs/>
          <w:sz w:val="24"/>
          <w:szCs w:val="24"/>
        </w:rPr>
        <w:t>13. Znajomość Portalu Funduszy Europejskich jest niska</w:t>
      </w:r>
      <w:r w:rsidR="00AD322C">
        <w:rPr>
          <w:rFonts w:ascii="Arial" w:hAnsi="Arial" w:cs="Arial"/>
          <w:b/>
          <w:bCs/>
          <w:sz w:val="24"/>
          <w:szCs w:val="24"/>
        </w:rPr>
        <w:t>.</w:t>
      </w:r>
      <w:r w:rsidR="00F91AB2" w:rsidRPr="0028226B">
        <w:rPr>
          <w:rFonts w:ascii="Arial" w:hAnsi="Arial" w:cs="Arial"/>
          <w:sz w:val="24"/>
          <w:szCs w:val="24"/>
        </w:rPr>
        <w:br/>
      </w:r>
      <w:r w:rsidR="00AD2F8E" w:rsidRPr="00AD2F8E">
        <w:rPr>
          <w:rFonts w:ascii="Arial" w:hAnsi="Arial" w:cs="Arial"/>
          <w:sz w:val="24"/>
          <w:szCs w:val="24"/>
        </w:rPr>
        <w:t xml:space="preserve">Znajomość Portalu Funduszy Europejskich pozostaje ograniczona. W 2025 roku </w:t>
      </w:r>
      <w:r w:rsidR="00AD2F8E" w:rsidRPr="004B75FE">
        <w:rPr>
          <w:rFonts w:ascii="Arial" w:hAnsi="Arial" w:cs="Arial"/>
          <w:sz w:val="24"/>
          <w:szCs w:val="24"/>
        </w:rPr>
        <w:t>45% badanych deklaruje, że słyszało o Portalu</w:t>
      </w:r>
      <w:r w:rsidR="00AD2F8E" w:rsidRPr="00AD2F8E">
        <w:rPr>
          <w:rFonts w:ascii="Arial" w:hAnsi="Arial" w:cs="Arial"/>
          <w:sz w:val="24"/>
          <w:szCs w:val="24"/>
        </w:rPr>
        <w:t xml:space="preserve"> (w tym 4 % korzystało z niego osobiście, 11% wskazuje na korzystanie przez bliskich, a 30% jedynie o nim słyszało), natomiast </w:t>
      </w:r>
      <w:r w:rsidR="00AD2F8E" w:rsidRPr="004B75FE">
        <w:rPr>
          <w:rFonts w:ascii="Arial" w:hAnsi="Arial" w:cs="Arial"/>
          <w:sz w:val="24"/>
          <w:szCs w:val="24"/>
        </w:rPr>
        <w:t>43 % respondentów przyznaje, że nigdy o nim nie słyszało</w:t>
      </w:r>
      <w:r w:rsidR="00AD2F8E" w:rsidRPr="00AD2F8E">
        <w:rPr>
          <w:rFonts w:ascii="Arial" w:hAnsi="Arial" w:cs="Arial"/>
          <w:sz w:val="24"/>
          <w:szCs w:val="24"/>
        </w:rPr>
        <w:t xml:space="preserve">, a 11 % nie potrafi jednoznacznie ocenić swojej wiedzy. Faktyczne korzystanie z Portalu ma więc charakter marginalny, co wskazuje na potrzebę wzmocnienia jego promocji jako źródła informacji o </w:t>
      </w:r>
      <w:r w:rsidR="00D075A3">
        <w:rPr>
          <w:rFonts w:ascii="Arial" w:hAnsi="Arial" w:cs="Arial"/>
          <w:sz w:val="24"/>
          <w:szCs w:val="24"/>
        </w:rPr>
        <w:t xml:space="preserve">Funduszach Europejskich i </w:t>
      </w:r>
      <w:r w:rsidR="00AD2F8E" w:rsidRPr="00AD2F8E">
        <w:rPr>
          <w:rFonts w:ascii="Arial" w:hAnsi="Arial" w:cs="Arial"/>
          <w:sz w:val="24"/>
          <w:szCs w:val="24"/>
        </w:rPr>
        <w:t>naborach.</w:t>
      </w:r>
    </w:p>
    <w:p w14:paraId="06B820AA" w14:textId="044ECB34" w:rsidR="00F91AB2" w:rsidRPr="00672A70" w:rsidRDefault="00F91AB2" w:rsidP="000B46BF">
      <w:pPr>
        <w:spacing w:line="360" w:lineRule="auto"/>
        <w:rPr>
          <w:rFonts w:ascii="Arial" w:hAnsi="Arial" w:cs="Arial"/>
          <w:sz w:val="24"/>
          <w:szCs w:val="24"/>
        </w:rPr>
      </w:pPr>
      <w:r w:rsidRPr="00672A70">
        <w:rPr>
          <w:rFonts w:ascii="Arial" w:hAnsi="Arial" w:cs="Arial"/>
          <w:b/>
          <w:bCs/>
          <w:sz w:val="24"/>
          <w:szCs w:val="24"/>
        </w:rPr>
        <w:t>14. Punkty Informacyjne FE również mają ograniczony zasięg.</w:t>
      </w:r>
      <w:r w:rsidRPr="00672A70">
        <w:rPr>
          <w:rFonts w:ascii="Arial" w:hAnsi="Arial" w:cs="Arial"/>
          <w:sz w:val="24"/>
          <w:szCs w:val="24"/>
        </w:rPr>
        <w:br/>
        <w:t xml:space="preserve">Choć ich rola jest </w:t>
      </w:r>
      <w:r w:rsidR="00D1711F" w:rsidRPr="00672A70">
        <w:rPr>
          <w:rFonts w:ascii="Arial" w:hAnsi="Arial" w:cs="Arial"/>
          <w:sz w:val="24"/>
          <w:szCs w:val="24"/>
        </w:rPr>
        <w:t>ważna</w:t>
      </w:r>
      <w:r w:rsidRPr="00672A70">
        <w:rPr>
          <w:rFonts w:ascii="Arial" w:hAnsi="Arial" w:cs="Arial"/>
          <w:sz w:val="24"/>
          <w:szCs w:val="24"/>
        </w:rPr>
        <w:t>, świadomość ich funkcjonowania pozostaje niewielka</w:t>
      </w:r>
      <w:r w:rsidR="00D075A3">
        <w:rPr>
          <w:rFonts w:ascii="Arial" w:hAnsi="Arial" w:cs="Arial"/>
          <w:sz w:val="24"/>
          <w:szCs w:val="24"/>
        </w:rPr>
        <w:t xml:space="preserve"> (32%)</w:t>
      </w:r>
      <w:r w:rsidRPr="00672A70">
        <w:rPr>
          <w:rFonts w:ascii="Arial" w:hAnsi="Arial" w:cs="Arial"/>
          <w:sz w:val="24"/>
          <w:szCs w:val="24"/>
        </w:rPr>
        <w:t>. Korzystanie z nich deklaruje niewielki odsetek respondentów</w:t>
      </w:r>
      <w:r w:rsidR="00D075A3">
        <w:rPr>
          <w:rFonts w:ascii="Arial" w:hAnsi="Arial" w:cs="Arial"/>
          <w:sz w:val="24"/>
          <w:szCs w:val="24"/>
        </w:rPr>
        <w:t xml:space="preserve"> – 4%</w:t>
      </w:r>
      <w:r w:rsidRPr="00672A70">
        <w:rPr>
          <w:rFonts w:ascii="Arial" w:hAnsi="Arial" w:cs="Arial"/>
          <w:sz w:val="24"/>
          <w:szCs w:val="24"/>
        </w:rPr>
        <w:t xml:space="preserve">. Mogą być postrzegane jako zbyt specjalistyczne lub niedostatecznie widoczne. Dane sugerują konieczność zwiększenia </w:t>
      </w:r>
      <w:r w:rsidR="00233BE3" w:rsidRPr="00233BE3">
        <w:rPr>
          <w:rFonts w:ascii="Arial" w:hAnsi="Arial" w:cs="Arial"/>
          <w:sz w:val="24"/>
          <w:szCs w:val="24"/>
        </w:rPr>
        <w:t>działań promocyjnych i informacyjnych o PIFE</w:t>
      </w:r>
    </w:p>
    <w:p w14:paraId="60C9BB79" w14:textId="3E5CB47E" w:rsidR="00F91AB2" w:rsidRPr="00672A70" w:rsidRDefault="00F91AB2" w:rsidP="000B46BF">
      <w:pPr>
        <w:spacing w:line="360" w:lineRule="auto"/>
        <w:rPr>
          <w:rFonts w:ascii="Arial" w:hAnsi="Arial" w:cs="Arial"/>
          <w:sz w:val="24"/>
          <w:szCs w:val="24"/>
        </w:rPr>
      </w:pPr>
      <w:r w:rsidRPr="00672A70">
        <w:rPr>
          <w:rFonts w:ascii="Arial" w:hAnsi="Arial" w:cs="Arial"/>
          <w:b/>
          <w:bCs/>
          <w:sz w:val="24"/>
          <w:szCs w:val="24"/>
        </w:rPr>
        <w:lastRenderedPageBreak/>
        <w:t>15. Skojarzenia spontaniczne coraz częściej dotyczą bezpieczeństwa, zdrowia i wsparcia młodzieży.</w:t>
      </w:r>
      <w:r w:rsidRPr="00672A70">
        <w:rPr>
          <w:rFonts w:ascii="Arial" w:hAnsi="Arial" w:cs="Arial"/>
          <w:sz w:val="24"/>
          <w:szCs w:val="24"/>
        </w:rPr>
        <w:br/>
      </w:r>
      <w:r w:rsidR="00942730" w:rsidRPr="00942730">
        <w:rPr>
          <w:rFonts w:ascii="Arial" w:hAnsi="Arial" w:cs="Arial"/>
          <w:sz w:val="24"/>
          <w:szCs w:val="24"/>
        </w:rPr>
        <w:t>W odpowiedziach respondentów w 2025 roku widoczne jest częstsze wskazywanie tych kategorii wśród skojarzeń z Funduszami Europejskimi. Jednocześnie część deklarowanych skojarzeń ma charakter ogólny i nie odnosi się bezpośrednio do konkretnych instrumentów lub obszarów wsparcia finansowanych ze środków FE, co wskazuje na postrzeganie Funduszy Europejskich jako szerokiej kategorii wsparcia publicznego.</w:t>
      </w:r>
    </w:p>
    <w:p w14:paraId="362A071F" w14:textId="77777777" w:rsidR="00F91AB2" w:rsidRPr="0028226B" w:rsidRDefault="1E2960A4" w:rsidP="000B46BF">
      <w:pPr>
        <w:spacing w:line="360" w:lineRule="auto"/>
        <w:rPr>
          <w:rFonts w:ascii="Arial" w:hAnsi="Arial" w:cs="Arial"/>
          <w:sz w:val="24"/>
          <w:szCs w:val="24"/>
        </w:rPr>
      </w:pPr>
      <w:r w:rsidRPr="00672A70">
        <w:rPr>
          <w:rFonts w:ascii="Arial" w:hAnsi="Arial" w:cs="Arial"/>
          <w:b/>
          <w:bCs/>
          <w:sz w:val="24"/>
          <w:szCs w:val="24"/>
        </w:rPr>
        <w:t>16. Respondenci planują korzystać ze środków głównie na rozwój zawodowy i przedsiębiorczość.</w:t>
      </w:r>
      <w:r w:rsidR="00F91AB2" w:rsidRPr="0028226B">
        <w:rPr>
          <w:rFonts w:ascii="Arial" w:hAnsi="Arial" w:cs="Arial"/>
          <w:sz w:val="24"/>
          <w:szCs w:val="24"/>
        </w:rPr>
        <w:br/>
      </w:r>
      <w:r w:rsidRPr="0028226B">
        <w:rPr>
          <w:rFonts w:ascii="Arial" w:hAnsi="Arial" w:cs="Arial"/>
          <w:sz w:val="24"/>
          <w:szCs w:val="24"/>
        </w:rPr>
        <w:t>Dotyczy to zarówno otwierania działalności, jak i inwestycji w wyposażenie. Trend ten od lat utrzymuje się na podobnym poziomie. FE są postrzegane jako narzędzie wspierające aktywność gospodarczą. Deklaracje te korespondują z realnymi kierunkami wsparcia.</w:t>
      </w:r>
    </w:p>
    <w:p w14:paraId="055FF4E6" w14:textId="77777777" w:rsidR="00F91AB2" w:rsidRPr="00672A70" w:rsidRDefault="1E2960A4" w:rsidP="000B46BF">
      <w:pPr>
        <w:spacing w:line="360" w:lineRule="auto"/>
        <w:rPr>
          <w:rFonts w:ascii="Arial" w:hAnsi="Arial" w:cs="Arial"/>
          <w:sz w:val="24"/>
          <w:szCs w:val="24"/>
        </w:rPr>
      </w:pPr>
      <w:r w:rsidRPr="0028226B">
        <w:rPr>
          <w:rFonts w:ascii="Arial" w:hAnsi="Arial" w:cs="Arial"/>
          <w:b/>
          <w:bCs/>
          <w:sz w:val="24"/>
          <w:szCs w:val="24"/>
        </w:rPr>
        <w:t>17. Duża część planów dotyczy rozwoju kompetencji i edukacji.</w:t>
      </w:r>
      <w:r w:rsidR="00F91AB2" w:rsidRPr="0028226B">
        <w:rPr>
          <w:rFonts w:ascii="Arial" w:hAnsi="Arial" w:cs="Arial"/>
          <w:sz w:val="24"/>
          <w:szCs w:val="24"/>
        </w:rPr>
        <w:br/>
      </w:r>
      <w:r w:rsidRPr="00672A70">
        <w:rPr>
          <w:rFonts w:ascii="Arial" w:hAnsi="Arial" w:cs="Arial"/>
          <w:sz w:val="24"/>
          <w:szCs w:val="24"/>
        </w:rPr>
        <w:t>Respondenci wskazują szkolenia zawodowe, kursy językowe oraz kompetencje cyfrowe. Wynika to z rosnącego znaczenia kapitału ludzkiego. FE postrzegane są jako dostępne źródło finansowania edukacji. Jest to jeden z najbardziej stabilnych obszarów deklarowanego zainteresowania.</w:t>
      </w:r>
    </w:p>
    <w:p w14:paraId="5F0314B9" w14:textId="5DD62E14" w:rsidR="00F91AB2" w:rsidRPr="00672A70" w:rsidRDefault="00577E54" w:rsidP="000B46BF">
      <w:pPr>
        <w:spacing w:line="360" w:lineRule="auto"/>
        <w:rPr>
          <w:rFonts w:ascii="Arial" w:hAnsi="Arial" w:cs="Arial"/>
          <w:sz w:val="24"/>
          <w:szCs w:val="24"/>
        </w:rPr>
      </w:pPr>
      <w:r>
        <w:rPr>
          <w:rFonts w:ascii="Arial" w:hAnsi="Arial" w:cs="Arial"/>
          <w:b/>
          <w:bCs/>
          <w:sz w:val="24"/>
          <w:szCs w:val="24"/>
        </w:rPr>
        <w:t>18</w:t>
      </w:r>
      <w:r w:rsidR="00F91AB2" w:rsidRPr="00672A70">
        <w:rPr>
          <w:rFonts w:ascii="Arial" w:hAnsi="Arial" w:cs="Arial"/>
          <w:b/>
          <w:bCs/>
          <w:sz w:val="24"/>
          <w:szCs w:val="24"/>
        </w:rPr>
        <w:t>. Coraz więcej respondentów uważa, że FE są dostępne również dla osób prywatnych.</w:t>
      </w:r>
      <w:r w:rsidR="00F91AB2" w:rsidRPr="00672A70">
        <w:rPr>
          <w:rFonts w:ascii="Arial" w:hAnsi="Arial" w:cs="Arial"/>
          <w:sz w:val="24"/>
          <w:szCs w:val="24"/>
        </w:rPr>
        <w:br/>
        <w:t>Świadczy to o poszerzającej się percepcji dostępności środków. Jeszcze kilka lat temu budziło to wątpliwości. Teraz FE są akceptowane jako narzędzie wspierające nie tylko instytucje. To ważna zmiana w sposobie myślenia o funduszach.</w:t>
      </w:r>
    </w:p>
    <w:p w14:paraId="143EEE80" w14:textId="7CB2AB33" w:rsidR="00F91AB2" w:rsidRPr="0028226B" w:rsidRDefault="00577E54" w:rsidP="000B46BF">
      <w:pPr>
        <w:spacing w:line="360" w:lineRule="auto"/>
        <w:rPr>
          <w:rFonts w:ascii="Arial" w:hAnsi="Arial" w:cs="Arial"/>
          <w:sz w:val="24"/>
          <w:szCs w:val="24"/>
        </w:rPr>
      </w:pPr>
      <w:r>
        <w:rPr>
          <w:rFonts w:ascii="Arial" w:hAnsi="Arial" w:cs="Arial"/>
          <w:b/>
          <w:bCs/>
          <w:sz w:val="24"/>
          <w:szCs w:val="24"/>
        </w:rPr>
        <w:t>19</w:t>
      </w:r>
      <w:r w:rsidR="00F91AB2" w:rsidRPr="00672A70">
        <w:rPr>
          <w:rFonts w:ascii="Arial" w:hAnsi="Arial" w:cs="Arial"/>
          <w:b/>
          <w:bCs/>
          <w:sz w:val="24"/>
          <w:szCs w:val="24"/>
        </w:rPr>
        <w:t>. FE mają bardzo silny społeczny mandat — są znane, widoczne, wysoko oceniane i kojarzone z rozwojem kraju.</w:t>
      </w:r>
      <w:r w:rsidR="00F91AB2" w:rsidRPr="00672A70">
        <w:rPr>
          <w:rFonts w:ascii="Arial" w:hAnsi="Arial" w:cs="Arial"/>
          <w:sz w:val="24"/>
          <w:szCs w:val="24"/>
        </w:rPr>
        <w:br/>
        <w:t xml:space="preserve">Wyniki badań ukazują stabilną i pozytywną percepcję </w:t>
      </w:r>
      <w:r w:rsidR="00C14812">
        <w:rPr>
          <w:rFonts w:ascii="Arial" w:hAnsi="Arial" w:cs="Arial"/>
          <w:sz w:val="24"/>
          <w:szCs w:val="24"/>
        </w:rPr>
        <w:t>F</w:t>
      </w:r>
      <w:r w:rsidR="00F91AB2" w:rsidRPr="00672A70">
        <w:rPr>
          <w:rFonts w:ascii="Arial" w:hAnsi="Arial" w:cs="Arial"/>
          <w:sz w:val="24"/>
          <w:szCs w:val="24"/>
        </w:rPr>
        <w:t>unduszy</w:t>
      </w:r>
      <w:r w:rsidR="00C14812">
        <w:rPr>
          <w:rFonts w:ascii="Arial" w:hAnsi="Arial" w:cs="Arial"/>
          <w:sz w:val="24"/>
          <w:szCs w:val="24"/>
        </w:rPr>
        <w:t xml:space="preserve"> Europejskich</w:t>
      </w:r>
      <w:r w:rsidR="00F91AB2" w:rsidRPr="00672A70">
        <w:rPr>
          <w:rFonts w:ascii="Arial" w:hAnsi="Arial" w:cs="Arial"/>
          <w:sz w:val="24"/>
          <w:szCs w:val="24"/>
        </w:rPr>
        <w:t>. Społeczeństwo widzi ich wpływ zarówno w skali lokalnej, jak i ogólnokrajowej. FE są jednym z najlepiej ocenianych instrumentów polityki publicznej. Dane te tworzą solidny fundament dla dalszej komunikacji i wdrażania programów.</w:t>
      </w:r>
    </w:p>
    <w:p w14:paraId="0799ED5F" w14:textId="38F36985" w:rsidR="00577E54" w:rsidRPr="00672A70" w:rsidRDefault="00577E54" w:rsidP="000B46BF">
      <w:pPr>
        <w:spacing w:line="360" w:lineRule="auto"/>
        <w:rPr>
          <w:rFonts w:ascii="Arial" w:hAnsi="Arial" w:cs="Arial"/>
          <w:sz w:val="24"/>
          <w:szCs w:val="24"/>
        </w:rPr>
      </w:pPr>
      <w:r>
        <w:rPr>
          <w:rFonts w:ascii="Arial" w:hAnsi="Arial" w:cs="Arial"/>
          <w:b/>
          <w:bCs/>
          <w:sz w:val="24"/>
          <w:szCs w:val="24"/>
        </w:rPr>
        <w:t>2</w:t>
      </w:r>
      <w:r w:rsidR="00970B53">
        <w:rPr>
          <w:rFonts w:ascii="Arial" w:hAnsi="Arial" w:cs="Arial"/>
          <w:b/>
          <w:bCs/>
          <w:sz w:val="24"/>
          <w:szCs w:val="24"/>
        </w:rPr>
        <w:t>0</w:t>
      </w:r>
      <w:r w:rsidRPr="00672A70">
        <w:rPr>
          <w:rFonts w:ascii="Arial" w:hAnsi="Arial" w:cs="Arial"/>
          <w:b/>
          <w:bCs/>
          <w:sz w:val="24"/>
          <w:szCs w:val="24"/>
        </w:rPr>
        <w:t>. Młode osoby dorosłe najczęściej deklarują brak wiedzy o KPO.</w:t>
      </w:r>
      <w:r w:rsidRPr="00672A70">
        <w:rPr>
          <w:rFonts w:ascii="Arial" w:hAnsi="Arial" w:cs="Arial"/>
          <w:sz w:val="24"/>
          <w:szCs w:val="24"/>
        </w:rPr>
        <w:br/>
        <w:t xml:space="preserve">Może to wynikać z mniejszego zainteresowania tematem odbudowy po pandemii. </w:t>
      </w:r>
      <w:r w:rsidRPr="00672A70">
        <w:rPr>
          <w:rFonts w:ascii="Arial" w:hAnsi="Arial" w:cs="Arial"/>
          <w:sz w:val="24"/>
          <w:szCs w:val="24"/>
        </w:rPr>
        <w:lastRenderedPageBreak/>
        <w:t>Komunikacja KPO nie trafia do tej grupy tak skutecznie jak komunikacja FE. Jest to problem, ponieważ młodzi są kluczową grupą dla przyszłych programów. Dane podkreślają konieczność ich większego zaangażowania informacyjnego.</w:t>
      </w:r>
    </w:p>
    <w:p w14:paraId="44D8535A" w14:textId="77777777" w:rsidR="00D762DB" w:rsidRDefault="00D762DB">
      <w:pPr>
        <w:rPr>
          <w:rFonts w:ascii="Arial" w:eastAsiaTheme="majorEastAsia" w:hAnsi="Arial" w:cs="Arial"/>
          <w:b/>
          <w:bCs/>
          <w:color w:val="FFFFFF" w:themeColor="background1"/>
          <w:sz w:val="24"/>
          <w:szCs w:val="24"/>
        </w:rPr>
      </w:pPr>
      <w:r>
        <w:rPr>
          <w:rFonts w:ascii="Arial" w:hAnsi="Arial" w:cs="Arial"/>
          <w:b/>
          <w:bCs/>
          <w:color w:val="FFFFFF" w:themeColor="background1"/>
          <w:sz w:val="24"/>
          <w:szCs w:val="24"/>
        </w:rPr>
        <w:br w:type="page"/>
      </w:r>
    </w:p>
    <w:p w14:paraId="47C15E40" w14:textId="51D3C924" w:rsidR="0096116B" w:rsidRPr="0028226B" w:rsidRDefault="0096116B" w:rsidP="00C372D5">
      <w:pPr>
        <w:pStyle w:val="Nagwek1"/>
        <w:shd w:val="clear" w:color="auto" w:fill="061A3D"/>
        <w:rPr>
          <w:rFonts w:ascii="Arial" w:hAnsi="Arial" w:cs="Arial"/>
          <w:b/>
          <w:bCs/>
          <w:color w:val="FFFFFF" w:themeColor="background1"/>
          <w:sz w:val="24"/>
          <w:szCs w:val="24"/>
        </w:rPr>
      </w:pPr>
      <w:bookmarkStart w:id="92" w:name="_Toc219375251"/>
      <w:r w:rsidRPr="0028226B">
        <w:rPr>
          <w:rFonts w:ascii="Arial" w:hAnsi="Arial" w:cs="Arial"/>
          <w:b/>
          <w:bCs/>
          <w:color w:val="FFFFFF" w:themeColor="background1"/>
          <w:sz w:val="24"/>
          <w:szCs w:val="24"/>
        </w:rPr>
        <w:lastRenderedPageBreak/>
        <w:t>Spis wykresów i tabel</w:t>
      </w:r>
      <w:bookmarkEnd w:id="92"/>
    </w:p>
    <w:p w14:paraId="210E75E2" w14:textId="152287B3" w:rsidR="009228E0" w:rsidRPr="009228E0" w:rsidRDefault="00C372D5" w:rsidP="009228E0">
      <w:pPr>
        <w:pStyle w:val="Spisilustracji"/>
        <w:tabs>
          <w:tab w:val="right" w:leader="dot" w:pos="9060"/>
        </w:tabs>
        <w:spacing w:line="360" w:lineRule="auto"/>
        <w:jc w:val="both"/>
        <w:rPr>
          <w:rFonts w:ascii="Arial" w:eastAsiaTheme="minorEastAsia" w:hAnsi="Arial" w:cs="Arial"/>
          <w:noProof/>
          <w:kern w:val="0"/>
          <w:sz w:val="24"/>
          <w:szCs w:val="24"/>
          <w:lang w:eastAsia="pl-PL"/>
          <w14:ligatures w14:val="none"/>
        </w:rPr>
      </w:pPr>
      <w:r w:rsidRPr="009228E0">
        <w:rPr>
          <w:rFonts w:ascii="Arial" w:hAnsi="Arial" w:cs="Arial"/>
          <w:sz w:val="24"/>
          <w:szCs w:val="24"/>
        </w:rPr>
        <w:fldChar w:fldCharType="begin"/>
      </w:r>
      <w:r w:rsidRPr="009228E0">
        <w:rPr>
          <w:rFonts w:ascii="Arial" w:hAnsi="Arial" w:cs="Arial"/>
          <w:sz w:val="24"/>
          <w:szCs w:val="24"/>
        </w:rPr>
        <w:instrText xml:space="preserve"> TOC \h \z \c "Wykres" </w:instrText>
      </w:r>
      <w:r w:rsidRPr="009228E0">
        <w:rPr>
          <w:rFonts w:ascii="Arial" w:hAnsi="Arial" w:cs="Arial"/>
          <w:sz w:val="24"/>
          <w:szCs w:val="24"/>
        </w:rPr>
        <w:fldChar w:fldCharType="separate"/>
      </w:r>
      <w:hyperlink w:anchor="_Toc219369227" w:history="1">
        <w:r w:rsidR="009228E0" w:rsidRPr="009228E0">
          <w:rPr>
            <w:rStyle w:val="Hipercze"/>
            <w:rFonts w:ascii="Arial" w:hAnsi="Arial" w:cs="Arial"/>
            <w:noProof/>
            <w:sz w:val="24"/>
            <w:szCs w:val="24"/>
          </w:rPr>
          <w:t>Wykres 1. Struktura próby badawczej.</w:t>
        </w:r>
        <w:r w:rsidR="009228E0" w:rsidRPr="009228E0">
          <w:rPr>
            <w:rFonts w:ascii="Arial" w:hAnsi="Arial" w:cs="Arial"/>
            <w:noProof/>
            <w:webHidden/>
            <w:sz w:val="24"/>
            <w:szCs w:val="24"/>
          </w:rPr>
          <w:tab/>
        </w:r>
        <w:r w:rsidR="009228E0" w:rsidRPr="009228E0">
          <w:rPr>
            <w:rFonts w:ascii="Arial" w:hAnsi="Arial" w:cs="Arial"/>
            <w:noProof/>
            <w:webHidden/>
            <w:sz w:val="24"/>
            <w:szCs w:val="24"/>
          </w:rPr>
          <w:fldChar w:fldCharType="begin"/>
        </w:r>
        <w:r w:rsidR="009228E0" w:rsidRPr="009228E0">
          <w:rPr>
            <w:rFonts w:ascii="Arial" w:hAnsi="Arial" w:cs="Arial"/>
            <w:noProof/>
            <w:webHidden/>
            <w:sz w:val="24"/>
            <w:szCs w:val="24"/>
          </w:rPr>
          <w:instrText xml:space="preserve"> PAGEREF _Toc219369227 \h </w:instrText>
        </w:r>
        <w:r w:rsidR="009228E0" w:rsidRPr="009228E0">
          <w:rPr>
            <w:rFonts w:ascii="Arial" w:hAnsi="Arial" w:cs="Arial"/>
            <w:noProof/>
            <w:webHidden/>
            <w:sz w:val="24"/>
            <w:szCs w:val="24"/>
          </w:rPr>
        </w:r>
        <w:r w:rsidR="009228E0" w:rsidRPr="009228E0">
          <w:rPr>
            <w:rFonts w:ascii="Arial" w:hAnsi="Arial" w:cs="Arial"/>
            <w:noProof/>
            <w:webHidden/>
            <w:sz w:val="24"/>
            <w:szCs w:val="24"/>
          </w:rPr>
          <w:fldChar w:fldCharType="separate"/>
        </w:r>
        <w:r w:rsidR="000F26BD">
          <w:rPr>
            <w:rFonts w:ascii="Arial" w:hAnsi="Arial" w:cs="Arial"/>
            <w:noProof/>
            <w:webHidden/>
            <w:sz w:val="24"/>
            <w:szCs w:val="24"/>
          </w:rPr>
          <w:t>10</w:t>
        </w:r>
        <w:r w:rsidR="009228E0" w:rsidRPr="009228E0">
          <w:rPr>
            <w:rFonts w:ascii="Arial" w:hAnsi="Arial" w:cs="Arial"/>
            <w:noProof/>
            <w:webHidden/>
            <w:sz w:val="24"/>
            <w:szCs w:val="24"/>
          </w:rPr>
          <w:fldChar w:fldCharType="end"/>
        </w:r>
      </w:hyperlink>
    </w:p>
    <w:p w14:paraId="42CD1700" w14:textId="0E708DEF" w:rsidR="009228E0" w:rsidRPr="009228E0" w:rsidRDefault="009228E0" w:rsidP="009228E0">
      <w:pPr>
        <w:pStyle w:val="Spisilustracji"/>
        <w:tabs>
          <w:tab w:val="right" w:leader="dot" w:pos="9060"/>
        </w:tabs>
        <w:spacing w:line="360" w:lineRule="auto"/>
        <w:jc w:val="both"/>
        <w:rPr>
          <w:rFonts w:ascii="Arial" w:eastAsiaTheme="minorEastAsia" w:hAnsi="Arial" w:cs="Arial"/>
          <w:noProof/>
          <w:kern w:val="0"/>
          <w:sz w:val="24"/>
          <w:szCs w:val="24"/>
          <w:lang w:eastAsia="pl-PL"/>
          <w14:ligatures w14:val="none"/>
        </w:rPr>
      </w:pPr>
      <w:hyperlink w:anchor="_Toc219369228" w:history="1">
        <w:r w:rsidRPr="009228E0">
          <w:rPr>
            <w:rStyle w:val="Hipercze"/>
            <w:rFonts w:ascii="Arial" w:hAnsi="Arial" w:cs="Arial"/>
            <w:noProof/>
            <w:sz w:val="24"/>
            <w:szCs w:val="24"/>
          </w:rPr>
          <w:t>Wykres 2. P1. Czy popiera Pan(i) czy też nie popiera członkostwo Polski w Unii Europejskiej?</w:t>
        </w:r>
        <w:r w:rsidRPr="009228E0">
          <w:rPr>
            <w:rFonts w:ascii="Arial" w:hAnsi="Arial" w:cs="Arial"/>
            <w:noProof/>
            <w:webHidden/>
            <w:sz w:val="24"/>
            <w:szCs w:val="24"/>
          </w:rPr>
          <w:tab/>
        </w:r>
        <w:r w:rsidRPr="009228E0">
          <w:rPr>
            <w:rFonts w:ascii="Arial" w:hAnsi="Arial" w:cs="Arial"/>
            <w:noProof/>
            <w:webHidden/>
            <w:sz w:val="24"/>
            <w:szCs w:val="24"/>
          </w:rPr>
          <w:fldChar w:fldCharType="begin"/>
        </w:r>
        <w:r w:rsidRPr="009228E0">
          <w:rPr>
            <w:rFonts w:ascii="Arial" w:hAnsi="Arial" w:cs="Arial"/>
            <w:noProof/>
            <w:webHidden/>
            <w:sz w:val="24"/>
            <w:szCs w:val="24"/>
          </w:rPr>
          <w:instrText xml:space="preserve"> PAGEREF _Toc219369228 \h </w:instrText>
        </w:r>
        <w:r w:rsidRPr="009228E0">
          <w:rPr>
            <w:rFonts w:ascii="Arial" w:hAnsi="Arial" w:cs="Arial"/>
            <w:noProof/>
            <w:webHidden/>
            <w:sz w:val="24"/>
            <w:szCs w:val="24"/>
          </w:rPr>
        </w:r>
        <w:r w:rsidRPr="009228E0">
          <w:rPr>
            <w:rFonts w:ascii="Arial" w:hAnsi="Arial" w:cs="Arial"/>
            <w:noProof/>
            <w:webHidden/>
            <w:sz w:val="24"/>
            <w:szCs w:val="24"/>
          </w:rPr>
          <w:fldChar w:fldCharType="separate"/>
        </w:r>
        <w:r w:rsidR="000F26BD">
          <w:rPr>
            <w:rFonts w:ascii="Arial" w:hAnsi="Arial" w:cs="Arial"/>
            <w:noProof/>
            <w:webHidden/>
            <w:sz w:val="24"/>
            <w:szCs w:val="24"/>
          </w:rPr>
          <w:t>12</w:t>
        </w:r>
        <w:r w:rsidRPr="009228E0">
          <w:rPr>
            <w:rFonts w:ascii="Arial" w:hAnsi="Arial" w:cs="Arial"/>
            <w:noProof/>
            <w:webHidden/>
            <w:sz w:val="24"/>
            <w:szCs w:val="24"/>
          </w:rPr>
          <w:fldChar w:fldCharType="end"/>
        </w:r>
      </w:hyperlink>
    </w:p>
    <w:p w14:paraId="50F821CE" w14:textId="475DBF1F" w:rsidR="009228E0" w:rsidRPr="009228E0" w:rsidRDefault="009228E0" w:rsidP="009228E0">
      <w:pPr>
        <w:pStyle w:val="Spisilustracji"/>
        <w:tabs>
          <w:tab w:val="right" w:leader="dot" w:pos="9060"/>
        </w:tabs>
        <w:spacing w:line="360" w:lineRule="auto"/>
        <w:jc w:val="both"/>
        <w:rPr>
          <w:rFonts w:ascii="Arial" w:eastAsiaTheme="minorEastAsia" w:hAnsi="Arial" w:cs="Arial"/>
          <w:noProof/>
          <w:kern w:val="0"/>
          <w:sz w:val="24"/>
          <w:szCs w:val="24"/>
          <w:lang w:eastAsia="pl-PL"/>
          <w14:ligatures w14:val="none"/>
        </w:rPr>
      </w:pPr>
      <w:hyperlink w:anchor="_Toc219369229" w:history="1">
        <w:r w:rsidRPr="009228E0">
          <w:rPr>
            <w:rStyle w:val="Hipercze"/>
            <w:rFonts w:ascii="Arial" w:hAnsi="Arial" w:cs="Arial"/>
            <w:noProof/>
            <w:sz w:val="24"/>
            <w:szCs w:val="24"/>
          </w:rPr>
          <w:t>Wykres 3. P1. Czy popiera Pan(i) czy też nie popiera członkostwo Polski w Unii Europejskiej?</w:t>
        </w:r>
        <w:r w:rsidRPr="009228E0">
          <w:rPr>
            <w:rFonts w:ascii="Arial" w:hAnsi="Arial" w:cs="Arial"/>
            <w:noProof/>
            <w:webHidden/>
            <w:sz w:val="24"/>
            <w:szCs w:val="24"/>
          </w:rPr>
          <w:tab/>
        </w:r>
        <w:r w:rsidRPr="009228E0">
          <w:rPr>
            <w:rFonts w:ascii="Arial" w:hAnsi="Arial" w:cs="Arial"/>
            <w:noProof/>
            <w:webHidden/>
            <w:sz w:val="24"/>
            <w:szCs w:val="24"/>
          </w:rPr>
          <w:fldChar w:fldCharType="begin"/>
        </w:r>
        <w:r w:rsidRPr="009228E0">
          <w:rPr>
            <w:rFonts w:ascii="Arial" w:hAnsi="Arial" w:cs="Arial"/>
            <w:noProof/>
            <w:webHidden/>
            <w:sz w:val="24"/>
            <w:szCs w:val="24"/>
          </w:rPr>
          <w:instrText xml:space="preserve"> PAGEREF _Toc219369229 \h </w:instrText>
        </w:r>
        <w:r w:rsidRPr="009228E0">
          <w:rPr>
            <w:rFonts w:ascii="Arial" w:hAnsi="Arial" w:cs="Arial"/>
            <w:noProof/>
            <w:webHidden/>
            <w:sz w:val="24"/>
            <w:szCs w:val="24"/>
          </w:rPr>
        </w:r>
        <w:r w:rsidRPr="009228E0">
          <w:rPr>
            <w:rFonts w:ascii="Arial" w:hAnsi="Arial" w:cs="Arial"/>
            <w:noProof/>
            <w:webHidden/>
            <w:sz w:val="24"/>
            <w:szCs w:val="24"/>
          </w:rPr>
          <w:fldChar w:fldCharType="separate"/>
        </w:r>
        <w:r w:rsidR="000F26BD">
          <w:rPr>
            <w:rFonts w:ascii="Arial" w:hAnsi="Arial" w:cs="Arial"/>
            <w:noProof/>
            <w:webHidden/>
            <w:sz w:val="24"/>
            <w:szCs w:val="24"/>
          </w:rPr>
          <w:t>14</w:t>
        </w:r>
        <w:r w:rsidRPr="009228E0">
          <w:rPr>
            <w:rFonts w:ascii="Arial" w:hAnsi="Arial" w:cs="Arial"/>
            <w:noProof/>
            <w:webHidden/>
            <w:sz w:val="24"/>
            <w:szCs w:val="24"/>
          </w:rPr>
          <w:fldChar w:fldCharType="end"/>
        </w:r>
      </w:hyperlink>
    </w:p>
    <w:p w14:paraId="5A35CEA0" w14:textId="37622F3A" w:rsidR="009228E0" w:rsidRPr="009228E0" w:rsidRDefault="009228E0" w:rsidP="009228E0">
      <w:pPr>
        <w:pStyle w:val="Spisilustracji"/>
        <w:tabs>
          <w:tab w:val="right" w:leader="dot" w:pos="9060"/>
        </w:tabs>
        <w:spacing w:line="360" w:lineRule="auto"/>
        <w:jc w:val="both"/>
        <w:rPr>
          <w:rFonts w:ascii="Arial" w:eastAsiaTheme="minorEastAsia" w:hAnsi="Arial" w:cs="Arial"/>
          <w:noProof/>
          <w:kern w:val="0"/>
          <w:sz w:val="24"/>
          <w:szCs w:val="24"/>
          <w:lang w:eastAsia="pl-PL"/>
          <w14:ligatures w14:val="none"/>
        </w:rPr>
      </w:pPr>
      <w:hyperlink w:anchor="_Toc219369230" w:history="1">
        <w:r w:rsidRPr="009228E0">
          <w:rPr>
            <w:rStyle w:val="Hipercze"/>
            <w:rFonts w:ascii="Arial" w:hAnsi="Arial" w:cs="Arial"/>
            <w:noProof/>
            <w:sz w:val="24"/>
            <w:szCs w:val="24"/>
          </w:rPr>
          <w:t>Wykres 4. P2. Jakie są najważniejsze korzyści, jakie uzyskała Polska ze wstąpienia do Unii Europejskiej? (N=881)</w:t>
        </w:r>
        <w:r w:rsidRPr="009228E0">
          <w:rPr>
            <w:rFonts w:ascii="Arial" w:hAnsi="Arial" w:cs="Arial"/>
            <w:noProof/>
            <w:webHidden/>
            <w:sz w:val="24"/>
            <w:szCs w:val="24"/>
          </w:rPr>
          <w:tab/>
        </w:r>
        <w:r w:rsidRPr="009228E0">
          <w:rPr>
            <w:rFonts w:ascii="Arial" w:hAnsi="Arial" w:cs="Arial"/>
            <w:noProof/>
            <w:webHidden/>
            <w:sz w:val="24"/>
            <w:szCs w:val="24"/>
          </w:rPr>
          <w:fldChar w:fldCharType="begin"/>
        </w:r>
        <w:r w:rsidRPr="009228E0">
          <w:rPr>
            <w:rFonts w:ascii="Arial" w:hAnsi="Arial" w:cs="Arial"/>
            <w:noProof/>
            <w:webHidden/>
            <w:sz w:val="24"/>
            <w:szCs w:val="24"/>
          </w:rPr>
          <w:instrText xml:space="preserve"> PAGEREF _Toc219369230 \h </w:instrText>
        </w:r>
        <w:r w:rsidRPr="009228E0">
          <w:rPr>
            <w:rFonts w:ascii="Arial" w:hAnsi="Arial" w:cs="Arial"/>
            <w:noProof/>
            <w:webHidden/>
            <w:sz w:val="24"/>
            <w:szCs w:val="24"/>
          </w:rPr>
        </w:r>
        <w:r w:rsidRPr="009228E0">
          <w:rPr>
            <w:rFonts w:ascii="Arial" w:hAnsi="Arial" w:cs="Arial"/>
            <w:noProof/>
            <w:webHidden/>
            <w:sz w:val="24"/>
            <w:szCs w:val="24"/>
          </w:rPr>
          <w:fldChar w:fldCharType="separate"/>
        </w:r>
        <w:r w:rsidR="000F26BD">
          <w:rPr>
            <w:rFonts w:ascii="Arial" w:hAnsi="Arial" w:cs="Arial"/>
            <w:noProof/>
            <w:webHidden/>
            <w:sz w:val="24"/>
            <w:szCs w:val="24"/>
          </w:rPr>
          <w:t>17</w:t>
        </w:r>
        <w:r w:rsidRPr="009228E0">
          <w:rPr>
            <w:rFonts w:ascii="Arial" w:hAnsi="Arial" w:cs="Arial"/>
            <w:noProof/>
            <w:webHidden/>
            <w:sz w:val="24"/>
            <w:szCs w:val="24"/>
          </w:rPr>
          <w:fldChar w:fldCharType="end"/>
        </w:r>
      </w:hyperlink>
    </w:p>
    <w:p w14:paraId="5D44B474" w14:textId="098CB1E5" w:rsidR="009228E0" w:rsidRPr="009228E0" w:rsidRDefault="009228E0" w:rsidP="009228E0">
      <w:pPr>
        <w:pStyle w:val="Spisilustracji"/>
        <w:tabs>
          <w:tab w:val="right" w:leader="dot" w:pos="9060"/>
        </w:tabs>
        <w:spacing w:line="360" w:lineRule="auto"/>
        <w:jc w:val="both"/>
        <w:rPr>
          <w:rFonts w:ascii="Arial" w:eastAsiaTheme="minorEastAsia" w:hAnsi="Arial" w:cs="Arial"/>
          <w:noProof/>
          <w:kern w:val="0"/>
          <w:sz w:val="24"/>
          <w:szCs w:val="24"/>
          <w:lang w:eastAsia="pl-PL"/>
          <w14:ligatures w14:val="none"/>
        </w:rPr>
      </w:pPr>
      <w:hyperlink w:anchor="_Toc219369231" w:history="1">
        <w:r w:rsidRPr="009228E0">
          <w:rPr>
            <w:rStyle w:val="Hipercze"/>
            <w:rFonts w:ascii="Arial" w:hAnsi="Arial" w:cs="Arial"/>
            <w:noProof/>
            <w:sz w:val="24"/>
            <w:szCs w:val="24"/>
          </w:rPr>
          <w:t>Wykres 5. P3. A jakie są Pana(i) zdaniem największe straty, jakie odniosła Polska wraz ze wstąpieniem do Unii Europejskiej? (N=247)</w:t>
        </w:r>
        <w:r w:rsidRPr="009228E0">
          <w:rPr>
            <w:rFonts w:ascii="Arial" w:hAnsi="Arial" w:cs="Arial"/>
            <w:noProof/>
            <w:webHidden/>
            <w:sz w:val="24"/>
            <w:szCs w:val="24"/>
          </w:rPr>
          <w:tab/>
        </w:r>
        <w:r w:rsidRPr="009228E0">
          <w:rPr>
            <w:rFonts w:ascii="Arial" w:hAnsi="Arial" w:cs="Arial"/>
            <w:noProof/>
            <w:webHidden/>
            <w:sz w:val="24"/>
            <w:szCs w:val="24"/>
          </w:rPr>
          <w:fldChar w:fldCharType="begin"/>
        </w:r>
        <w:r w:rsidRPr="009228E0">
          <w:rPr>
            <w:rFonts w:ascii="Arial" w:hAnsi="Arial" w:cs="Arial"/>
            <w:noProof/>
            <w:webHidden/>
            <w:sz w:val="24"/>
            <w:szCs w:val="24"/>
          </w:rPr>
          <w:instrText xml:space="preserve"> PAGEREF _Toc219369231 \h </w:instrText>
        </w:r>
        <w:r w:rsidRPr="009228E0">
          <w:rPr>
            <w:rFonts w:ascii="Arial" w:hAnsi="Arial" w:cs="Arial"/>
            <w:noProof/>
            <w:webHidden/>
            <w:sz w:val="24"/>
            <w:szCs w:val="24"/>
          </w:rPr>
        </w:r>
        <w:r w:rsidRPr="009228E0">
          <w:rPr>
            <w:rFonts w:ascii="Arial" w:hAnsi="Arial" w:cs="Arial"/>
            <w:noProof/>
            <w:webHidden/>
            <w:sz w:val="24"/>
            <w:szCs w:val="24"/>
          </w:rPr>
          <w:fldChar w:fldCharType="separate"/>
        </w:r>
        <w:r w:rsidR="000F26BD">
          <w:rPr>
            <w:rFonts w:ascii="Arial" w:hAnsi="Arial" w:cs="Arial"/>
            <w:noProof/>
            <w:webHidden/>
            <w:sz w:val="24"/>
            <w:szCs w:val="24"/>
          </w:rPr>
          <w:t>19</w:t>
        </w:r>
        <w:r w:rsidRPr="009228E0">
          <w:rPr>
            <w:rFonts w:ascii="Arial" w:hAnsi="Arial" w:cs="Arial"/>
            <w:noProof/>
            <w:webHidden/>
            <w:sz w:val="24"/>
            <w:szCs w:val="24"/>
          </w:rPr>
          <w:fldChar w:fldCharType="end"/>
        </w:r>
      </w:hyperlink>
    </w:p>
    <w:p w14:paraId="2FCBA84C" w14:textId="0FDE4A7E" w:rsidR="009228E0" w:rsidRPr="009228E0" w:rsidRDefault="009228E0" w:rsidP="009228E0">
      <w:pPr>
        <w:pStyle w:val="Spisilustracji"/>
        <w:tabs>
          <w:tab w:val="right" w:leader="dot" w:pos="9060"/>
        </w:tabs>
        <w:spacing w:line="360" w:lineRule="auto"/>
        <w:jc w:val="both"/>
        <w:rPr>
          <w:rFonts w:ascii="Arial" w:eastAsiaTheme="minorEastAsia" w:hAnsi="Arial" w:cs="Arial"/>
          <w:noProof/>
          <w:kern w:val="0"/>
          <w:sz w:val="24"/>
          <w:szCs w:val="24"/>
          <w:lang w:eastAsia="pl-PL"/>
          <w14:ligatures w14:val="none"/>
        </w:rPr>
      </w:pPr>
      <w:hyperlink w:anchor="_Toc219369232" w:history="1">
        <w:r w:rsidRPr="009228E0">
          <w:rPr>
            <w:rStyle w:val="Hipercze"/>
            <w:rFonts w:ascii="Arial" w:hAnsi="Arial" w:cs="Arial"/>
            <w:noProof/>
            <w:sz w:val="24"/>
            <w:szCs w:val="24"/>
          </w:rPr>
          <w:t>Wykres 6. P4. Czy spotkał(a) się Pan(i) z określeniami „Fundusze Europejskie” lub „Fundusze Unijne”?</w:t>
        </w:r>
        <w:r w:rsidRPr="009228E0">
          <w:rPr>
            <w:rFonts w:ascii="Arial" w:hAnsi="Arial" w:cs="Arial"/>
            <w:noProof/>
            <w:webHidden/>
            <w:sz w:val="24"/>
            <w:szCs w:val="24"/>
          </w:rPr>
          <w:tab/>
        </w:r>
        <w:r w:rsidRPr="009228E0">
          <w:rPr>
            <w:rFonts w:ascii="Arial" w:hAnsi="Arial" w:cs="Arial"/>
            <w:noProof/>
            <w:webHidden/>
            <w:sz w:val="24"/>
            <w:szCs w:val="24"/>
          </w:rPr>
          <w:fldChar w:fldCharType="begin"/>
        </w:r>
        <w:r w:rsidRPr="009228E0">
          <w:rPr>
            <w:rFonts w:ascii="Arial" w:hAnsi="Arial" w:cs="Arial"/>
            <w:noProof/>
            <w:webHidden/>
            <w:sz w:val="24"/>
            <w:szCs w:val="24"/>
          </w:rPr>
          <w:instrText xml:space="preserve"> PAGEREF _Toc219369232 \h </w:instrText>
        </w:r>
        <w:r w:rsidRPr="009228E0">
          <w:rPr>
            <w:rFonts w:ascii="Arial" w:hAnsi="Arial" w:cs="Arial"/>
            <w:noProof/>
            <w:webHidden/>
            <w:sz w:val="24"/>
            <w:szCs w:val="24"/>
          </w:rPr>
        </w:r>
        <w:r w:rsidRPr="009228E0">
          <w:rPr>
            <w:rFonts w:ascii="Arial" w:hAnsi="Arial" w:cs="Arial"/>
            <w:noProof/>
            <w:webHidden/>
            <w:sz w:val="24"/>
            <w:szCs w:val="24"/>
          </w:rPr>
          <w:fldChar w:fldCharType="separate"/>
        </w:r>
        <w:r w:rsidR="000F26BD">
          <w:rPr>
            <w:rFonts w:ascii="Arial" w:hAnsi="Arial" w:cs="Arial"/>
            <w:noProof/>
            <w:webHidden/>
            <w:sz w:val="24"/>
            <w:szCs w:val="24"/>
          </w:rPr>
          <w:t>20</w:t>
        </w:r>
        <w:r w:rsidRPr="009228E0">
          <w:rPr>
            <w:rFonts w:ascii="Arial" w:hAnsi="Arial" w:cs="Arial"/>
            <w:noProof/>
            <w:webHidden/>
            <w:sz w:val="24"/>
            <w:szCs w:val="24"/>
          </w:rPr>
          <w:fldChar w:fldCharType="end"/>
        </w:r>
      </w:hyperlink>
    </w:p>
    <w:p w14:paraId="33044380" w14:textId="72C09DCC" w:rsidR="009228E0" w:rsidRPr="009228E0" w:rsidRDefault="009228E0" w:rsidP="009228E0">
      <w:pPr>
        <w:pStyle w:val="Spisilustracji"/>
        <w:tabs>
          <w:tab w:val="right" w:leader="dot" w:pos="9060"/>
        </w:tabs>
        <w:spacing w:line="360" w:lineRule="auto"/>
        <w:jc w:val="both"/>
        <w:rPr>
          <w:rFonts w:ascii="Arial" w:eastAsiaTheme="minorEastAsia" w:hAnsi="Arial" w:cs="Arial"/>
          <w:noProof/>
          <w:kern w:val="0"/>
          <w:sz w:val="24"/>
          <w:szCs w:val="24"/>
          <w:lang w:eastAsia="pl-PL"/>
          <w14:ligatures w14:val="none"/>
        </w:rPr>
      </w:pPr>
      <w:hyperlink w:anchor="_Toc219369233" w:history="1">
        <w:r w:rsidRPr="009228E0">
          <w:rPr>
            <w:rStyle w:val="Hipercze"/>
            <w:rFonts w:ascii="Arial" w:hAnsi="Arial" w:cs="Arial"/>
            <w:noProof/>
            <w:sz w:val="24"/>
            <w:szCs w:val="24"/>
          </w:rPr>
          <w:t>Wykres 7. P4. Czy spotkał(a) się Pan(i) z określeniami „Fundusze Europejskie” lub „Fundusze Unijne”? według cech demograficznych</w:t>
        </w:r>
        <w:r w:rsidRPr="009228E0">
          <w:rPr>
            <w:rFonts w:ascii="Arial" w:hAnsi="Arial" w:cs="Arial"/>
            <w:noProof/>
            <w:webHidden/>
            <w:sz w:val="24"/>
            <w:szCs w:val="24"/>
          </w:rPr>
          <w:tab/>
        </w:r>
        <w:r w:rsidRPr="009228E0">
          <w:rPr>
            <w:rFonts w:ascii="Arial" w:hAnsi="Arial" w:cs="Arial"/>
            <w:noProof/>
            <w:webHidden/>
            <w:sz w:val="24"/>
            <w:szCs w:val="24"/>
          </w:rPr>
          <w:fldChar w:fldCharType="begin"/>
        </w:r>
        <w:r w:rsidRPr="009228E0">
          <w:rPr>
            <w:rFonts w:ascii="Arial" w:hAnsi="Arial" w:cs="Arial"/>
            <w:noProof/>
            <w:webHidden/>
            <w:sz w:val="24"/>
            <w:szCs w:val="24"/>
          </w:rPr>
          <w:instrText xml:space="preserve"> PAGEREF _Toc219369233 \h </w:instrText>
        </w:r>
        <w:r w:rsidRPr="009228E0">
          <w:rPr>
            <w:rFonts w:ascii="Arial" w:hAnsi="Arial" w:cs="Arial"/>
            <w:noProof/>
            <w:webHidden/>
            <w:sz w:val="24"/>
            <w:szCs w:val="24"/>
          </w:rPr>
        </w:r>
        <w:r w:rsidRPr="009228E0">
          <w:rPr>
            <w:rFonts w:ascii="Arial" w:hAnsi="Arial" w:cs="Arial"/>
            <w:noProof/>
            <w:webHidden/>
            <w:sz w:val="24"/>
            <w:szCs w:val="24"/>
          </w:rPr>
          <w:fldChar w:fldCharType="separate"/>
        </w:r>
        <w:r w:rsidR="000F26BD">
          <w:rPr>
            <w:rFonts w:ascii="Arial" w:hAnsi="Arial" w:cs="Arial"/>
            <w:noProof/>
            <w:webHidden/>
            <w:sz w:val="24"/>
            <w:szCs w:val="24"/>
          </w:rPr>
          <w:t>22</w:t>
        </w:r>
        <w:r w:rsidRPr="009228E0">
          <w:rPr>
            <w:rFonts w:ascii="Arial" w:hAnsi="Arial" w:cs="Arial"/>
            <w:noProof/>
            <w:webHidden/>
            <w:sz w:val="24"/>
            <w:szCs w:val="24"/>
          </w:rPr>
          <w:fldChar w:fldCharType="end"/>
        </w:r>
      </w:hyperlink>
    </w:p>
    <w:p w14:paraId="459E61D0" w14:textId="03E077DF" w:rsidR="009228E0" w:rsidRPr="009228E0" w:rsidRDefault="009228E0" w:rsidP="009228E0">
      <w:pPr>
        <w:pStyle w:val="Spisilustracji"/>
        <w:tabs>
          <w:tab w:val="right" w:leader="dot" w:pos="9060"/>
        </w:tabs>
        <w:spacing w:line="360" w:lineRule="auto"/>
        <w:jc w:val="both"/>
        <w:rPr>
          <w:rFonts w:ascii="Arial" w:eastAsiaTheme="minorEastAsia" w:hAnsi="Arial" w:cs="Arial"/>
          <w:noProof/>
          <w:kern w:val="0"/>
          <w:sz w:val="24"/>
          <w:szCs w:val="24"/>
          <w:lang w:eastAsia="pl-PL"/>
          <w14:ligatures w14:val="none"/>
        </w:rPr>
      </w:pPr>
      <w:hyperlink w:anchor="_Toc219369234" w:history="1">
        <w:r w:rsidRPr="009228E0">
          <w:rPr>
            <w:rStyle w:val="Hipercze"/>
            <w:rFonts w:ascii="Arial" w:hAnsi="Arial" w:cs="Arial"/>
            <w:noProof/>
            <w:sz w:val="24"/>
            <w:szCs w:val="24"/>
          </w:rPr>
          <w:t>Wykres 8. P5. Czym Pana(i) zdaniem są Fundusze Europejskie? - według najczęściej wymienianych kategorii (N=578)</w:t>
        </w:r>
        <w:r w:rsidRPr="009228E0">
          <w:rPr>
            <w:rFonts w:ascii="Arial" w:hAnsi="Arial" w:cs="Arial"/>
            <w:noProof/>
            <w:webHidden/>
            <w:sz w:val="24"/>
            <w:szCs w:val="24"/>
          </w:rPr>
          <w:tab/>
        </w:r>
        <w:r w:rsidRPr="009228E0">
          <w:rPr>
            <w:rFonts w:ascii="Arial" w:hAnsi="Arial" w:cs="Arial"/>
            <w:noProof/>
            <w:webHidden/>
            <w:sz w:val="24"/>
            <w:szCs w:val="24"/>
          </w:rPr>
          <w:fldChar w:fldCharType="begin"/>
        </w:r>
        <w:r w:rsidRPr="009228E0">
          <w:rPr>
            <w:rFonts w:ascii="Arial" w:hAnsi="Arial" w:cs="Arial"/>
            <w:noProof/>
            <w:webHidden/>
            <w:sz w:val="24"/>
            <w:szCs w:val="24"/>
          </w:rPr>
          <w:instrText xml:space="preserve"> PAGEREF _Toc219369234 \h </w:instrText>
        </w:r>
        <w:r w:rsidRPr="009228E0">
          <w:rPr>
            <w:rFonts w:ascii="Arial" w:hAnsi="Arial" w:cs="Arial"/>
            <w:noProof/>
            <w:webHidden/>
            <w:sz w:val="24"/>
            <w:szCs w:val="24"/>
          </w:rPr>
        </w:r>
        <w:r w:rsidRPr="009228E0">
          <w:rPr>
            <w:rFonts w:ascii="Arial" w:hAnsi="Arial" w:cs="Arial"/>
            <w:noProof/>
            <w:webHidden/>
            <w:sz w:val="24"/>
            <w:szCs w:val="24"/>
          </w:rPr>
          <w:fldChar w:fldCharType="separate"/>
        </w:r>
        <w:r w:rsidR="000F26BD">
          <w:rPr>
            <w:rFonts w:ascii="Arial" w:hAnsi="Arial" w:cs="Arial"/>
            <w:noProof/>
            <w:webHidden/>
            <w:sz w:val="24"/>
            <w:szCs w:val="24"/>
          </w:rPr>
          <w:t>25</w:t>
        </w:r>
        <w:r w:rsidRPr="009228E0">
          <w:rPr>
            <w:rFonts w:ascii="Arial" w:hAnsi="Arial" w:cs="Arial"/>
            <w:noProof/>
            <w:webHidden/>
            <w:sz w:val="24"/>
            <w:szCs w:val="24"/>
          </w:rPr>
          <w:fldChar w:fldCharType="end"/>
        </w:r>
      </w:hyperlink>
    </w:p>
    <w:p w14:paraId="681B3A02" w14:textId="2DBA328F" w:rsidR="009228E0" w:rsidRPr="009228E0" w:rsidRDefault="009228E0" w:rsidP="009228E0">
      <w:pPr>
        <w:pStyle w:val="Spisilustracji"/>
        <w:tabs>
          <w:tab w:val="right" w:leader="dot" w:pos="9060"/>
        </w:tabs>
        <w:spacing w:line="360" w:lineRule="auto"/>
        <w:jc w:val="both"/>
        <w:rPr>
          <w:rFonts w:ascii="Arial" w:eastAsiaTheme="minorEastAsia" w:hAnsi="Arial" w:cs="Arial"/>
          <w:noProof/>
          <w:kern w:val="0"/>
          <w:sz w:val="24"/>
          <w:szCs w:val="24"/>
          <w:lang w:eastAsia="pl-PL"/>
          <w14:ligatures w14:val="none"/>
        </w:rPr>
      </w:pPr>
      <w:hyperlink w:anchor="_Toc219369235" w:history="1">
        <w:r w:rsidRPr="009228E0">
          <w:rPr>
            <w:rStyle w:val="Hipercze"/>
            <w:rFonts w:ascii="Arial" w:hAnsi="Arial" w:cs="Arial"/>
            <w:noProof/>
            <w:sz w:val="24"/>
            <w:szCs w:val="24"/>
          </w:rPr>
          <w:t>Wykres 9. P6. Proszę powiedzieć, czy tematyka Funduszy Europejskich jest dla Pana(i) interesująca? w latach 2016–2025</w:t>
        </w:r>
        <w:r w:rsidRPr="009228E0">
          <w:rPr>
            <w:rFonts w:ascii="Arial" w:hAnsi="Arial" w:cs="Arial"/>
            <w:noProof/>
            <w:webHidden/>
            <w:sz w:val="24"/>
            <w:szCs w:val="24"/>
          </w:rPr>
          <w:tab/>
        </w:r>
        <w:r w:rsidRPr="009228E0">
          <w:rPr>
            <w:rFonts w:ascii="Arial" w:hAnsi="Arial" w:cs="Arial"/>
            <w:noProof/>
            <w:webHidden/>
            <w:sz w:val="24"/>
            <w:szCs w:val="24"/>
          </w:rPr>
          <w:fldChar w:fldCharType="begin"/>
        </w:r>
        <w:r w:rsidRPr="009228E0">
          <w:rPr>
            <w:rFonts w:ascii="Arial" w:hAnsi="Arial" w:cs="Arial"/>
            <w:noProof/>
            <w:webHidden/>
            <w:sz w:val="24"/>
            <w:szCs w:val="24"/>
          </w:rPr>
          <w:instrText xml:space="preserve"> PAGEREF _Toc219369235 \h </w:instrText>
        </w:r>
        <w:r w:rsidRPr="009228E0">
          <w:rPr>
            <w:rFonts w:ascii="Arial" w:hAnsi="Arial" w:cs="Arial"/>
            <w:noProof/>
            <w:webHidden/>
            <w:sz w:val="24"/>
            <w:szCs w:val="24"/>
          </w:rPr>
        </w:r>
        <w:r w:rsidRPr="009228E0">
          <w:rPr>
            <w:rFonts w:ascii="Arial" w:hAnsi="Arial" w:cs="Arial"/>
            <w:noProof/>
            <w:webHidden/>
            <w:sz w:val="24"/>
            <w:szCs w:val="24"/>
          </w:rPr>
          <w:fldChar w:fldCharType="separate"/>
        </w:r>
        <w:r w:rsidR="000F26BD">
          <w:rPr>
            <w:rFonts w:ascii="Arial" w:hAnsi="Arial" w:cs="Arial"/>
            <w:noProof/>
            <w:webHidden/>
            <w:sz w:val="24"/>
            <w:szCs w:val="24"/>
          </w:rPr>
          <w:t>28</w:t>
        </w:r>
        <w:r w:rsidRPr="009228E0">
          <w:rPr>
            <w:rFonts w:ascii="Arial" w:hAnsi="Arial" w:cs="Arial"/>
            <w:noProof/>
            <w:webHidden/>
            <w:sz w:val="24"/>
            <w:szCs w:val="24"/>
          </w:rPr>
          <w:fldChar w:fldCharType="end"/>
        </w:r>
      </w:hyperlink>
    </w:p>
    <w:p w14:paraId="778D4992" w14:textId="60AED916" w:rsidR="009228E0" w:rsidRPr="009228E0" w:rsidRDefault="009228E0" w:rsidP="009228E0">
      <w:pPr>
        <w:pStyle w:val="Spisilustracji"/>
        <w:tabs>
          <w:tab w:val="right" w:leader="dot" w:pos="9060"/>
        </w:tabs>
        <w:spacing w:line="360" w:lineRule="auto"/>
        <w:jc w:val="both"/>
        <w:rPr>
          <w:rFonts w:ascii="Arial" w:eastAsiaTheme="minorEastAsia" w:hAnsi="Arial" w:cs="Arial"/>
          <w:noProof/>
          <w:kern w:val="0"/>
          <w:sz w:val="24"/>
          <w:szCs w:val="24"/>
          <w:lang w:eastAsia="pl-PL"/>
          <w14:ligatures w14:val="none"/>
        </w:rPr>
      </w:pPr>
      <w:hyperlink w:anchor="_Toc219369236" w:history="1">
        <w:r w:rsidRPr="009228E0">
          <w:rPr>
            <w:rStyle w:val="Hipercze"/>
            <w:rFonts w:ascii="Arial" w:hAnsi="Arial" w:cs="Arial"/>
            <w:noProof/>
            <w:sz w:val="24"/>
            <w:szCs w:val="24"/>
          </w:rPr>
          <w:t>Wykres 10. P6. Proszę powiedzieć, czy tematyka Funduszy Europejskich jest dla Pana(i) interesująca? -  według cech społeczno-demograficznych</w:t>
        </w:r>
        <w:r w:rsidRPr="009228E0">
          <w:rPr>
            <w:rFonts w:ascii="Arial" w:hAnsi="Arial" w:cs="Arial"/>
            <w:noProof/>
            <w:webHidden/>
            <w:sz w:val="24"/>
            <w:szCs w:val="24"/>
          </w:rPr>
          <w:tab/>
        </w:r>
        <w:r w:rsidRPr="009228E0">
          <w:rPr>
            <w:rFonts w:ascii="Arial" w:hAnsi="Arial" w:cs="Arial"/>
            <w:noProof/>
            <w:webHidden/>
            <w:sz w:val="24"/>
            <w:szCs w:val="24"/>
          </w:rPr>
          <w:fldChar w:fldCharType="begin"/>
        </w:r>
        <w:r w:rsidRPr="009228E0">
          <w:rPr>
            <w:rFonts w:ascii="Arial" w:hAnsi="Arial" w:cs="Arial"/>
            <w:noProof/>
            <w:webHidden/>
            <w:sz w:val="24"/>
            <w:szCs w:val="24"/>
          </w:rPr>
          <w:instrText xml:space="preserve"> PAGEREF _Toc219369236 \h </w:instrText>
        </w:r>
        <w:r w:rsidRPr="009228E0">
          <w:rPr>
            <w:rFonts w:ascii="Arial" w:hAnsi="Arial" w:cs="Arial"/>
            <w:noProof/>
            <w:webHidden/>
            <w:sz w:val="24"/>
            <w:szCs w:val="24"/>
          </w:rPr>
        </w:r>
        <w:r w:rsidRPr="009228E0">
          <w:rPr>
            <w:rFonts w:ascii="Arial" w:hAnsi="Arial" w:cs="Arial"/>
            <w:noProof/>
            <w:webHidden/>
            <w:sz w:val="24"/>
            <w:szCs w:val="24"/>
          </w:rPr>
          <w:fldChar w:fldCharType="separate"/>
        </w:r>
        <w:r w:rsidR="000F26BD">
          <w:rPr>
            <w:rFonts w:ascii="Arial" w:hAnsi="Arial" w:cs="Arial"/>
            <w:noProof/>
            <w:webHidden/>
            <w:sz w:val="24"/>
            <w:szCs w:val="24"/>
          </w:rPr>
          <w:t>30</w:t>
        </w:r>
        <w:r w:rsidRPr="009228E0">
          <w:rPr>
            <w:rFonts w:ascii="Arial" w:hAnsi="Arial" w:cs="Arial"/>
            <w:noProof/>
            <w:webHidden/>
            <w:sz w:val="24"/>
            <w:szCs w:val="24"/>
          </w:rPr>
          <w:fldChar w:fldCharType="end"/>
        </w:r>
      </w:hyperlink>
    </w:p>
    <w:p w14:paraId="024C66FF" w14:textId="3C4DBF1D" w:rsidR="009228E0" w:rsidRPr="009228E0" w:rsidRDefault="009228E0" w:rsidP="009228E0">
      <w:pPr>
        <w:pStyle w:val="Spisilustracji"/>
        <w:tabs>
          <w:tab w:val="right" w:leader="dot" w:pos="9060"/>
        </w:tabs>
        <w:spacing w:line="360" w:lineRule="auto"/>
        <w:jc w:val="both"/>
        <w:rPr>
          <w:rFonts w:ascii="Arial" w:eastAsiaTheme="minorEastAsia" w:hAnsi="Arial" w:cs="Arial"/>
          <w:noProof/>
          <w:kern w:val="0"/>
          <w:sz w:val="24"/>
          <w:szCs w:val="24"/>
          <w:lang w:eastAsia="pl-PL"/>
          <w14:ligatures w14:val="none"/>
        </w:rPr>
      </w:pPr>
      <w:hyperlink w:anchor="_Toc219369237" w:history="1">
        <w:r w:rsidRPr="009228E0">
          <w:rPr>
            <w:rStyle w:val="Hipercze"/>
            <w:rFonts w:ascii="Arial" w:hAnsi="Arial" w:cs="Arial"/>
            <w:noProof/>
            <w:sz w:val="24"/>
            <w:szCs w:val="24"/>
          </w:rPr>
          <w:t>Wykres 11. P7. A co Pana(ią) interesuje najbardziej jeśli chodzi o Fundusze Europejskie? (N=765)</w:t>
        </w:r>
        <w:r w:rsidRPr="009228E0">
          <w:rPr>
            <w:rFonts w:ascii="Arial" w:hAnsi="Arial" w:cs="Arial"/>
            <w:noProof/>
            <w:webHidden/>
            <w:sz w:val="24"/>
            <w:szCs w:val="24"/>
          </w:rPr>
          <w:tab/>
        </w:r>
        <w:r w:rsidRPr="009228E0">
          <w:rPr>
            <w:rFonts w:ascii="Arial" w:hAnsi="Arial" w:cs="Arial"/>
            <w:noProof/>
            <w:webHidden/>
            <w:sz w:val="24"/>
            <w:szCs w:val="24"/>
          </w:rPr>
          <w:fldChar w:fldCharType="begin"/>
        </w:r>
        <w:r w:rsidRPr="009228E0">
          <w:rPr>
            <w:rFonts w:ascii="Arial" w:hAnsi="Arial" w:cs="Arial"/>
            <w:noProof/>
            <w:webHidden/>
            <w:sz w:val="24"/>
            <w:szCs w:val="24"/>
          </w:rPr>
          <w:instrText xml:space="preserve"> PAGEREF _Toc219369237 \h </w:instrText>
        </w:r>
        <w:r w:rsidRPr="009228E0">
          <w:rPr>
            <w:rFonts w:ascii="Arial" w:hAnsi="Arial" w:cs="Arial"/>
            <w:noProof/>
            <w:webHidden/>
            <w:sz w:val="24"/>
            <w:szCs w:val="24"/>
          </w:rPr>
        </w:r>
        <w:r w:rsidRPr="009228E0">
          <w:rPr>
            <w:rFonts w:ascii="Arial" w:hAnsi="Arial" w:cs="Arial"/>
            <w:noProof/>
            <w:webHidden/>
            <w:sz w:val="24"/>
            <w:szCs w:val="24"/>
          </w:rPr>
          <w:fldChar w:fldCharType="separate"/>
        </w:r>
        <w:r w:rsidR="000F26BD">
          <w:rPr>
            <w:rFonts w:ascii="Arial" w:hAnsi="Arial" w:cs="Arial"/>
            <w:noProof/>
            <w:webHidden/>
            <w:sz w:val="24"/>
            <w:szCs w:val="24"/>
          </w:rPr>
          <w:t>33</w:t>
        </w:r>
        <w:r w:rsidRPr="009228E0">
          <w:rPr>
            <w:rFonts w:ascii="Arial" w:hAnsi="Arial" w:cs="Arial"/>
            <w:noProof/>
            <w:webHidden/>
            <w:sz w:val="24"/>
            <w:szCs w:val="24"/>
          </w:rPr>
          <w:fldChar w:fldCharType="end"/>
        </w:r>
      </w:hyperlink>
    </w:p>
    <w:p w14:paraId="4817E8FA" w14:textId="51409832" w:rsidR="009228E0" w:rsidRPr="009228E0" w:rsidRDefault="009228E0" w:rsidP="009228E0">
      <w:pPr>
        <w:pStyle w:val="Spisilustracji"/>
        <w:tabs>
          <w:tab w:val="right" w:leader="dot" w:pos="9060"/>
        </w:tabs>
        <w:spacing w:line="360" w:lineRule="auto"/>
        <w:jc w:val="both"/>
        <w:rPr>
          <w:rFonts w:ascii="Arial" w:eastAsiaTheme="minorEastAsia" w:hAnsi="Arial" w:cs="Arial"/>
          <w:noProof/>
          <w:kern w:val="0"/>
          <w:sz w:val="24"/>
          <w:szCs w:val="24"/>
          <w:lang w:eastAsia="pl-PL"/>
          <w14:ligatures w14:val="none"/>
        </w:rPr>
      </w:pPr>
      <w:hyperlink w:anchor="_Toc219369238" w:history="1">
        <w:r w:rsidRPr="009228E0">
          <w:rPr>
            <w:rStyle w:val="Hipercze"/>
            <w:rFonts w:ascii="Arial" w:hAnsi="Arial" w:cs="Arial"/>
            <w:noProof/>
            <w:sz w:val="24"/>
            <w:szCs w:val="24"/>
          </w:rPr>
          <w:t>Wykres 12. Dlaczego tematyka Funduszy Europejskich nie jest dla Pana(i) interesująca? (N=70 – uwaga niska liczebność)</w:t>
        </w:r>
        <w:r w:rsidRPr="009228E0">
          <w:rPr>
            <w:rFonts w:ascii="Arial" w:hAnsi="Arial" w:cs="Arial"/>
            <w:noProof/>
            <w:webHidden/>
            <w:sz w:val="24"/>
            <w:szCs w:val="24"/>
          </w:rPr>
          <w:tab/>
        </w:r>
        <w:r w:rsidRPr="009228E0">
          <w:rPr>
            <w:rFonts w:ascii="Arial" w:hAnsi="Arial" w:cs="Arial"/>
            <w:noProof/>
            <w:webHidden/>
            <w:sz w:val="24"/>
            <w:szCs w:val="24"/>
          </w:rPr>
          <w:fldChar w:fldCharType="begin"/>
        </w:r>
        <w:r w:rsidRPr="009228E0">
          <w:rPr>
            <w:rFonts w:ascii="Arial" w:hAnsi="Arial" w:cs="Arial"/>
            <w:noProof/>
            <w:webHidden/>
            <w:sz w:val="24"/>
            <w:szCs w:val="24"/>
          </w:rPr>
          <w:instrText xml:space="preserve"> PAGEREF _Toc219369238 \h </w:instrText>
        </w:r>
        <w:r w:rsidRPr="009228E0">
          <w:rPr>
            <w:rFonts w:ascii="Arial" w:hAnsi="Arial" w:cs="Arial"/>
            <w:noProof/>
            <w:webHidden/>
            <w:sz w:val="24"/>
            <w:szCs w:val="24"/>
          </w:rPr>
        </w:r>
        <w:r w:rsidRPr="009228E0">
          <w:rPr>
            <w:rFonts w:ascii="Arial" w:hAnsi="Arial" w:cs="Arial"/>
            <w:noProof/>
            <w:webHidden/>
            <w:sz w:val="24"/>
            <w:szCs w:val="24"/>
          </w:rPr>
          <w:fldChar w:fldCharType="separate"/>
        </w:r>
        <w:r w:rsidR="000F26BD">
          <w:rPr>
            <w:rFonts w:ascii="Arial" w:hAnsi="Arial" w:cs="Arial"/>
            <w:noProof/>
            <w:webHidden/>
            <w:sz w:val="24"/>
            <w:szCs w:val="24"/>
          </w:rPr>
          <w:t>34</w:t>
        </w:r>
        <w:r w:rsidRPr="009228E0">
          <w:rPr>
            <w:rFonts w:ascii="Arial" w:hAnsi="Arial" w:cs="Arial"/>
            <w:noProof/>
            <w:webHidden/>
            <w:sz w:val="24"/>
            <w:szCs w:val="24"/>
          </w:rPr>
          <w:fldChar w:fldCharType="end"/>
        </w:r>
      </w:hyperlink>
    </w:p>
    <w:p w14:paraId="58519C55" w14:textId="1E633C62" w:rsidR="009228E0" w:rsidRPr="009228E0" w:rsidRDefault="009228E0" w:rsidP="009228E0">
      <w:pPr>
        <w:pStyle w:val="Spisilustracji"/>
        <w:tabs>
          <w:tab w:val="right" w:leader="dot" w:pos="9060"/>
        </w:tabs>
        <w:spacing w:line="360" w:lineRule="auto"/>
        <w:jc w:val="both"/>
        <w:rPr>
          <w:rFonts w:ascii="Arial" w:eastAsiaTheme="minorEastAsia" w:hAnsi="Arial" w:cs="Arial"/>
          <w:noProof/>
          <w:kern w:val="0"/>
          <w:sz w:val="24"/>
          <w:szCs w:val="24"/>
          <w:lang w:eastAsia="pl-PL"/>
          <w14:ligatures w14:val="none"/>
        </w:rPr>
      </w:pPr>
      <w:hyperlink w:anchor="_Toc219369239" w:history="1">
        <w:r w:rsidRPr="009228E0">
          <w:rPr>
            <w:rStyle w:val="Hipercze"/>
            <w:rFonts w:ascii="Arial" w:hAnsi="Arial" w:cs="Arial"/>
            <w:noProof/>
            <w:sz w:val="24"/>
            <w:szCs w:val="24"/>
          </w:rPr>
          <w:t>Wykres 13. P52. Jak by Pan(i) określił(a) swój poziom wiedzy na temat Funduszy Europejskich? Proszę posłużyć się skalą ocen szkolnych od 1 do 6, gdzie 1 oznacza „nie wiem o nich prawie nic”, a 6 oznacza „wiem o nich bardzo dużo” - w latach 2018–2025</w:t>
        </w:r>
        <w:r w:rsidRPr="009228E0">
          <w:rPr>
            <w:rFonts w:ascii="Arial" w:hAnsi="Arial" w:cs="Arial"/>
            <w:noProof/>
            <w:webHidden/>
            <w:sz w:val="24"/>
            <w:szCs w:val="24"/>
          </w:rPr>
          <w:tab/>
        </w:r>
        <w:r w:rsidRPr="009228E0">
          <w:rPr>
            <w:rFonts w:ascii="Arial" w:hAnsi="Arial" w:cs="Arial"/>
            <w:noProof/>
            <w:webHidden/>
            <w:sz w:val="24"/>
            <w:szCs w:val="24"/>
          </w:rPr>
          <w:fldChar w:fldCharType="begin"/>
        </w:r>
        <w:r w:rsidRPr="009228E0">
          <w:rPr>
            <w:rFonts w:ascii="Arial" w:hAnsi="Arial" w:cs="Arial"/>
            <w:noProof/>
            <w:webHidden/>
            <w:sz w:val="24"/>
            <w:szCs w:val="24"/>
          </w:rPr>
          <w:instrText xml:space="preserve"> PAGEREF _Toc219369239 \h </w:instrText>
        </w:r>
        <w:r w:rsidRPr="009228E0">
          <w:rPr>
            <w:rFonts w:ascii="Arial" w:hAnsi="Arial" w:cs="Arial"/>
            <w:noProof/>
            <w:webHidden/>
            <w:sz w:val="24"/>
            <w:szCs w:val="24"/>
          </w:rPr>
        </w:r>
        <w:r w:rsidRPr="009228E0">
          <w:rPr>
            <w:rFonts w:ascii="Arial" w:hAnsi="Arial" w:cs="Arial"/>
            <w:noProof/>
            <w:webHidden/>
            <w:sz w:val="24"/>
            <w:szCs w:val="24"/>
          </w:rPr>
          <w:fldChar w:fldCharType="separate"/>
        </w:r>
        <w:r w:rsidR="000F26BD">
          <w:rPr>
            <w:rFonts w:ascii="Arial" w:hAnsi="Arial" w:cs="Arial"/>
            <w:noProof/>
            <w:webHidden/>
            <w:sz w:val="24"/>
            <w:szCs w:val="24"/>
          </w:rPr>
          <w:t>37</w:t>
        </w:r>
        <w:r w:rsidRPr="009228E0">
          <w:rPr>
            <w:rFonts w:ascii="Arial" w:hAnsi="Arial" w:cs="Arial"/>
            <w:noProof/>
            <w:webHidden/>
            <w:sz w:val="24"/>
            <w:szCs w:val="24"/>
          </w:rPr>
          <w:fldChar w:fldCharType="end"/>
        </w:r>
      </w:hyperlink>
    </w:p>
    <w:p w14:paraId="4DE74DBB" w14:textId="69DB9322" w:rsidR="009228E0" w:rsidRPr="009228E0" w:rsidRDefault="009228E0" w:rsidP="009228E0">
      <w:pPr>
        <w:pStyle w:val="Spisilustracji"/>
        <w:tabs>
          <w:tab w:val="right" w:leader="dot" w:pos="9060"/>
        </w:tabs>
        <w:spacing w:line="360" w:lineRule="auto"/>
        <w:jc w:val="both"/>
        <w:rPr>
          <w:rFonts w:ascii="Arial" w:eastAsiaTheme="minorEastAsia" w:hAnsi="Arial" w:cs="Arial"/>
          <w:noProof/>
          <w:kern w:val="0"/>
          <w:sz w:val="24"/>
          <w:szCs w:val="24"/>
          <w:lang w:eastAsia="pl-PL"/>
          <w14:ligatures w14:val="none"/>
        </w:rPr>
      </w:pPr>
      <w:hyperlink w:anchor="_Toc219369240" w:history="1">
        <w:r w:rsidRPr="009228E0">
          <w:rPr>
            <w:rStyle w:val="Hipercze"/>
            <w:rFonts w:ascii="Arial" w:hAnsi="Arial" w:cs="Arial"/>
            <w:noProof/>
            <w:sz w:val="24"/>
            <w:szCs w:val="24"/>
          </w:rPr>
          <w:t>Wykres 14. P52. Jak by Pan(i) określił(a) swój poziom wiedzy na temat Funduszy Europejskich? Proszę posłużyć się skalą ocen szkolnych od 1 do 6, gdzie 1 oznacza „nie wiem o nich prawie nic”, a 6 oznacza „wiem o nich bardzo dużo”. – według zmian społeczno-demograficznych</w:t>
        </w:r>
        <w:r w:rsidRPr="009228E0">
          <w:rPr>
            <w:rFonts w:ascii="Arial" w:hAnsi="Arial" w:cs="Arial"/>
            <w:noProof/>
            <w:webHidden/>
            <w:sz w:val="24"/>
            <w:szCs w:val="24"/>
          </w:rPr>
          <w:tab/>
        </w:r>
        <w:r w:rsidRPr="009228E0">
          <w:rPr>
            <w:rFonts w:ascii="Arial" w:hAnsi="Arial" w:cs="Arial"/>
            <w:noProof/>
            <w:webHidden/>
            <w:sz w:val="24"/>
            <w:szCs w:val="24"/>
          </w:rPr>
          <w:fldChar w:fldCharType="begin"/>
        </w:r>
        <w:r w:rsidRPr="009228E0">
          <w:rPr>
            <w:rFonts w:ascii="Arial" w:hAnsi="Arial" w:cs="Arial"/>
            <w:noProof/>
            <w:webHidden/>
            <w:sz w:val="24"/>
            <w:szCs w:val="24"/>
          </w:rPr>
          <w:instrText xml:space="preserve"> PAGEREF _Toc219369240 \h </w:instrText>
        </w:r>
        <w:r w:rsidRPr="009228E0">
          <w:rPr>
            <w:rFonts w:ascii="Arial" w:hAnsi="Arial" w:cs="Arial"/>
            <w:noProof/>
            <w:webHidden/>
            <w:sz w:val="24"/>
            <w:szCs w:val="24"/>
          </w:rPr>
        </w:r>
        <w:r w:rsidRPr="009228E0">
          <w:rPr>
            <w:rFonts w:ascii="Arial" w:hAnsi="Arial" w:cs="Arial"/>
            <w:noProof/>
            <w:webHidden/>
            <w:sz w:val="24"/>
            <w:szCs w:val="24"/>
          </w:rPr>
          <w:fldChar w:fldCharType="separate"/>
        </w:r>
        <w:r w:rsidR="000F26BD">
          <w:rPr>
            <w:rFonts w:ascii="Arial" w:hAnsi="Arial" w:cs="Arial"/>
            <w:noProof/>
            <w:webHidden/>
            <w:sz w:val="24"/>
            <w:szCs w:val="24"/>
          </w:rPr>
          <w:t>39</w:t>
        </w:r>
        <w:r w:rsidRPr="009228E0">
          <w:rPr>
            <w:rFonts w:ascii="Arial" w:hAnsi="Arial" w:cs="Arial"/>
            <w:noProof/>
            <w:webHidden/>
            <w:sz w:val="24"/>
            <w:szCs w:val="24"/>
          </w:rPr>
          <w:fldChar w:fldCharType="end"/>
        </w:r>
      </w:hyperlink>
    </w:p>
    <w:p w14:paraId="3D9DEB81" w14:textId="58568E0C" w:rsidR="009228E0" w:rsidRPr="009228E0" w:rsidRDefault="009228E0" w:rsidP="009228E0">
      <w:pPr>
        <w:pStyle w:val="Spisilustracji"/>
        <w:tabs>
          <w:tab w:val="right" w:leader="dot" w:pos="9060"/>
        </w:tabs>
        <w:spacing w:line="360" w:lineRule="auto"/>
        <w:jc w:val="both"/>
        <w:rPr>
          <w:rFonts w:ascii="Arial" w:eastAsiaTheme="minorEastAsia" w:hAnsi="Arial" w:cs="Arial"/>
          <w:noProof/>
          <w:kern w:val="0"/>
          <w:sz w:val="24"/>
          <w:szCs w:val="24"/>
          <w:lang w:eastAsia="pl-PL"/>
          <w14:ligatures w14:val="none"/>
        </w:rPr>
      </w:pPr>
      <w:hyperlink w:anchor="_Toc219369241" w:history="1">
        <w:r w:rsidRPr="009228E0">
          <w:rPr>
            <w:rStyle w:val="Hipercze"/>
            <w:rFonts w:ascii="Arial" w:hAnsi="Arial" w:cs="Arial"/>
            <w:noProof/>
            <w:sz w:val="24"/>
            <w:szCs w:val="24"/>
          </w:rPr>
          <w:t xml:space="preserve">Wykres 15. P10. Jak Pan(i) sądzi, na jakie cele, obszary lub na jakie działania są przeznaczane Fundusze Europejskie w Polsce? Odsetek mieszkańców Polski </w:t>
        </w:r>
        <w:r w:rsidRPr="009228E0">
          <w:rPr>
            <w:rStyle w:val="Hipercze"/>
            <w:rFonts w:ascii="Arial" w:hAnsi="Arial" w:cs="Arial"/>
            <w:noProof/>
            <w:sz w:val="24"/>
            <w:szCs w:val="24"/>
          </w:rPr>
          <w:lastRenderedPageBreak/>
          <w:t>znających co najmniej trzy przykładowe cele, obszary lub działania, na które przeznaczane są Fundusze Europejskie – wiedza spontaniczna (porównanie między latami)</w:t>
        </w:r>
        <w:r w:rsidRPr="009228E0">
          <w:rPr>
            <w:rFonts w:ascii="Arial" w:hAnsi="Arial" w:cs="Arial"/>
            <w:noProof/>
            <w:webHidden/>
            <w:sz w:val="24"/>
            <w:szCs w:val="24"/>
          </w:rPr>
          <w:tab/>
        </w:r>
        <w:r w:rsidRPr="009228E0">
          <w:rPr>
            <w:rFonts w:ascii="Arial" w:hAnsi="Arial" w:cs="Arial"/>
            <w:noProof/>
            <w:webHidden/>
            <w:sz w:val="24"/>
            <w:szCs w:val="24"/>
          </w:rPr>
          <w:fldChar w:fldCharType="begin"/>
        </w:r>
        <w:r w:rsidRPr="009228E0">
          <w:rPr>
            <w:rFonts w:ascii="Arial" w:hAnsi="Arial" w:cs="Arial"/>
            <w:noProof/>
            <w:webHidden/>
            <w:sz w:val="24"/>
            <w:szCs w:val="24"/>
          </w:rPr>
          <w:instrText xml:space="preserve"> PAGEREF _Toc219369241 \h </w:instrText>
        </w:r>
        <w:r w:rsidRPr="009228E0">
          <w:rPr>
            <w:rFonts w:ascii="Arial" w:hAnsi="Arial" w:cs="Arial"/>
            <w:noProof/>
            <w:webHidden/>
            <w:sz w:val="24"/>
            <w:szCs w:val="24"/>
          </w:rPr>
        </w:r>
        <w:r w:rsidRPr="009228E0">
          <w:rPr>
            <w:rFonts w:ascii="Arial" w:hAnsi="Arial" w:cs="Arial"/>
            <w:noProof/>
            <w:webHidden/>
            <w:sz w:val="24"/>
            <w:szCs w:val="24"/>
          </w:rPr>
          <w:fldChar w:fldCharType="separate"/>
        </w:r>
        <w:r w:rsidR="000F26BD">
          <w:rPr>
            <w:rFonts w:ascii="Arial" w:hAnsi="Arial" w:cs="Arial"/>
            <w:noProof/>
            <w:webHidden/>
            <w:sz w:val="24"/>
            <w:szCs w:val="24"/>
          </w:rPr>
          <w:t>40</w:t>
        </w:r>
        <w:r w:rsidRPr="009228E0">
          <w:rPr>
            <w:rFonts w:ascii="Arial" w:hAnsi="Arial" w:cs="Arial"/>
            <w:noProof/>
            <w:webHidden/>
            <w:sz w:val="24"/>
            <w:szCs w:val="24"/>
          </w:rPr>
          <w:fldChar w:fldCharType="end"/>
        </w:r>
      </w:hyperlink>
    </w:p>
    <w:p w14:paraId="6E609544" w14:textId="44340252" w:rsidR="009228E0" w:rsidRPr="009228E0" w:rsidRDefault="009228E0" w:rsidP="009228E0">
      <w:pPr>
        <w:pStyle w:val="Spisilustracji"/>
        <w:tabs>
          <w:tab w:val="right" w:leader="dot" w:pos="9060"/>
        </w:tabs>
        <w:spacing w:line="360" w:lineRule="auto"/>
        <w:jc w:val="both"/>
        <w:rPr>
          <w:rFonts w:ascii="Arial" w:eastAsiaTheme="minorEastAsia" w:hAnsi="Arial" w:cs="Arial"/>
          <w:noProof/>
          <w:kern w:val="0"/>
          <w:sz w:val="24"/>
          <w:szCs w:val="24"/>
          <w:lang w:eastAsia="pl-PL"/>
          <w14:ligatures w14:val="none"/>
        </w:rPr>
      </w:pPr>
      <w:hyperlink w:anchor="_Toc219369242" w:history="1">
        <w:r w:rsidRPr="009228E0">
          <w:rPr>
            <w:rStyle w:val="Hipercze"/>
            <w:rFonts w:ascii="Arial" w:hAnsi="Arial" w:cs="Arial"/>
            <w:noProof/>
            <w:sz w:val="24"/>
            <w:szCs w:val="24"/>
          </w:rPr>
          <w:t>Wykres 16.  P10. Jak Pan(i) sądzi, na jakie cele, obszary lub na jakie działania są przeznaczane Fundusze Europejskie w Polsce? Proszę wymienić wszystkie przykłady, które przychodzą Panu(i) na myśl.– odpowiedź spontaniczna (N=498)</w:t>
        </w:r>
        <w:r w:rsidRPr="009228E0">
          <w:rPr>
            <w:rFonts w:ascii="Arial" w:hAnsi="Arial" w:cs="Arial"/>
            <w:noProof/>
            <w:webHidden/>
            <w:sz w:val="24"/>
            <w:szCs w:val="24"/>
          </w:rPr>
          <w:tab/>
        </w:r>
        <w:r w:rsidRPr="009228E0">
          <w:rPr>
            <w:rFonts w:ascii="Arial" w:hAnsi="Arial" w:cs="Arial"/>
            <w:noProof/>
            <w:webHidden/>
            <w:sz w:val="24"/>
            <w:szCs w:val="24"/>
          </w:rPr>
          <w:fldChar w:fldCharType="begin"/>
        </w:r>
        <w:r w:rsidRPr="009228E0">
          <w:rPr>
            <w:rFonts w:ascii="Arial" w:hAnsi="Arial" w:cs="Arial"/>
            <w:noProof/>
            <w:webHidden/>
            <w:sz w:val="24"/>
            <w:szCs w:val="24"/>
          </w:rPr>
          <w:instrText xml:space="preserve"> PAGEREF _Toc219369242 \h </w:instrText>
        </w:r>
        <w:r w:rsidRPr="009228E0">
          <w:rPr>
            <w:rFonts w:ascii="Arial" w:hAnsi="Arial" w:cs="Arial"/>
            <w:noProof/>
            <w:webHidden/>
            <w:sz w:val="24"/>
            <w:szCs w:val="24"/>
          </w:rPr>
        </w:r>
        <w:r w:rsidRPr="009228E0">
          <w:rPr>
            <w:rFonts w:ascii="Arial" w:hAnsi="Arial" w:cs="Arial"/>
            <w:noProof/>
            <w:webHidden/>
            <w:sz w:val="24"/>
            <w:szCs w:val="24"/>
          </w:rPr>
          <w:fldChar w:fldCharType="separate"/>
        </w:r>
        <w:r w:rsidR="000F26BD">
          <w:rPr>
            <w:rFonts w:ascii="Arial" w:hAnsi="Arial" w:cs="Arial"/>
            <w:noProof/>
            <w:webHidden/>
            <w:sz w:val="24"/>
            <w:szCs w:val="24"/>
          </w:rPr>
          <w:t>42</w:t>
        </w:r>
        <w:r w:rsidRPr="009228E0">
          <w:rPr>
            <w:rFonts w:ascii="Arial" w:hAnsi="Arial" w:cs="Arial"/>
            <w:noProof/>
            <w:webHidden/>
            <w:sz w:val="24"/>
            <w:szCs w:val="24"/>
          </w:rPr>
          <w:fldChar w:fldCharType="end"/>
        </w:r>
      </w:hyperlink>
    </w:p>
    <w:p w14:paraId="0A4B5701" w14:textId="0AE8AC2F" w:rsidR="009228E0" w:rsidRPr="009228E0" w:rsidRDefault="009228E0" w:rsidP="009228E0">
      <w:pPr>
        <w:pStyle w:val="Spisilustracji"/>
        <w:tabs>
          <w:tab w:val="right" w:leader="dot" w:pos="9060"/>
        </w:tabs>
        <w:spacing w:line="360" w:lineRule="auto"/>
        <w:jc w:val="both"/>
        <w:rPr>
          <w:rFonts w:ascii="Arial" w:eastAsiaTheme="minorEastAsia" w:hAnsi="Arial" w:cs="Arial"/>
          <w:noProof/>
          <w:kern w:val="0"/>
          <w:sz w:val="24"/>
          <w:szCs w:val="24"/>
          <w:lang w:eastAsia="pl-PL"/>
          <w14:ligatures w14:val="none"/>
        </w:rPr>
      </w:pPr>
      <w:hyperlink w:anchor="_Toc219369243" w:history="1">
        <w:r w:rsidRPr="009228E0">
          <w:rPr>
            <w:rStyle w:val="Hipercze"/>
            <w:rFonts w:ascii="Arial" w:hAnsi="Arial" w:cs="Arial"/>
            <w:noProof/>
            <w:sz w:val="24"/>
            <w:szCs w:val="24"/>
          </w:rPr>
          <w:t>Wykres 17. P12N. Jak się Panu/i wydaje, na które poniżej wypisane cele, obszary lub na jakie działania są przeznaczane Fundusze Europejskie w Polsce? – wiedza wspomagana [N=955]</w:t>
        </w:r>
        <w:r w:rsidRPr="009228E0">
          <w:rPr>
            <w:rFonts w:ascii="Arial" w:hAnsi="Arial" w:cs="Arial"/>
            <w:noProof/>
            <w:webHidden/>
            <w:sz w:val="24"/>
            <w:szCs w:val="24"/>
          </w:rPr>
          <w:tab/>
        </w:r>
        <w:r w:rsidRPr="009228E0">
          <w:rPr>
            <w:rFonts w:ascii="Arial" w:hAnsi="Arial" w:cs="Arial"/>
            <w:noProof/>
            <w:webHidden/>
            <w:sz w:val="24"/>
            <w:szCs w:val="24"/>
          </w:rPr>
          <w:fldChar w:fldCharType="begin"/>
        </w:r>
        <w:r w:rsidRPr="009228E0">
          <w:rPr>
            <w:rFonts w:ascii="Arial" w:hAnsi="Arial" w:cs="Arial"/>
            <w:noProof/>
            <w:webHidden/>
            <w:sz w:val="24"/>
            <w:szCs w:val="24"/>
          </w:rPr>
          <w:instrText xml:space="preserve"> PAGEREF _Toc219369243 \h </w:instrText>
        </w:r>
        <w:r w:rsidRPr="009228E0">
          <w:rPr>
            <w:rFonts w:ascii="Arial" w:hAnsi="Arial" w:cs="Arial"/>
            <w:noProof/>
            <w:webHidden/>
            <w:sz w:val="24"/>
            <w:szCs w:val="24"/>
          </w:rPr>
        </w:r>
        <w:r w:rsidRPr="009228E0">
          <w:rPr>
            <w:rFonts w:ascii="Arial" w:hAnsi="Arial" w:cs="Arial"/>
            <w:noProof/>
            <w:webHidden/>
            <w:sz w:val="24"/>
            <w:szCs w:val="24"/>
          </w:rPr>
          <w:fldChar w:fldCharType="separate"/>
        </w:r>
        <w:r w:rsidR="000F26BD">
          <w:rPr>
            <w:rFonts w:ascii="Arial" w:hAnsi="Arial" w:cs="Arial"/>
            <w:noProof/>
            <w:webHidden/>
            <w:sz w:val="24"/>
            <w:szCs w:val="24"/>
          </w:rPr>
          <w:t>45</w:t>
        </w:r>
        <w:r w:rsidRPr="009228E0">
          <w:rPr>
            <w:rFonts w:ascii="Arial" w:hAnsi="Arial" w:cs="Arial"/>
            <w:noProof/>
            <w:webHidden/>
            <w:sz w:val="24"/>
            <w:szCs w:val="24"/>
          </w:rPr>
          <w:fldChar w:fldCharType="end"/>
        </w:r>
      </w:hyperlink>
    </w:p>
    <w:p w14:paraId="07557A3D" w14:textId="64AA1412" w:rsidR="009228E0" w:rsidRPr="009228E0" w:rsidRDefault="009228E0" w:rsidP="009228E0">
      <w:pPr>
        <w:pStyle w:val="Spisilustracji"/>
        <w:tabs>
          <w:tab w:val="right" w:leader="dot" w:pos="9060"/>
        </w:tabs>
        <w:spacing w:line="360" w:lineRule="auto"/>
        <w:jc w:val="both"/>
        <w:rPr>
          <w:rFonts w:ascii="Arial" w:eastAsiaTheme="minorEastAsia" w:hAnsi="Arial" w:cs="Arial"/>
          <w:noProof/>
          <w:kern w:val="0"/>
          <w:sz w:val="24"/>
          <w:szCs w:val="24"/>
          <w:lang w:eastAsia="pl-PL"/>
          <w14:ligatures w14:val="none"/>
        </w:rPr>
      </w:pPr>
      <w:hyperlink w:anchor="_Toc219369244" w:history="1">
        <w:r w:rsidRPr="009228E0">
          <w:rPr>
            <w:rStyle w:val="Hipercze"/>
            <w:rFonts w:ascii="Arial" w:hAnsi="Arial" w:cs="Arial"/>
            <w:noProof/>
            <w:sz w:val="24"/>
            <w:szCs w:val="24"/>
          </w:rPr>
          <w:t>Wykres 18. P11. Na jakie cele, obszary lub na jakie działania, Pana(i) zdaniem powinny być przeznaczane Fundusze Europejskie w Polsce? (N=511)</w:t>
        </w:r>
        <w:r w:rsidRPr="009228E0">
          <w:rPr>
            <w:rFonts w:ascii="Arial" w:hAnsi="Arial" w:cs="Arial"/>
            <w:noProof/>
            <w:webHidden/>
            <w:sz w:val="24"/>
            <w:szCs w:val="24"/>
          </w:rPr>
          <w:tab/>
        </w:r>
        <w:r w:rsidRPr="009228E0">
          <w:rPr>
            <w:rFonts w:ascii="Arial" w:hAnsi="Arial" w:cs="Arial"/>
            <w:noProof/>
            <w:webHidden/>
            <w:sz w:val="24"/>
            <w:szCs w:val="24"/>
          </w:rPr>
          <w:fldChar w:fldCharType="begin"/>
        </w:r>
        <w:r w:rsidRPr="009228E0">
          <w:rPr>
            <w:rFonts w:ascii="Arial" w:hAnsi="Arial" w:cs="Arial"/>
            <w:noProof/>
            <w:webHidden/>
            <w:sz w:val="24"/>
            <w:szCs w:val="24"/>
          </w:rPr>
          <w:instrText xml:space="preserve"> PAGEREF _Toc219369244 \h </w:instrText>
        </w:r>
        <w:r w:rsidRPr="009228E0">
          <w:rPr>
            <w:rFonts w:ascii="Arial" w:hAnsi="Arial" w:cs="Arial"/>
            <w:noProof/>
            <w:webHidden/>
            <w:sz w:val="24"/>
            <w:szCs w:val="24"/>
          </w:rPr>
        </w:r>
        <w:r w:rsidRPr="009228E0">
          <w:rPr>
            <w:rFonts w:ascii="Arial" w:hAnsi="Arial" w:cs="Arial"/>
            <w:noProof/>
            <w:webHidden/>
            <w:sz w:val="24"/>
            <w:szCs w:val="24"/>
          </w:rPr>
          <w:fldChar w:fldCharType="separate"/>
        </w:r>
        <w:r w:rsidR="000F26BD">
          <w:rPr>
            <w:rFonts w:ascii="Arial" w:hAnsi="Arial" w:cs="Arial"/>
            <w:noProof/>
            <w:webHidden/>
            <w:sz w:val="24"/>
            <w:szCs w:val="24"/>
          </w:rPr>
          <w:t>47</w:t>
        </w:r>
        <w:r w:rsidRPr="009228E0">
          <w:rPr>
            <w:rFonts w:ascii="Arial" w:hAnsi="Arial" w:cs="Arial"/>
            <w:noProof/>
            <w:webHidden/>
            <w:sz w:val="24"/>
            <w:szCs w:val="24"/>
          </w:rPr>
          <w:fldChar w:fldCharType="end"/>
        </w:r>
      </w:hyperlink>
    </w:p>
    <w:p w14:paraId="753F2477" w14:textId="6C332C8F" w:rsidR="009228E0" w:rsidRPr="009228E0" w:rsidRDefault="009228E0" w:rsidP="009228E0">
      <w:pPr>
        <w:pStyle w:val="Spisilustracji"/>
        <w:tabs>
          <w:tab w:val="right" w:leader="dot" w:pos="9060"/>
        </w:tabs>
        <w:spacing w:line="360" w:lineRule="auto"/>
        <w:jc w:val="both"/>
        <w:rPr>
          <w:rFonts w:ascii="Arial" w:eastAsiaTheme="minorEastAsia" w:hAnsi="Arial" w:cs="Arial"/>
          <w:noProof/>
          <w:kern w:val="0"/>
          <w:sz w:val="24"/>
          <w:szCs w:val="24"/>
          <w:lang w:eastAsia="pl-PL"/>
          <w14:ligatures w14:val="none"/>
        </w:rPr>
      </w:pPr>
      <w:hyperlink w:anchor="_Toc219369245" w:history="1">
        <w:r w:rsidRPr="009228E0">
          <w:rPr>
            <w:rStyle w:val="Hipercze"/>
            <w:rFonts w:ascii="Arial" w:hAnsi="Arial" w:cs="Arial"/>
            <w:noProof/>
            <w:sz w:val="24"/>
            <w:szCs w:val="24"/>
          </w:rPr>
          <w:t>Wykres 19. P16. Czy Pana(i) zdaniem może Pan(i) ubiegać się o środki z Funduszy Europejskich?- w latach 2018–2025.</w:t>
        </w:r>
        <w:r w:rsidRPr="009228E0">
          <w:rPr>
            <w:rFonts w:ascii="Arial" w:hAnsi="Arial" w:cs="Arial"/>
            <w:noProof/>
            <w:webHidden/>
            <w:sz w:val="24"/>
            <w:szCs w:val="24"/>
          </w:rPr>
          <w:tab/>
        </w:r>
        <w:r w:rsidRPr="009228E0">
          <w:rPr>
            <w:rFonts w:ascii="Arial" w:hAnsi="Arial" w:cs="Arial"/>
            <w:noProof/>
            <w:webHidden/>
            <w:sz w:val="24"/>
            <w:szCs w:val="24"/>
          </w:rPr>
          <w:fldChar w:fldCharType="begin"/>
        </w:r>
        <w:r w:rsidRPr="009228E0">
          <w:rPr>
            <w:rFonts w:ascii="Arial" w:hAnsi="Arial" w:cs="Arial"/>
            <w:noProof/>
            <w:webHidden/>
            <w:sz w:val="24"/>
            <w:szCs w:val="24"/>
          </w:rPr>
          <w:instrText xml:space="preserve"> PAGEREF _Toc219369245 \h </w:instrText>
        </w:r>
        <w:r w:rsidRPr="009228E0">
          <w:rPr>
            <w:rFonts w:ascii="Arial" w:hAnsi="Arial" w:cs="Arial"/>
            <w:noProof/>
            <w:webHidden/>
            <w:sz w:val="24"/>
            <w:szCs w:val="24"/>
          </w:rPr>
        </w:r>
        <w:r w:rsidRPr="009228E0">
          <w:rPr>
            <w:rFonts w:ascii="Arial" w:hAnsi="Arial" w:cs="Arial"/>
            <w:noProof/>
            <w:webHidden/>
            <w:sz w:val="24"/>
            <w:szCs w:val="24"/>
          </w:rPr>
          <w:fldChar w:fldCharType="separate"/>
        </w:r>
        <w:r w:rsidR="000F26BD">
          <w:rPr>
            <w:rFonts w:ascii="Arial" w:hAnsi="Arial" w:cs="Arial"/>
            <w:noProof/>
            <w:webHidden/>
            <w:sz w:val="24"/>
            <w:szCs w:val="24"/>
          </w:rPr>
          <w:t>50</w:t>
        </w:r>
        <w:r w:rsidRPr="009228E0">
          <w:rPr>
            <w:rFonts w:ascii="Arial" w:hAnsi="Arial" w:cs="Arial"/>
            <w:noProof/>
            <w:webHidden/>
            <w:sz w:val="24"/>
            <w:szCs w:val="24"/>
          </w:rPr>
          <w:fldChar w:fldCharType="end"/>
        </w:r>
      </w:hyperlink>
    </w:p>
    <w:p w14:paraId="1266CCD0" w14:textId="33677AB9" w:rsidR="009228E0" w:rsidRPr="009228E0" w:rsidRDefault="009228E0" w:rsidP="009228E0">
      <w:pPr>
        <w:pStyle w:val="Spisilustracji"/>
        <w:tabs>
          <w:tab w:val="right" w:leader="dot" w:pos="9060"/>
        </w:tabs>
        <w:spacing w:line="360" w:lineRule="auto"/>
        <w:jc w:val="both"/>
        <w:rPr>
          <w:rFonts w:ascii="Arial" w:eastAsiaTheme="minorEastAsia" w:hAnsi="Arial" w:cs="Arial"/>
          <w:noProof/>
          <w:kern w:val="0"/>
          <w:sz w:val="24"/>
          <w:szCs w:val="24"/>
          <w:lang w:eastAsia="pl-PL"/>
          <w14:ligatures w14:val="none"/>
        </w:rPr>
      </w:pPr>
      <w:hyperlink w:anchor="_Toc219369246" w:history="1">
        <w:r w:rsidRPr="009228E0">
          <w:rPr>
            <w:rStyle w:val="Hipercze"/>
            <w:rFonts w:ascii="Arial" w:hAnsi="Arial" w:cs="Arial"/>
            <w:noProof/>
            <w:sz w:val="24"/>
            <w:szCs w:val="24"/>
          </w:rPr>
          <w:t>Wykres 20. P28 Odsetek Polaków potrafiących wskazać co najmniej trzy przykładowe grupy potencjalnych beneficjentów Funduszy Europejskich (porównanie między latami)</w:t>
        </w:r>
        <w:r w:rsidRPr="009228E0">
          <w:rPr>
            <w:rFonts w:ascii="Arial" w:hAnsi="Arial" w:cs="Arial"/>
            <w:noProof/>
            <w:webHidden/>
            <w:sz w:val="24"/>
            <w:szCs w:val="24"/>
          </w:rPr>
          <w:tab/>
        </w:r>
        <w:r w:rsidRPr="009228E0">
          <w:rPr>
            <w:rFonts w:ascii="Arial" w:hAnsi="Arial" w:cs="Arial"/>
            <w:noProof/>
            <w:webHidden/>
            <w:sz w:val="24"/>
            <w:szCs w:val="24"/>
          </w:rPr>
          <w:fldChar w:fldCharType="begin"/>
        </w:r>
        <w:r w:rsidRPr="009228E0">
          <w:rPr>
            <w:rFonts w:ascii="Arial" w:hAnsi="Arial" w:cs="Arial"/>
            <w:noProof/>
            <w:webHidden/>
            <w:sz w:val="24"/>
            <w:szCs w:val="24"/>
          </w:rPr>
          <w:instrText xml:space="preserve"> PAGEREF _Toc219369246 \h </w:instrText>
        </w:r>
        <w:r w:rsidRPr="009228E0">
          <w:rPr>
            <w:rFonts w:ascii="Arial" w:hAnsi="Arial" w:cs="Arial"/>
            <w:noProof/>
            <w:webHidden/>
            <w:sz w:val="24"/>
            <w:szCs w:val="24"/>
          </w:rPr>
        </w:r>
        <w:r w:rsidRPr="009228E0">
          <w:rPr>
            <w:rFonts w:ascii="Arial" w:hAnsi="Arial" w:cs="Arial"/>
            <w:noProof/>
            <w:webHidden/>
            <w:sz w:val="24"/>
            <w:szCs w:val="24"/>
          </w:rPr>
          <w:fldChar w:fldCharType="separate"/>
        </w:r>
        <w:r w:rsidR="000F26BD">
          <w:rPr>
            <w:rFonts w:ascii="Arial" w:hAnsi="Arial" w:cs="Arial"/>
            <w:noProof/>
            <w:webHidden/>
            <w:sz w:val="24"/>
            <w:szCs w:val="24"/>
          </w:rPr>
          <w:t>51</w:t>
        </w:r>
        <w:r w:rsidRPr="009228E0">
          <w:rPr>
            <w:rFonts w:ascii="Arial" w:hAnsi="Arial" w:cs="Arial"/>
            <w:noProof/>
            <w:webHidden/>
            <w:sz w:val="24"/>
            <w:szCs w:val="24"/>
          </w:rPr>
          <w:fldChar w:fldCharType="end"/>
        </w:r>
      </w:hyperlink>
    </w:p>
    <w:p w14:paraId="0CCC0A7A" w14:textId="3EB3D31E" w:rsidR="009228E0" w:rsidRPr="009228E0" w:rsidRDefault="009228E0" w:rsidP="009228E0">
      <w:pPr>
        <w:pStyle w:val="Spisilustracji"/>
        <w:tabs>
          <w:tab w:val="right" w:leader="dot" w:pos="9060"/>
        </w:tabs>
        <w:spacing w:line="360" w:lineRule="auto"/>
        <w:jc w:val="both"/>
        <w:rPr>
          <w:rFonts w:ascii="Arial" w:eastAsiaTheme="minorEastAsia" w:hAnsi="Arial" w:cs="Arial"/>
          <w:noProof/>
          <w:kern w:val="0"/>
          <w:sz w:val="24"/>
          <w:szCs w:val="24"/>
          <w:lang w:eastAsia="pl-PL"/>
          <w14:ligatures w14:val="none"/>
        </w:rPr>
      </w:pPr>
      <w:hyperlink w:anchor="_Toc219369247" w:history="1">
        <w:r w:rsidRPr="009228E0">
          <w:rPr>
            <w:rStyle w:val="Hipercze"/>
            <w:rFonts w:ascii="Arial" w:hAnsi="Arial" w:cs="Arial"/>
            <w:noProof/>
            <w:sz w:val="24"/>
            <w:szCs w:val="24"/>
          </w:rPr>
          <w:t>Wykres 21. P28. Jakie grupy osób lub podmiotów mogą ubiegać się o dotację z Funduszy Europejskich? (N=955)</w:t>
        </w:r>
        <w:r w:rsidRPr="009228E0">
          <w:rPr>
            <w:rFonts w:ascii="Arial" w:hAnsi="Arial" w:cs="Arial"/>
            <w:noProof/>
            <w:webHidden/>
            <w:sz w:val="24"/>
            <w:szCs w:val="24"/>
          </w:rPr>
          <w:tab/>
        </w:r>
        <w:r w:rsidRPr="009228E0">
          <w:rPr>
            <w:rFonts w:ascii="Arial" w:hAnsi="Arial" w:cs="Arial"/>
            <w:noProof/>
            <w:webHidden/>
            <w:sz w:val="24"/>
            <w:szCs w:val="24"/>
          </w:rPr>
          <w:fldChar w:fldCharType="begin"/>
        </w:r>
        <w:r w:rsidRPr="009228E0">
          <w:rPr>
            <w:rFonts w:ascii="Arial" w:hAnsi="Arial" w:cs="Arial"/>
            <w:noProof/>
            <w:webHidden/>
            <w:sz w:val="24"/>
            <w:szCs w:val="24"/>
          </w:rPr>
          <w:instrText xml:space="preserve"> PAGEREF _Toc219369247 \h </w:instrText>
        </w:r>
        <w:r w:rsidRPr="009228E0">
          <w:rPr>
            <w:rFonts w:ascii="Arial" w:hAnsi="Arial" w:cs="Arial"/>
            <w:noProof/>
            <w:webHidden/>
            <w:sz w:val="24"/>
            <w:szCs w:val="24"/>
          </w:rPr>
        </w:r>
        <w:r w:rsidRPr="009228E0">
          <w:rPr>
            <w:rFonts w:ascii="Arial" w:hAnsi="Arial" w:cs="Arial"/>
            <w:noProof/>
            <w:webHidden/>
            <w:sz w:val="24"/>
            <w:szCs w:val="24"/>
          </w:rPr>
          <w:fldChar w:fldCharType="separate"/>
        </w:r>
        <w:r w:rsidR="000F26BD">
          <w:rPr>
            <w:rFonts w:ascii="Arial" w:hAnsi="Arial" w:cs="Arial"/>
            <w:noProof/>
            <w:webHidden/>
            <w:sz w:val="24"/>
            <w:szCs w:val="24"/>
          </w:rPr>
          <w:t>52</w:t>
        </w:r>
        <w:r w:rsidRPr="009228E0">
          <w:rPr>
            <w:rFonts w:ascii="Arial" w:hAnsi="Arial" w:cs="Arial"/>
            <w:noProof/>
            <w:webHidden/>
            <w:sz w:val="24"/>
            <w:szCs w:val="24"/>
          </w:rPr>
          <w:fldChar w:fldCharType="end"/>
        </w:r>
      </w:hyperlink>
    </w:p>
    <w:p w14:paraId="0ABAA5AB" w14:textId="2D2F375E" w:rsidR="009228E0" w:rsidRPr="009228E0" w:rsidRDefault="009228E0" w:rsidP="009228E0">
      <w:pPr>
        <w:pStyle w:val="Spisilustracji"/>
        <w:tabs>
          <w:tab w:val="right" w:leader="dot" w:pos="9060"/>
        </w:tabs>
        <w:spacing w:line="360" w:lineRule="auto"/>
        <w:jc w:val="both"/>
        <w:rPr>
          <w:rFonts w:ascii="Arial" w:eastAsiaTheme="minorEastAsia" w:hAnsi="Arial" w:cs="Arial"/>
          <w:noProof/>
          <w:kern w:val="0"/>
          <w:sz w:val="24"/>
          <w:szCs w:val="24"/>
          <w:lang w:eastAsia="pl-PL"/>
          <w14:ligatures w14:val="none"/>
        </w:rPr>
      </w:pPr>
      <w:hyperlink w:anchor="_Toc219369248" w:history="1">
        <w:r w:rsidRPr="009228E0">
          <w:rPr>
            <w:rStyle w:val="Hipercze"/>
            <w:rFonts w:ascii="Arial" w:hAnsi="Arial" w:cs="Arial"/>
            <w:noProof/>
            <w:sz w:val="24"/>
            <w:szCs w:val="24"/>
          </w:rPr>
          <w:t>Wykres 22. P9. Jak Pan(i) sądzi, czy Fundusze Europejskie przyczyniają się do rozwoju Polski? (suma odpowiedzi zdecydowanie tak i raczej tak) – porównanie w latach 2015-2025</w:t>
        </w:r>
        <w:r w:rsidRPr="009228E0">
          <w:rPr>
            <w:rFonts w:ascii="Arial" w:hAnsi="Arial" w:cs="Arial"/>
            <w:noProof/>
            <w:webHidden/>
            <w:sz w:val="24"/>
            <w:szCs w:val="24"/>
          </w:rPr>
          <w:tab/>
        </w:r>
        <w:r w:rsidRPr="009228E0">
          <w:rPr>
            <w:rFonts w:ascii="Arial" w:hAnsi="Arial" w:cs="Arial"/>
            <w:noProof/>
            <w:webHidden/>
            <w:sz w:val="24"/>
            <w:szCs w:val="24"/>
          </w:rPr>
          <w:fldChar w:fldCharType="begin"/>
        </w:r>
        <w:r w:rsidRPr="009228E0">
          <w:rPr>
            <w:rFonts w:ascii="Arial" w:hAnsi="Arial" w:cs="Arial"/>
            <w:noProof/>
            <w:webHidden/>
            <w:sz w:val="24"/>
            <w:szCs w:val="24"/>
          </w:rPr>
          <w:instrText xml:space="preserve"> PAGEREF _Toc219369248 \h </w:instrText>
        </w:r>
        <w:r w:rsidRPr="009228E0">
          <w:rPr>
            <w:rFonts w:ascii="Arial" w:hAnsi="Arial" w:cs="Arial"/>
            <w:noProof/>
            <w:webHidden/>
            <w:sz w:val="24"/>
            <w:szCs w:val="24"/>
          </w:rPr>
        </w:r>
        <w:r w:rsidRPr="009228E0">
          <w:rPr>
            <w:rFonts w:ascii="Arial" w:hAnsi="Arial" w:cs="Arial"/>
            <w:noProof/>
            <w:webHidden/>
            <w:sz w:val="24"/>
            <w:szCs w:val="24"/>
          </w:rPr>
          <w:fldChar w:fldCharType="separate"/>
        </w:r>
        <w:r w:rsidR="000F26BD">
          <w:rPr>
            <w:rFonts w:ascii="Arial" w:hAnsi="Arial" w:cs="Arial"/>
            <w:noProof/>
            <w:webHidden/>
            <w:sz w:val="24"/>
            <w:szCs w:val="24"/>
          </w:rPr>
          <w:t>53</w:t>
        </w:r>
        <w:r w:rsidRPr="009228E0">
          <w:rPr>
            <w:rFonts w:ascii="Arial" w:hAnsi="Arial" w:cs="Arial"/>
            <w:noProof/>
            <w:webHidden/>
            <w:sz w:val="24"/>
            <w:szCs w:val="24"/>
          </w:rPr>
          <w:fldChar w:fldCharType="end"/>
        </w:r>
      </w:hyperlink>
    </w:p>
    <w:p w14:paraId="35723F34" w14:textId="04E409D2" w:rsidR="009228E0" w:rsidRPr="009228E0" w:rsidRDefault="009228E0" w:rsidP="009228E0">
      <w:pPr>
        <w:pStyle w:val="Spisilustracji"/>
        <w:tabs>
          <w:tab w:val="right" w:leader="dot" w:pos="9060"/>
        </w:tabs>
        <w:spacing w:line="360" w:lineRule="auto"/>
        <w:jc w:val="both"/>
        <w:rPr>
          <w:rFonts w:ascii="Arial" w:eastAsiaTheme="minorEastAsia" w:hAnsi="Arial" w:cs="Arial"/>
          <w:noProof/>
          <w:kern w:val="0"/>
          <w:sz w:val="24"/>
          <w:szCs w:val="24"/>
          <w:lang w:eastAsia="pl-PL"/>
          <w14:ligatures w14:val="none"/>
        </w:rPr>
      </w:pPr>
      <w:hyperlink w:anchor="_Toc219369249" w:history="1">
        <w:r w:rsidRPr="009228E0">
          <w:rPr>
            <w:rStyle w:val="Hipercze"/>
            <w:rFonts w:ascii="Arial" w:hAnsi="Arial" w:cs="Arial"/>
            <w:noProof/>
            <w:sz w:val="24"/>
            <w:szCs w:val="24"/>
          </w:rPr>
          <w:t>Wykres 23. P9. Jak Pan(i) sądzi, czy Fundusze Europejskie przyczyniają się do rozwoju Polski?– wyniki według grup społeczno-demograficznych (N=955)</w:t>
        </w:r>
        <w:r w:rsidRPr="009228E0">
          <w:rPr>
            <w:rFonts w:ascii="Arial" w:hAnsi="Arial" w:cs="Arial"/>
            <w:noProof/>
            <w:webHidden/>
            <w:sz w:val="24"/>
            <w:szCs w:val="24"/>
          </w:rPr>
          <w:tab/>
        </w:r>
        <w:r w:rsidRPr="009228E0">
          <w:rPr>
            <w:rFonts w:ascii="Arial" w:hAnsi="Arial" w:cs="Arial"/>
            <w:noProof/>
            <w:webHidden/>
            <w:sz w:val="24"/>
            <w:szCs w:val="24"/>
          </w:rPr>
          <w:fldChar w:fldCharType="begin"/>
        </w:r>
        <w:r w:rsidRPr="009228E0">
          <w:rPr>
            <w:rFonts w:ascii="Arial" w:hAnsi="Arial" w:cs="Arial"/>
            <w:noProof/>
            <w:webHidden/>
            <w:sz w:val="24"/>
            <w:szCs w:val="24"/>
          </w:rPr>
          <w:instrText xml:space="preserve"> PAGEREF _Toc219369249 \h </w:instrText>
        </w:r>
        <w:r w:rsidRPr="009228E0">
          <w:rPr>
            <w:rFonts w:ascii="Arial" w:hAnsi="Arial" w:cs="Arial"/>
            <w:noProof/>
            <w:webHidden/>
            <w:sz w:val="24"/>
            <w:szCs w:val="24"/>
          </w:rPr>
        </w:r>
        <w:r w:rsidRPr="009228E0">
          <w:rPr>
            <w:rFonts w:ascii="Arial" w:hAnsi="Arial" w:cs="Arial"/>
            <w:noProof/>
            <w:webHidden/>
            <w:sz w:val="24"/>
            <w:szCs w:val="24"/>
          </w:rPr>
          <w:fldChar w:fldCharType="separate"/>
        </w:r>
        <w:r w:rsidR="000F26BD">
          <w:rPr>
            <w:rFonts w:ascii="Arial" w:hAnsi="Arial" w:cs="Arial"/>
            <w:noProof/>
            <w:webHidden/>
            <w:sz w:val="24"/>
            <w:szCs w:val="24"/>
          </w:rPr>
          <w:t>54</w:t>
        </w:r>
        <w:r w:rsidRPr="009228E0">
          <w:rPr>
            <w:rFonts w:ascii="Arial" w:hAnsi="Arial" w:cs="Arial"/>
            <w:noProof/>
            <w:webHidden/>
            <w:sz w:val="24"/>
            <w:szCs w:val="24"/>
          </w:rPr>
          <w:fldChar w:fldCharType="end"/>
        </w:r>
      </w:hyperlink>
    </w:p>
    <w:p w14:paraId="7AEF7C90" w14:textId="739CCE46" w:rsidR="009228E0" w:rsidRPr="009228E0" w:rsidRDefault="009228E0" w:rsidP="009228E0">
      <w:pPr>
        <w:pStyle w:val="Spisilustracji"/>
        <w:tabs>
          <w:tab w:val="right" w:leader="dot" w:pos="9060"/>
        </w:tabs>
        <w:spacing w:line="360" w:lineRule="auto"/>
        <w:jc w:val="both"/>
        <w:rPr>
          <w:rFonts w:ascii="Arial" w:eastAsiaTheme="minorEastAsia" w:hAnsi="Arial" w:cs="Arial"/>
          <w:noProof/>
          <w:kern w:val="0"/>
          <w:sz w:val="24"/>
          <w:szCs w:val="24"/>
          <w:lang w:eastAsia="pl-PL"/>
          <w14:ligatures w14:val="none"/>
        </w:rPr>
      </w:pPr>
      <w:hyperlink w:anchor="_Toc219369250" w:history="1">
        <w:r w:rsidRPr="009228E0">
          <w:rPr>
            <w:rStyle w:val="Hipercze"/>
            <w:rFonts w:ascii="Arial" w:hAnsi="Arial" w:cs="Arial"/>
            <w:noProof/>
            <w:sz w:val="24"/>
            <w:szCs w:val="24"/>
          </w:rPr>
          <w:t>Wykres 24. P11N. Czy uważa Pan(i), że Fundusze Europejskie są niezbędne do dalszego rozwoju Polski?– według cech demograficznych oraz ogółem</w:t>
        </w:r>
        <w:r w:rsidRPr="009228E0">
          <w:rPr>
            <w:rFonts w:ascii="Arial" w:hAnsi="Arial" w:cs="Arial"/>
            <w:noProof/>
            <w:webHidden/>
            <w:sz w:val="24"/>
            <w:szCs w:val="24"/>
          </w:rPr>
          <w:tab/>
        </w:r>
        <w:r w:rsidRPr="009228E0">
          <w:rPr>
            <w:rFonts w:ascii="Arial" w:hAnsi="Arial" w:cs="Arial"/>
            <w:noProof/>
            <w:webHidden/>
            <w:sz w:val="24"/>
            <w:szCs w:val="24"/>
          </w:rPr>
          <w:fldChar w:fldCharType="begin"/>
        </w:r>
        <w:r w:rsidRPr="009228E0">
          <w:rPr>
            <w:rFonts w:ascii="Arial" w:hAnsi="Arial" w:cs="Arial"/>
            <w:noProof/>
            <w:webHidden/>
            <w:sz w:val="24"/>
            <w:szCs w:val="24"/>
          </w:rPr>
          <w:instrText xml:space="preserve"> PAGEREF _Toc219369250 \h </w:instrText>
        </w:r>
        <w:r w:rsidRPr="009228E0">
          <w:rPr>
            <w:rFonts w:ascii="Arial" w:hAnsi="Arial" w:cs="Arial"/>
            <w:noProof/>
            <w:webHidden/>
            <w:sz w:val="24"/>
            <w:szCs w:val="24"/>
          </w:rPr>
        </w:r>
        <w:r w:rsidRPr="009228E0">
          <w:rPr>
            <w:rFonts w:ascii="Arial" w:hAnsi="Arial" w:cs="Arial"/>
            <w:noProof/>
            <w:webHidden/>
            <w:sz w:val="24"/>
            <w:szCs w:val="24"/>
          </w:rPr>
          <w:fldChar w:fldCharType="separate"/>
        </w:r>
        <w:r w:rsidR="000F26BD">
          <w:rPr>
            <w:rFonts w:ascii="Arial" w:hAnsi="Arial" w:cs="Arial"/>
            <w:noProof/>
            <w:webHidden/>
            <w:sz w:val="24"/>
            <w:szCs w:val="24"/>
          </w:rPr>
          <w:t>56</w:t>
        </w:r>
        <w:r w:rsidRPr="009228E0">
          <w:rPr>
            <w:rFonts w:ascii="Arial" w:hAnsi="Arial" w:cs="Arial"/>
            <w:noProof/>
            <w:webHidden/>
            <w:sz w:val="24"/>
            <w:szCs w:val="24"/>
          </w:rPr>
          <w:fldChar w:fldCharType="end"/>
        </w:r>
      </w:hyperlink>
    </w:p>
    <w:p w14:paraId="508A95E0" w14:textId="29004140" w:rsidR="009228E0" w:rsidRPr="009228E0" w:rsidRDefault="009228E0" w:rsidP="009228E0">
      <w:pPr>
        <w:pStyle w:val="Spisilustracji"/>
        <w:tabs>
          <w:tab w:val="right" w:leader="dot" w:pos="9060"/>
        </w:tabs>
        <w:spacing w:line="360" w:lineRule="auto"/>
        <w:jc w:val="both"/>
        <w:rPr>
          <w:rFonts w:ascii="Arial" w:eastAsiaTheme="minorEastAsia" w:hAnsi="Arial" w:cs="Arial"/>
          <w:noProof/>
          <w:kern w:val="0"/>
          <w:sz w:val="24"/>
          <w:szCs w:val="24"/>
          <w:lang w:eastAsia="pl-PL"/>
          <w14:ligatures w14:val="none"/>
        </w:rPr>
      </w:pPr>
      <w:hyperlink w:anchor="_Toc219369251" w:history="1">
        <w:r w:rsidRPr="009228E0">
          <w:rPr>
            <w:rStyle w:val="Hipercze"/>
            <w:rFonts w:ascii="Arial" w:hAnsi="Arial" w:cs="Arial"/>
            <w:noProof/>
            <w:sz w:val="24"/>
            <w:szCs w:val="24"/>
          </w:rPr>
          <w:t>Wykres 25. P8. Kto, jakie grupy społeczne Pana(i) zdaniem najbardziej zyskały dzięki Funduszom Europejskim? (odpowiedzi spontaniczne) (N=680)</w:t>
        </w:r>
        <w:r w:rsidRPr="009228E0">
          <w:rPr>
            <w:rFonts w:ascii="Arial" w:hAnsi="Arial" w:cs="Arial"/>
            <w:noProof/>
            <w:webHidden/>
            <w:sz w:val="24"/>
            <w:szCs w:val="24"/>
          </w:rPr>
          <w:tab/>
        </w:r>
        <w:r w:rsidRPr="009228E0">
          <w:rPr>
            <w:rFonts w:ascii="Arial" w:hAnsi="Arial" w:cs="Arial"/>
            <w:noProof/>
            <w:webHidden/>
            <w:sz w:val="24"/>
            <w:szCs w:val="24"/>
          </w:rPr>
          <w:fldChar w:fldCharType="begin"/>
        </w:r>
        <w:r w:rsidRPr="009228E0">
          <w:rPr>
            <w:rFonts w:ascii="Arial" w:hAnsi="Arial" w:cs="Arial"/>
            <w:noProof/>
            <w:webHidden/>
            <w:sz w:val="24"/>
            <w:szCs w:val="24"/>
          </w:rPr>
          <w:instrText xml:space="preserve"> PAGEREF _Toc219369251 \h </w:instrText>
        </w:r>
        <w:r w:rsidRPr="009228E0">
          <w:rPr>
            <w:rFonts w:ascii="Arial" w:hAnsi="Arial" w:cs="Arial"/>
            <w:noProof/>
            <w:webHidden/>
            <w:sz w:val="24"/>
            <w:szCs w:val="24"/>
          </w:rPr>
        </w:r>
        <w:r w:rsidRPr="009228E0">
          <w:rPr>
            <w:rFonts w:ascii="Arial" w:hAnsi="Arial" w:cs="Arial"/>
            <w:noProof/>
            <w:webHidden/>
            <w:sz w:val="24"/>
            <w:szCs w:val="24"/>
          </w:rPr>
          <w:fldChar w:fldCharType="separate"/>
        </w:r>
        <w:r w:rsidR="000F26BD">
          <w:rPr>
            <w:rFonts w:ascii="Arial" w:hAnsi="Arial" w:cs="Arial"/>
            <w:noProof/>
            <w:webHidden/>
            <w:sz w:val="24"/>
            <w:szCs w:val="24"/>
          </w:rPr>
          <w:t>57</w:t>
        </w:r>
        <w:r w:rsidRPr="009228E0">
          <w:rPr>
            <w:rFonts w:ascii="Arial" w:hAnsi="Arial" w:cs="Arial"/>
            <w:noProof/>
            <w:webHidden/>
            <w:sz w:val="24"/>
            <w:szCs w:val="24"/>
          </w:rPr>
          <w:fldChar w:fldCharType="end"/>
        </w:r>
      </w:hyperlink>
    </w:p>
    <w:p w14:paraId="6FA48C10" w14:textId="786F5475" w:rsidR="009228E0" w:rsidRPr="009228E0" w:rsidRDefault="009228E0" w:rsidP="009228E0">
      <w:pPr>
        <w:pStyle w:val="Spisilustracji"/>
        <w:tabs>
          <w:tab w:val="right" w:leader="dot" w:pos="9060"/>
        </w:tabs>
        <w:spacing w:line="360" w:lineRule="auto"/>
        <w:jc w:val="both"/>
        <w:rPr>
          <w:rFonts w:ascii="Arial" w:eastAsiaTheme="minorEastAsia" w:hAnsi="Arial" w:cs="Arial"/>
          <w:noProof/>
          <w:kern w:val="0"/>
          <w:sz w:val="24"/>
          <w:szCs w:val="24"/>
          <w:lang w:eastAsia="pl-PL"/>
          <w14:ligatures w14:val="none"/>
        </w:rPr>
      </w:pPr>
      <w:hyperlink w:anchor="_Toc219369252" w:history="1">
        <w:r w:rsidRPr="009228E0">
          <w:rPr>
            <w:rStyle w:val="Hipercze"/>
            <w:rFonts w:ascii="Arial" w:hAnsi="Arial" w:cs="Arial"/>
            <w:noProof/>
            <w:sz w:val="24"/>
            <w:szCs w:val="24"/>
          </w:rPr>
          <w:t>Wykres 26. P33. Czy generalnie według Pana(i) Fundusze Europejskie są w Polsce dobrze wykorzystywane? - w latach 2016–2025</w:t>
        </w:r>
        <w:r w:rsidRPr="009228E0">
          <w:rPr>
            <w:rFonts w:ascii="Arial" w:hAnsi="Arial" w:cs="Arial"/>
            <w:noProof/>
            <w:webHidden/>
            <w:sz w:val="24"/>
            <w:szCs w:val="24"/>
          </w:rPr>
          <w:tab/>
        </w:r>
        <w:r w:rsidRPr="009228E0">
          <w:rPr>
            <w:rFonts w:ascii="Arial" w:hAnsi="Arial" w:cs="Arial"/>
            <w:noProof/>
            <w:webHidden/>
            <w:sz w:val="24"/>
            <w:szCs w:val="24"/>
          </w:rPr>
          <w:fldChar w:fldCharType="begin"/>
        </w:r>
        <w:r w:rsidRPr="009228E0">
          <w:rPr>
            <w:rFonts w:ascii="Arial" w:hAnsi="Arial" w:cs="Arial"/>
            <w:noProof/>
            <w:webHidden/>
            <w:sz w:val="24"/>
            <w:szCs w:val="24"/>
          </w:rPr>
          <w:instrText xml:space="preserve"> PAGEREF _Toc219369252 \h </w:instrText>
        </w:r>
        <w:r w:rsidRPr="009228E0">
          <w:rPr>
            <w:rFonts w:ascii="Arial" w:hAnsi="Arial" w:cs="Arial"/>
            <w:noProof/>
            <w:webHidden/>
            <w:sz w:val="24"/>
            <w:szCs w:val="24"/>
          </w:rPr>
        </w:r>
        <w:r w:rsidRPr="009228E0">
          <w:rPr>
            <w:rFonts w:ascii="Arial" w:hAnsi="Arial" w:cs="Arial"/>
            <w:noProof/>
            <w:webHidden/>
            <w:sz w:val="24"/>
            <w:szCs w:val="24"/>
          </w:rPr>
          <w:fldChar w:fldCharType="separate"/>
        </w:r>
        <w:r w:rsidR="000F26BD">
          <w:rPr>
            <w:rFonts w:ascii="Arial" w:hAnsi="Arial" w:cs="Arial"/>
            <w:noProof/>
            <w:webHidden/>
            <w:sz w:val="24"/>
            <w:szCs w:val="24"/>
          </w:rPr>
          <w:t>59</w:t>
        </w:r>
        <w:r w:rsidRPr="009228E0">
          <w:rPr>
            <w:rFonts w:ascii="Arial" w:hAnsi="Arial" w:cs="Arial"/>
            <w:noProof/>
            <w:webHidden/>
            <w:sz w:val="24"/>
            <w:szCs w:val="24"/>
          </w:rPr>
          <w:fldChar w:fldCharType="end"/>
        </w:r>
      </w:hyperlink>
    </w:p>
    <w:p w14:paraId="169E2BEA" w14:textId="0C854157" w:rsidR="009228E0" w:rsidRPr="009228E0" w:rsidRDefault="009228E0" w:rsidP="009228E0">
      <w:pPr>
        <w:pStyle w:val="Spisilustracji"/>
        <w:tabs>
          <w:tab w:val="right" w:leader="dot" w:pos="9060"/>
        </w:tabs>
        <w:spacing w:line="360" w:lineRule="auto"/>
        <w:jc w:val="both"/>
        <w:rPr>
          <w:rFonts w:ascii="Arial" w:eastAsiaTheme="minorEastAsia" w:hAnsi="Arial" w:cs="Arial"/>
          <w:noProof/>
          <w:kern w:val="0"/>
          <w:sz w:val="24"/>
          <w:szCs w:val="24"/>
          <w:lang w:eastAsia="pl-PL"/>
          <w14:ligatures w14:val="none"/>
        </w:rPr>
      </w:pPr>
      <w:hyperlink w:anchor="_Toc219369253" w:history="1">
        <w:r w:rsidRPr="009228E0">
          <w:rPr>
            <w:rStyle w:val="Hipercze"/>
            <w:rFonts w:ascii="Arial" w:hAnsi="Arial" w:cs="Arial"/>
            <w:noProof/>
            <w:sz w:val="24"/>
            <w:szCs w:val="24"/>
          </w:rPr>
          <w:t>Wykres 27. P12. Jak Pan(i) sądzi, czy dzięki Funduszom Europejskim jakość życia Polaków poprawia się? - w latach 2014–2025</w:t>
        </w:r>
        <w:r w:rsidRPr="009228E0">
          <w:rPr>
            <w:rFonts w:ascii="Arial" w:hAnsi="Arial" w:cs="Arial"/>
            <w:noProof/>
            <w:webHidden/>
            <w:sz w:val="24"/>
            <w:szCs w:val="24"/>
          </w:rPr>
          <w:tab/>
        </w:r>
        <w:r w:rsidRPr="009228E0">
          <w:rPr>
            <w:rFonts w:ascii="Arial" w:hAnsi="Arial" w:cs="Arial"/>
            <w:noProof/>
            <w:webHidden/>
            <w:sz w:val="24"/>
            <w:szCs w:val="24"/>
          </w:rPr>
          <w:fldChar w:fldCharType="begin"/>
        </w:r>
        <w:r w:rsidRPr="009228E0">
          <w:rPr>
            <w:rFonts w:ascii="Arial" w:hAnsi="Arial" w:cs="Arial"/>
            <w:noProof/>
            <w:webHidden/>
            <w:sz w:val="24"/>
            <w:szCs w:val="24"/>
          </w:rPr>
          <w:instrText xml:space="preserve"> PAGEREF _Toc219369253 \h </w:instrText>
        </w:r>
        <w:r w:rsidRPr="009228E0">
          <w:rPr>
            <w:rFonts w:ascii="Arial" w:hAnsi="Arial" w:cs="Arial"/>
            <w:noProof/>
            <w:webHidden/>
            <w:sz w:val="24"/>
            <w:szCs w:val="24"/>
          </w:rPr>
        </w:r>
        <w:r w:rsidRPr="009228E0">
          <w:rPr>
            <w:rFonts w:ascii="Arial" w:hAnsi="Arial" w:cs="Arial"/>
            <w:noProof/>
            <w:webHidden/>
            <w:sz w:val="24"/>
            <w:szCs w:val="24"/>
          </w:rPr>
          <w:fldChar w:fldCharType="separate"/>
        </w:r>
        <w:r w:rsidR="000F26BD">
          <w:rPr>
            <w:rFonts w:ascii="Arial" w:hAnsi="Arial" w:cs="Arial"/>
            <w:noProof/>
            <w:webHidden/>
            <w:sz w:val="24"/>
            <w:szCs w:val="24"/>
          </w:rPr>
          <w:t>60</w:t>
        </w:r>
        <w:r w:rsidRPr="009228E0">
          <w:rPr>
            <w:rFonts w:ascii="Arial" w:hAnsi="Arial" w:cs="Arial"/>
            <w:noProof/>
            <w:webHidden/>
            <w:sz w:val="24"/>
            <w:szCs w:val="24"/>
          </w:rPr>
          <w:fldChar w:fldCharType="end"/>
        </w:r>
      </w:hyperlink>
    </w:p>
    <w:p w14:paraId="4D076B47" w14:textId="583DB365" w:rsidR="009228E0" w:rsidRPr="009228E0" w:rsidRDefault="009228E0" w:rsidP="009228E0">
      <w:pPr>
        <w:pStyle w:val="Spisilustracji"/>
        <w:tabs>
          <w:tab w:val="right" w:leader="dot" w:pos="9060"/>
        </w:tabs>
        <w:spacing w:line="360" w:lineRule="auto"/>
        <w:jc w:val="both"/>
        <w:rPr>
          <w:rFonts w:ascii="Arial" w:eastAsiaTheme="minorEastAsia" w:hAnsi="Arial" w:cs="Arial"/>
          <w:noProof/>
          <w:kern w:val="0"/>
          <w:sz w:val="24"/>
          <w:szCs w:val="24"/>
          <w:lang w:eastAsia="pl-PL"/>
          <w14:ligatures w14:val="none"/>
        </w:rPr>
      </w:pPr>
      <w:hyperlink w:anchor="_Toc219369254" w:history="1">
        <w:r w:rsidRPr="009228E0">
          <w:rPr>
            <w:rStyle w:val="Hipercze"/>
            <w:rFonts w:ascii="Arial" w:hAnsi="Arial" w:cs="Arial"/>
            <w:noProof/>
            <w:sz w:val="24"/>
            <w:szCs w:val="24"/>
          </w:rPr>
          <w:t>Wykres 28. P12. Jak Pan(i) sądzi, czy dzięki Funduszom Europejskim jakość życia Polaków poprawia się? -  z uwzględnieniem różnic demograficznych (N=955)</w:t>
        </w:r>
        <w:r w:rsidRPr="009228E0">
          <w:rPr>
            <w:rFonts w:ascii="Arial" w:hAnsi="Arial" w:cs="Arial"/>
            <w:noProof/>
            <w:webHidden/>
            <w:sz w:val="24"/>
            <w:szCs w:val="24"/>
          </w:rPr>
          <w:tab/>
        </w:r>
        <w:r w:rsidRPr="009228E0">
          <w:rPr>
            <w:rFonts w:ascii="Arial" w:hAnsi="Arial" w:cs="Arial"/>
            <w:noProof/>
            <w:webHidden/>
            <w:sz w:val="24"/>
            <w:szCs w:val="24"/>
          </w:rPr>
          <w:fldChar w:fldCharType="begin"/>
        </w:r>
        <w:r w:rsidRPr="009228E0">
          <w:rPr>
            <w:rFonts w:ascii="Arial" w:hAnsi="Arial" w:cs="Arial"/>
            <w:noProof/>
            <w:webHidden/>
            <w:sz w:val="24"/>
            <w:szCs w:val="24"/>
          </w:rPr>
          <w:instrText xml:space="preserve"> PAGEREF _Toc219369254 \h </w:instrText>
        </w:r>
        <w:r w:rsidRPr="009228E0">
          <w:rPr>
            <w:rFonts w:ascii="Arial" w:hAnsi="Arial" w:cs="Arial"/>
            <w:noProof/>
            <w:webHidden/>
            <w:sz w:val="24"/>
            <w:szCs w:val="24"/>
          </w:rPr>
        </w:r>
        <w:r w:rsidRPr="009228E0">
          <w:rPr>
            <w:rFonts w:ascii="Arial" w:hAnsi="Arial" w:cs="Arial"/>
            <w:noProof/>
            <w:webHidden/>
            <w:sz w:val="24"/>
            <w:szCs w:val="24"/>
          </w:rPr>
          <w:fldChar w:fldCharType="separate"/>
        </w:r>
        <w:r w:rsidR="000F26BD">
          <w:rPr>
            <w:rFonts w:ascii="Arial" w:hAnsi="Arial" w:cs="Arial"/>
            <w:noProof/>
            <w:webHidden/>
            <w:sz w:val="24"/>
            <w:szCs w:val="24"/>
          </w:rPr>
          <w:t>62</w:t>
        </w:r>
        <w:r w:rsidRPr="009228E0">
          <w:rPr>
            <w:rFonts w:ascii="Arial" w:hAnsi="Arial" w:cs="Arial"/>
            <w:noProof/>
            <w:webHidden/>
            <w:sz w:val="24"/>
            <w:szCs w:val="24"/>
          </w:rPr>
          <w:fldChar w:fldCharType="end"/>
        </w:r>
      </w:hyperlink>
    </w:p>
    <w:p w14:paraId="30AB5045" w14:textId="162C9EAB" w:rsidR="009228E0" w:rsidRPr="009228E0" w:rsidRDefault="009228E0" w:rsidP="009228E0">
      <w:pPr>
        <w:pStyle w:val="Spisilustracji"/>
        <w:tabs>
          <w:tab w:val="right" w:leader="dot" w:pos="9060"/>
        </w:tabs>
        <w:spacing w:line="360" w:lineRule="auto"/>
        <w:jc w:val="both"/>
        <w:rPr>
          <w:rFonts w:ascii="Arial" w:eastAsiaTheme="minorEastAsia" w:hAnsi="Arial" w:cs="Arial"/>
          <w:noProof/>
          <w:kern w:val="0"/>
          <w:sz w:val="24"/>
          <w:szCs w:val="24"/>
          <w:lang w:eastAsia="pl-PL"/>
          <w14:ligatures w14:val="none"/>
        </w:rPr>
      </w:pPr>
      <w:hyperlink w:anchor="_Toc219369255" w:history="1">
        <w:r w:rsidRPr="009228E0">
          <w:rPr>
            <w:rStyle w:val="Hipercze"/>
            <w:rFonts w:ascii="Arial" w:hAnsi="Arial" w:cs="Arial"/>
            <w:noProof/>
            <w:sz w:val="24"/>
            <w:szCs w:val="24"/>
          </w:rPr>
          <w:t>Wykres 29. P13. Czy dostrzega Pan(i) zmiany w swoim najbliższym otoczeniu dzięki wykorzystywaniu Funduszy Europejskich? – porównanie w latach 2014-2025</w:t>
        </w:r>
        <w:r w:rsidRPr="009228E0">
          <w:rPr>
            <w:rFonts w:ascii="Arial" w:hAnsi="Arial" w:cs="Arial"/>
            <w:noProof/>
            <w:webHidden/>
            <w:sz w:val="24"/>
            <w:szCs w:val="24"/>
          </w:rPr>
          <w:tab/>
        </w:r>
        <w:r w:rsidRPr="009228E0">
          <w:rPr>
            <w:rFonts w:ascii="Arial" w:hAnsi="Arial" w:cs="Arial"/>
            <w:noProof/>
            <w:webHidden/>
            <w:sz w:val="24"/>
            <w:szCs w:val="24"/>
          </w:rPr>
          <w:fldChar w:fldCharType="begin"/>
        </w:r>
        <w:r w:rsidRPr="009228E0">
          <w:rPr>
            <w:rFonts w:ascii="Arial" w:hAnsi="Arial" w:cs="Arial"/>
            <w:noProof/>
            <w:webHidden/>
            <w:sz w:val="24"/>
            <w:szCs w:val="24"/>
          </w:rPr>
          <w:instrText xml:space="preserve"> PAGEREF _Toc219369255 \h </w:instrText>
        </w:r>
        <w:r w:rsidRPr="009228E0">
          <w:rPr>
            <w:rFonts w:ascii="Arial" w:hAnsi="Arial" w:cs="Arial"/>
            <w:noProof/>
            <w:webHidden/>
            <w:sz w:val="24"/>
            <w:szCs w:val="24"/>
          </w:rPr>
        </w:r>
        <w:r w:rsidRPr="009228E0">
          <w:rPr>
            <w:rFonts w:ascii="Arial" w:hAnsi="Arial" w:cs="Arial"/>
            <w:noProof/>
            <w:webHidden/>
            <w:sz w:val="24"/>
            <w:szCs w:val="24"/>
          </w:rPr>
          <w:fldChar w:fldCharType="separate"/>
        </w:r>
        <w:r w:rsidR="000F26BD">
          <w:rPr>
            <w:rFonts w:ascii="Arial" w:hAnsi="Arial" w:cs="Arial"/>
            <w:noProof/>
            <w:webHidden/>
            <w:sz w:val="24"/>
            <w:szCs w:val="24"/>
          </w:rPr>
          <w:t>63</w:t>
        </w:r>
        <w:r w:rsidRPr="009228E0">
          <w:rPr>
            <w:rFonts w:ascii="Arial" w:hAnsi="Arial" w:cs="Arial"/>
            <w:noProof/>
            <w:webHidden/>
            <w:sz w:val="24"/>
            <w:szCs w:val="24"/>
          </w:rPr>
          <w:fldChar w:fldCharType="end"/>
        </w:r>
      </w:hyperlink>
    </w:p>
    <w:p w14:paraId="373339DD" w14:textId="569B3E25" w:rsidR="009228E0" w:rsidRPr="009228E0" w:rsidRDefault="009228E0" w:rsidP="009228E0">
      <w:pPr>
        <w:pStyle w:val="Spisilustracji"/>
        <w:tabs>
          <w:tab w:val="right" w:leader="dot" w:pos="9060"/>
        </w:tabs>
        <w:spacing w:line="360" w:lineRule="auto"/>
        <w:jc w:val="both"/>
        <w:rPr>
          <w:rFonts w:ascii="Arial" w:eastAsiaTheme="minorEastAsia" w:hAnsi="Arial" w:cs="Arial"/>
          <w:noProof/>
          <w:kern w:val="0"/>
          <w:sz w:val="24"/>
          <w:szCs w:val="24"/>
          <w:lang w:eastAsia="pl-PL"/>
          <w14:ligatures w14:val="none"/>
        </w:rPr>
      </w:pPr>
      <w:hyperlink w:anchor="_Toc219369256" w:history="1">
        <w:r w:rsidRPr="009228E0">
          <w:rPr>
            <w:rStyle w:val="Hipercze"/>
            <w:rFonts w:ascii="Arial" w:hAnsi="Arial" w:cs="Arial"/>
            <w:noProof/>
            <w:sz w:val="24"/>
            <w:szCs w:val="24"/>
          </w:rPr>
          <w:t>Wykres 30. P13. Czy dostrzega Pan(i) zmiany w swoim najbliższym otoczeniu dzięki wykorzystywaniu Funduszy Europejskich? Według cech demograficznych</w:t>
        </w:r>
        <w:r w:rsidRPr="009228E0">
          <w:rPr>
            <w:rFonts w:ascii="Arial" w:hAnsi="Arial" w:cs="Arial"/>
            <w:noProof/>
            <w:webHidden/>
            <w:sz w:val="24"/>
            <w:szCs w:val="24"/>
          </w:rPr>
          <w:tab/>
        </w:r>
        <w:r w:rsidRPr="009228E0">
          <w:rPr>
            <w:rFonts w:ascii="Arial" w:hAnsi="Arial" w:cs="Arial"/>
            <w:noProof/>
            <w:webHidden/>
            <w:sz w:val="24"/>
            <w:szCs w:val="24"/>
          </w:rPr>
          <w:fldChar w:fldCharType="begin"/>
        </w:r>
        <w:r w:rsidRPr="009228E0">
          <w:rPr>
            <w:rFonts w:ascii="Arial" w:hAnsi="Arial" w:cs="Arial"/>
            <w:noProof/>
            <w:webHidden/>
            <w:sz w:val="24"/>
            <w:szCs w:val="24"/>
          </w:rPr>
          <w:instrText xml:space="preserve"> PAGEREF _Toc219369256 \h </w:instrText>
        </w:r>
        <w:r w:rsidRPr="009228E0">
          <w:rPr>
            <w:rFonts w:ascii="Arial" w:hAnsi="Arial" w:cs="Arial"/>
            <w:noProof/>
            <w:webHidden/>
            <w:sz w:val="24"/>
            <w:szCs w:val="24"/>
          </w:rPr>
        </w:r>
        <w:r w:rsidRPr="009228E0">
          <w:rPr>
            <w:rFonts w:ascii="Arial" w:hAnsi="Arial" w:cs="Arial"/>
            <w:noProof/>
            <w:webHidden/>
            <w:sz w:val="24"/>
            <w:szCs w:val="24"/>
          </w:rPr>
          <w:fldChar w:fldCharType="separate"/>
        </w:r>
        <w:r w:rsidR="000F26BD">
          <w:rPr>
            <w:rFonts w:ascii="Arial" w:hAnsi="Arial" w:cs="Arial"/>
            <w:noProof/>
            <w:webHidden/>
            <w:sz w:val="24"/>
            <w:szCs w:val="24"/>
          </w:rPr>
          <w:t>65</w:t>
        </w:r>
        <w:r w:rsidRPr="009228E0">
          <w:rPr>
            <w:rFonts w:ascii="Arial" w:hAnsi="Arial" w:cs="Arial"/>
            <w:noProof/>
            <w:webHidden/>
            <w:sz w:val="24"/>
            <w:szCs w:val="24"/>
          </w:rPr>
          <w:fldChar w:fldCharType="end"/>
        </w:r>
      </w:hyperlink>
    </w:p>
    <w:p w14:paraId="433FA21C" w14:textId="1C64D472" w:rsidR="009228E0" w:rsidRPr="009228E0" w:rsidRDefault="009228E0" w:rsidP="009228E0">
      <w:pPr>
        <w:pStyle w:val="Spisilustracji"/>
        <w:tabs>
          <w:tab w:val="right" w:leader="dot" w:pos="9060"/>
        </w:tabs>
        <w:spacing w:line="360" w:lineRule="auto"/>
        <w:jc w:val="both"/>
        <w:rPr>
          <w:rFonts w:ascii="Arial" w:eastAsiaTheme="minorEastAsia" w:hAnsi="Arial" w:cs="Arial"/>
          <w:noProof/>
          <w:kern w:val="0"/>
          <w:sz w:val="24"/>
          <w:szCs w:val="24"/>
          <w:lang w:eastAsia="pl-PL"/>
          <w14:ligatures w14:val="none"/>
        </w:rPr>
      </w:pPr>
      <w:hyperlink w:anchor="_Toc219369257" w:history="1">
        <w:r w:rsidRPr="009228E0">
          <w:rPr>
            <w:rStyle w:val="Hipercze"/>
            <w:rFonts w:ascii="Arial" w:hAnsi="Arial" w:cs="Arial"/>
            <w:noProof/>
            <w:sz w:val="24"/>
            <w:szCs w:val="24"/>
          </w:rPr>
          <w:t>Wykres 31. P14. Proszę powiedzieć, jakie zmiany Pan(i) zauważa w swoim najbliższym otoczeniu dzięki wykorzystywaniu Funduszy Europejskich? (N=657)</w:t>
        </w:r>
        <w:r w:rsidRPr="009228E0">
          <w:rPr>
            <w:rFonts w:ascii="Arial" w:hAnsi="Arial" w:cs="Arial"/>
            <w:noProof/>
            <w:webHidden/>
            <w:sz w:val="24"/>
            <w:szCs w:val="24"/>
          </w:rPr>
          <w:tab/>
        </w:r>
        <w:r w:rsidRPr="009228E0">
          <w:rPr>
            <w:rFonts w:ascii="Arial" w:hAnsi="Arial" w:cs="Arial"/>
            <w:noProof/>
            <w:webHidden/>
            <w:sz w:val="24"/>
            <w:szCs w:val="24"/>
          </w:rPr>
          <w:fldChar w:fldCharType="begin"/>
        </w:r>
        <w:r w:rsidRPr="009228E0">
          <w:rPr>
            <w:rFonts w:ascii="Arial" w:hAnsi="Arial" w:cs="Arial"/>
            <w:noProof/>
            <w:webHidden/>
            <w:sz w:val="24"/>
            <w:szCs w:val="24"/>
          </w:rPr>
          <w:instrText xml:space="preserve"> PAGEREF _Toc219369257 \h </w:instrText>
        </w:r>
        <w:r w:rsidRPr="009228E0">
          <w:rPr>
            <w:rFonts w:ascii="Arial" w:hAnsi="Arial" w:cs="Arial"/>
            <w:noProof/>
            <w:webHidden/>
            <w:sz w:val="24"/>
            <w:szCs w:val="24"/>
          </w:rPr>
        </w:r>
        <w:r w:rsidRPr="009228E0">
          <w:rPr>
            <w:rFonts w:ascii="Arial" w:hAnsi="Arial" w:cs="Arial"/>
            <w:noProof/>
            <w:webHidden/>
            <w:sz w:val="24"/>
            <w:szCs w:val="24"/>
          </w:rPr>
          <w:fldChar w:fldCharType="separate"/>
        </w:r>
        <w:r w:rsidR="000F26BD">
          <w:rPr>
            <w:rFonts w:ascii="Arial" w:hAnsi="Arial" w:cs="Arial"/>
            <w:noProof/>
            <w:webHidden/>
            <w:sz w:val="24"/>
            <w:szCs w:val="24"/>
          </w:rPr>
          <w:t>67</w:t>
        </w:r>
        <w:r w:rsidRPr="009228E0">
          <w:rPr>
            <w:rFonts w:ascii="Arial" w:hAnsi="Arial" w:cs="Arial"/>
            <w:noProof/>
            <w:webHidden/>
            <w:sz w:val="24"/>
            <w:szCs w:val="24"/>
          </w:rPr>
          <w:fldChar w:fldCharType="end"/>
        </w:r>
      </w:hyperlink>
    </w:p>
    <w:p w14:paraId="7B3AE94E" w14:textId="268FCF01" w:rsidR="009228E0" w:rsidRPr="009228E0" w:rsidRDefault="009228E0" w:rsidP="009228E0">
      <w:pPr>
        <w:pStyle w:val="Spisilustracji"/>
        <w:tabs>
          <w:tab w:val="right" w:leader="dot" w:pos="9060"/>
        </w:tabs>
        <w:spacing w:line="360" w:lineRule="auto"/>
        <w:jc w:val="both"/>
        <w:rPr>
          <w:rFonts w:ascii="Arial" w:eastAsiaTheme="minorEastAsia" w:hAnsi="Arial" w:cs="Arial"/>
          <w:noProof/>
          <w:kern w:val="0"/>
          <w:sz w:val="24"/>
          <w:szCs w:val="24"/>
          <w:lang w:eastAsia="pl-PL"/>
          <w14:ligatures w14:val="none"/>
        </w:rPr>
      </w:pPr>
      <w:hyperlink w:anchor="_Toc219369258" w:history="1">
        <w:r w:rsidRPr="009228E0">
          <w:rPr>
            <w:rStyle w:val="Hipercze"/>
            <w:rFonts w:ascii="Arial" w:hAnsi="Arial" w:cs="Arial"/>
            <w:noProof/>
            <w:sz w:val="24"/>
            <w:szCs w:val="24"/>
          </w:rPr>
          <w:t>Wykres 32. P.17. Czy uważa Pan(i), że Pan(i) sam(a) osobiście korzysta z Funduszy Europejskich lub ze zmian, jakie dzięki nim zachodzą? (suma wskazań odpowiedzi zdecydowanie tak i raczej tak) – porównanie w latach 2014-2025</w:t>
        </w:r>
        <w:r w:rsidRPr="009228E0">
          <w:rPr>
            <w:rFonts w:ascii="Arial" w:hAnsi="Arial" w:cs="Arial"/>
            <w:noProof/>
            <w:webHidden/>
            <w:sz w:val="24"/>
            <w:szCs w:val="24"/>
          </w:rPr>
          <w:tab/>
        </w:r>
        <w:r w:rsidRPr="009228E0">
          <w:rPr>
            <w:rFonts w:ascii="Arial" w:hAnsi="Arial" w:cs="Arial"/>
            <w:noProof/>
            <w:webHidden/>
            <w:sz w:val="24"/>
            <w:szCs w:val="24"/>
          </w:rPr>
          <w:fldChar w:fldCharType="begin"/>
        </w:r>
        <w:r w:rsidRPr="009228E0">
          <w:rPr>
            <w:rFonts w:ascii="Arial" w:hAnsi="Arial" w:cs="Arial"/>
            <w:noProof/>
            <w:webHidden/>
            <w:sz w:val="24"/>
            <w:szCs w:val="24"/>
          </w:rPr>
          <w:instrText xml:space="preserve"> PAGEREF _Toc219369258 \h </w:instrText>
        </w:r>
        <w:r w:rsidRPr="009228E0">
          <w:rPr>
            <w:rFonts w:ascii="Arial" w:hAnsi="Arial" w:cs="Arial"/>
            <w:noProof/>
            <w:webHidden/>
            <w:sz w:val="24"/>
            <w:szCs w:val="24"/>
          </w:rPr>
        </w:r>
        <w:r w:rsidRPr="009228E0">
          <w:rPr>
            <w:rFonts w:ascii="Arial" w:hAnsi="Arial" w:cs="Arial"/>
            <w:noProof/>
            <w:webHidden/>
            <w:sz w:val="24"/>
            <w:szCs w:val="24"/>
          </w:rPr>
          <w:fldChar w:fldCharType="separate"/>
        </w:r>
        <w:r w:rsidR="000F26BD">
          <w:rPr>
            <w:rFonts w:ascii="Arial" w:hAnsi="Arial" w:cs="Arial"/>
            <w:noProof/>
            <w:webHidden/>
            <w:sz w:val="24"/>
            <w:szCs w:val="24"/>
          </w:rPr>
          <w:t>68</w:t>
        </w:r>
        <w:r w:rsidRPr="009228E0">
          <w:rPr>
            <w:rFonts w:ascii="Arial" w:hAnsi="Arial" w:cs="Arial"/>
            <w:noProof/>
            <w:webHidden/>
            <w:sz w:val="24"/>
            <w:szCs w:val="24"/>
          </w:rPr>
          <w:fldChar w:fldCharType="end"/>
        </w:r>
      </w:hyperlink>
    </w:p>
    <w:p w14:paraId="1E154D13" w14:textId="6DB18B56" w:rsidR="009228E0" w:rsidRPr="009228E0" w:rsidRDefault="009228E0" w:rsidP="009228E0">
      <w:pPr>
        <w:pStyle w:val="Spisilustracji"/>
        <w:tabs>
          <w:tab w:val="right" w:leader="dot" w:pos="9060"/>
        </w:tabs>
        <w:spacing w:line="360" w:lineRule="auto"/>
        <w:jc w:val="both"/>
        <w:rPr>
          <w:rFonts w:ascii="Arial" w:eastAsiaTheme="minorEastAsia" w:hAnsi="Arial" w:cs="Arial"/>
          <w:noProof/>
          <w:kern w:val="0"/>
          <w:sz w:val="24"/>
          <w:szCs w:val="24"/>
          <w:lang w:eastAsia="pl-PL"/>
          <w14:ligatures w14:val="none"/>
        </w:rPr>
      </w:pPr>
      <w:hyperlink w:anchor="_Toc219369259" w:history="1">
        <w:r w:rsidRPr="009228E0">
          <w:rPr>
            <w:rStyle w:val="Hipercze"/>
            <w:rFonts w:ascii="Arial" w:hAnsi="Arial" w:cs="Arial"/>
            <w:noProof/>
            <w:sz w:val="24"/>
            <w:szCs w:val="24"/>
          </w:rPr>
          <w:t>Wykres 33. P17. Czy uważa Pan(i), że Pan(i) sam(a) osobiście korzysta z Funduszy Europejskich lub ze zmian, jakie dzięki nim zachodzą? – według cech demograficznych</w:t>
        </w:r>
        <w:r w:rsidRPr="009228E0">
          <w:rPr>
            <w:rFonts w:ascii="Arial" w:hAnsi="Arial" w:cs="Arial"/>
            <w:noProof/>
            <w:webHidden/>
            <w:sz w:val="24"/>
            <w:szCs w:val="24"/>
          </w:rPr>
          <w:tab/>
        </w:r>
        <w:r w:rsidRPr="009228E0">
          <w:rPr>
            <w:rFonts w:ascii="Arial" w:hAnsi="Arial" w:cs="Arial"/>
            <w:noProof/>
            <w:webHidden/>
            <w:sz w:val="24"/>
            <w:szCs w:val="24"/>
          </w:rPr>
          <w:fldChar w:fldCharType="begin"/>
        </w:r>
        <w:r w:rsidRPr="009228E0">
          <w:rPr>
            <w:rFonts w:ascii="Arial" w:hAnsi="Arial" w:cs="Arial"/>
            <w:noProof/>
            <w:webHidden/>
            <w:sz w:val="24"/>
            <w:szCs w:val="24"/>
          </w:rPr>
          <w:instrText xml:space="preserve"> PAGEREF _Toc219369259 \h </w:instrText>
        </w:r>
        <w:r w:rsidRPr="009228E0">
          <w:rPr>
            <w:rFonts w:ascii="Arial" w:hAnsi="Arial" w:cs="Arial"/>
            <w:noProof/>
            <w:webHidden/>
            <w:sz w:val="24"/>
            <w:szCs w:val="24"/>
          </w:rPr>
        </w:r>
        <w:r w:rsidRPr="009228E0">
          <w:rPr>
            <w:rFonts w:ascii="Arial" w:hAnsi="Arial" w:cs="Arial"/>
            <w:noProof/>
            <w:webHidden/>
            <w:sz w:val="24"/>
            <w:szCs w:val="24"/>
          </w:rPr>
          <w:fldChar w:fldCharType="separate"/>
        </w:r>
        <w:r w:rsidR="000F26BD">
          <w:rPr>
            <w:rFonts w:ascii="Arial" w:hAnsi="Arial" w:cs="Arial"/>
            <w:noProof/>
            <w:webHidden/>
            <w:sz w:val="24"/>
            <w:szCs w:val="24"/>
          </w:rPr>
          <w:t>70</w:t>
        </w:r>
        <w:r w:rsidRPr="009228E0">
          <w:rPr>
            <w:rFonts w:ascii="Arial" w:hAnsi="Arial" w:cs="Arial"/>
            <w:noProof/>
            <w:webHidden/>
            <w:sz w:val="24"/>
            <w:szCs w:val="24"/>
          </w:rPr>
          <w:fldChar w:fldCharType="end"/>
        </w:r>
      </w:hyperlink>
    </w:p>
    <w:p w14:paraId="323A8F92" w14:textId="6D20ED39" w:rsidR="009228E0" w:rsidRPr="009228E0" w:rsidRDefault="009228E0" w:rsidP="009228E0">
      <w:pPr>
        <w:pStyle w:val="Spisilustracji"/>
        <w:tabs>
          <w:tab w:val="right" w:leader="dot" w:pos="9060"/>
        </w:tabs>
        <w:spacing w:line="360" w:lineRule="auto"/>
        <w:jc w:val="both"/>
        <w:rPr>
          <w:rFonts w:ascii="Arial" w:eastAsiaTheme="minorEastAsia" w:hAnsi="Arial" w:cs="Arial"/>
          <w:noProof/>
          <w:kern w:val="0"/>
          <w:sz w:val="24"/>
          <w:szCs w:val="24"/>
          <w:lang w:eastAsia="pl-PL"/>
          <w14:ligatures w14:val="none"/>
        </w:rPr>
      </w:pPr>
      <w:hyperlink w:anchor="_Toc219369260" w:history="1">
        <w:r w:rsidRPr="009228E0">
          <w:rPr>
            <w:rStyle w:val="Hipercze"/>
            <w:rFonts w:ascii="Arial" w:hAnsi="Arial" w:cs="Arial"/>
            <w:noProof/>
            <w:sz w:val="24"/>
            <w:szCs w:val="24"/>
          </w:rPr>
          <w:t>Wykres 34. P18. Proszę powiedzieć, w jaki sposób korzysta Pan(i) z Funduszy Europejskich lub ze zmian, jakie dzięki nim zachodzą?  (N=349)</w:t>
        </w:r>
        <w:r w:rsidRPr="009228E0">
          <w:rPr>
            <w:rFonts w:ascii="Arial" w:hAnsi="Arial" w:cs="Arial"/>
            <w:noProof/>
            <w:webHidden/>
            <w:sz w:val="24"/>
            <w:szCs w:val="24"/>
          </w:rPr>
          <w:tab/>
        </w:r>
        <w:r w:rsidRPr="009228E0">
          <w:rPr>
            <w:rFonts w:ascii="Arial" w:hAnsi="Arial" w:cs="Arial"/>
            <w:noProof/>
            <w:webHidden/>
            <w:sz w:val="24"/>
            <w:szCs w:val="24"/>
          </w:rPr>
          <w:fldChar w:fldCharType="begin"/>
        </w:r>
        <w:r w:rsidRPr="009228E0">
          <w:rPr>
            <w:rFonts w:ascii="Arial" w:hAnsi="Arial" w:cs="Arial"/>
            <w:noProof/>
            <w:webHidden/>
            <w:sz w:val="24"/>
            <w:szCs w:val="24"/>
          </w:rPr>
          <w:instrText xml:space="preserve"> PAGEREF _Toc219369260 \h </w:instrText>
        </w:r>
        <w:r w:rsidRPr="009228E0">
          <w:rPr>
            <w:rFonts w:ascii="Arial" w:hAnsi="Arial" w:cs="Arial"/>
            <w:noProof/>
            <w:webHidden/>
            <w:sz w:val="24"/>
            <w:szCs w:val="24"/>
          </w:rPr>
        </w:r>
        <w:r w:rsidRPr="009228E0">
          <w:rPr>
            <w:rFonts w:ascii="Arial" w:hAnsi="Arial" w:cs="Arial"/>
            <w:noProof/>
            <w:webHidden/>
            <w:sz w:val="24"/>
            <w:szCs w:val="24"/>
          </w:rPr>
          <w:fldChar w:fldCharType="separate"/>
        </w:r>
        <w:r w:rsidR="000F26BD">
          <w:rPr>
            <w:rFonts w:ascii="Arial" w:hAnsi="Arial" w:cs="Arial"/>
            <w:noProof/>
            <w:webHidden/>
            <w:sz w:val="24"/>
            <w:szCs w:val="24"/>
          </w:rPr>
          <w:t>72</w:t>
        </w:r>
        <w:r w:rsidRPr="009228E0">
          <w:rPr>
            <w:rFonts w:ascii="Arial" w:hAnsi="Arial" w:cs="Arial"/>
            <w:noProof/>
            <w:webHidden/>
            <w:sz w:val="24"/>
            <w:szCs w:val="24"/>
          </w:rPr>
          <w:fldChar w:fldCharType="end"/>
        </w:r>
      </w:hyperlink>
    </w:p>
    <w:p w14:paraId="0BA29A53" w14:textId="2749EE36" w:rsidR="009228E0" w:rsidRPr="009228E0" w:rsidRDefault="009228E0" w:rsidP="009228E0">
      <w:pPr>
        <w:pStyle w:val="Spisilustracji"/>
        <w:tabs>
          <w:tab w:val="right" w:leader="dot" w:pos="9060"/>
        </w:tabs>
        <w:spacing w:line="360" w:lineRule="auto"/>
        <w:jc w:val="both"/>
        <w:rPr>
          <w:rFonts w:ascii="Arial" w:eastAsiaTheme="minorEastAsia" w:hAnsi="Arial" w:cs="Arial"/>
          <w:noProof/>
          <w:kern w:val="0"/>
          <w:sz w:val="24"/>
          <w:szCs w:val="24"/>
          <w:lang w:eastAsia="pl-PL"/>
          <w14:ligatures w14:val="none"/>
        </w:rPr>
      </w:pPr>
      <w:hyperlink w:anchor="_Toc219369261" w:history="1">
        <w:r w:rsidRPr="009228E0">
          <w:rPr>
            <w:rStyle w:val="Hipercze"/>
            <w:rFonts w:ascii="Arial" w:hAnsi="Arial" w:cs="Arial"/>
            <w:noProof/>
            <w:sz w:val="24"/>
            <w:szCs w:val="24"/>
          </w:rPr>
          <w:t>Wykres 35. P.19. A czy zna Pan(i) może kogoś, kto skorzystał lub korzysta z Funduszy Europejskich lub ze zmian, jakie dzięki nim zachodzą? - w latach 2016–2025</w:t>
        </w:r>
        <w:r w:rsidRPr="009228E0">
          <w:rPr>
            <w:rFonts w:ascii="Arial" w:hAnsi="Arial" w:cs="Arial"/>
            <w:noProof/>
            <w:webHidden/>
            <w:sz w:val="24"/>
            <w:szCs w:val="24"/>
          </w:rPr>
          <w:tab/>
        </w:r>
        <w:r w:rsidRPr="009228E0">
          <w:rPr>
            <w:rFonts w:ascii="Arial" w:hAnsi="Arial" w:cs="Arial"/>
            <w:noProof/>
            <w:webHidden/>
            <w:sz w:val="24"/>
            <w:szCs w:val="24"/>
          </w:rPr>
          <w:fldChar w:fldCharType="begin"/>
        </w:r>
        <w:r w:rsidRPr="009228E0">
          <w:rPr>
            <w:rFonts w:ascii="Arial" w:hAnsi="Arial" w:cs="Arial"/>
            <w:noProof/>
            <w:webHidden/>
            <w:sz w:val="24"/>
            <w:szCs w:val="24"/>
          </w:rPr>
          <w:instrText xml:space="preserve"> PAGEREF _Toc219369261 \h </w:instrText>
        </w:r>
        <w:r w:rsidRPr="009228E0">
          <w:rPr>
            <w:rFonts w:ascii="Arial" w:hAnsi="Arial" w:cs="Arial"/>
            <w:noProof/>
            <w:webHidden/>
            <w:sz w:val="24"/>
            <w:szCs w:val="24"/>
          </w:rPr>
        </w:r>
        <w:r w:rsidRPr="009228E0">
          <w:rPr>
            <w:rFonts w:ascii="Arial" w:hAnsi="Arial" w:cs="Arial"/>
            <w:noProof/>
            <w:webHidden/>
            <w:sz w:val="24"/>
            <w:szCs w:val="24"/>
          </w:rPr>
          <w:fldChar w:fldCharType="separate"/>
        </w:r>
        <w:r w:rsidR="000F26BD">
          <w:rPr>
            <w:rFonts w:ascii="Arial" w:hAnsi="Arial" w:cs="Arial"/>
            <w:noProof/>
            <w:webHidden/>
            <w:sz w:val="24"/>
            <w:szCs w:val="24"/>
          </w:rPr>
          <w:t>73</w:t>
        </w:r>
        <w:r w:rsidRPr="009228E0">
          <w:rPr>
            <w:rFonts w:ascii="Arial" w:hAnsi="Arial" w:cs="Arial"/>
            <w:noProof/>
            <w:webHidden/>
            <w:sz w:val="24"/>
            <w:szCs w:val="24"/>
          </w:rPr>
          <w:fldChar w:fldCharType="end"/>
        </w:r>
      </w:hyperlink>
    </w:p>
    <w:p w14:paraId="78072429" w14:textId="23CCD05B" w:rsidR="009228E0" w:rsidRPr="009228E0" w:rsidRDefault="009228E0" w:rsidP="009228E0">
      <w:pPr>
        <w:pStyle w:val="Spisilustracji"/>
        <w:tabs>
          <w:tab w:val="right" w:leader="dot" w:pos="9060"/>
        </w:tabs>
        <w:spacing w:line="360" w:lineRule="auto"/>
        <w:jc w:val="both"/>
        <w:rPr>
          <w:rFonts w:ascii="Arial" w:eastAsiaTheme="minorEastAsia" w:hAnsi="Arial" w:cs="Arial"/>
          <w:noProof/>
          <w:kern w:val="0"/>
          <w:sz w:val="24"/>
          <w:szCs w:val="24"/>
          <w:lang w:eastAsia="pl-PL"/>
          <w14:ligatures w14:val="none"/>
        </w:rPr>
      </w:pPr>
      <w:hyperlink w:anchor="_Toc219369262" w:history="1">
        <w:r w:rsidRPr="009228E0">
          <w:rPr>
            <w:rStyle w:val="Hipercze"/>
            <w:rFonts w:ascii="Arial" w:hAnsi="Arial" w:cs="Arial"/>
            <w:noProof/>
            <w:sz w:val="24"/>
            <w:szCs w:val="24"/>
          </w:rPr>
          <w:t>Wykres 36. P.19. A czy zna Pan(i) może kogoś, kto skorzystał lub korzysta z Funduszy Europejskich lub ze zmian, jakie dzięki nim zachodzą? – według cech demograficznych (2025)</w:t>
        </w:r>
        <w:r w:rsidRPr="009228E0">
          <w:rPr>
            <w:rFonts w:ascii="Arial" w:hAnsi="Arial" w:cs="Arial"/>
            <w:noProof/>
            <w:webHidden/>
            <w:sz w:val="24"/>
            <w:szCs w:val="24"/>
          </w:rPr>
          <w:tab/>
        </w:r>
        <w:r w:rsidRPr="009228E0">
          <w:rPr>
            <w:rFonts w:ascii="Arial" w:hAnsi="Arial" w:cs="Arial"/>
            <w:noProof/>
            <w:webHidden/>
            <w:sz w:val="24"/>
            <w:szCs w:val="24"/>
          </w:rPr>
          <w:fldChar w:fldCharType="begin"/>
        </w:r>
        <w:r w:rsidRPr="009228E0">
          <w:rPr>
            <w:rFonts w:ascii="Arial" w:hAnsi="Arial" w:cs="Arial"/>
            <w:noProof/>
            <w:webHidden/>
            <w:sz w:val="24"/>
            <w:szCs w:val="24"/>
          </w:rPr>
          <w:instrText xml:space="preserve"> PAGEREF _Toc219369262 \h </w:instrText>
        </w:r>
        <w:r w:rsidRPr="009228E0">
          <w:rPr>
            <w:rFonts w:ascii="Arial" w:hAnsi="Arial" w:cs="Arial"/>
            <w:noProof/>
            <w:webHidden/>
            <w:sz w:val="24"/>
            <w:szCs w:val="24"/>
          </w:rPr>
        </w:r>
        <w:r w:rsidRPr="009228E0">
          <w:rPr>
            <w:rFonts w:ascii="Arial" w:hAnsi="Arial" w:cs="Arial"/>
            <w:noProof/>
            <w:webHidden/>
            <w:sz w:val="24"/>
            <w:szCs w:val="24"/>
          </w:rPr>
          <w:fldChar w:fldCharType="separate"/>
        </w:r>
        <w:r w:rsidR="000F26BD">
          <w:rPr>
            <w:rFonts w:ascii="Arial" w:hAnsi="Arial" w:cs="Arial"/>
            <w:noProof/>
            <w:webHidden/>
            <w:sz w:val="24"/>
            <w:szCs w:val="24"/>
          </w:rPr>
          <w:t>74</w:t>
        </w:r>
        <w:r w:rsidRPr="009228E0">
          <w:rPr>
            <w:rFonts w:ascii="Arial" w:hAnsi="Arial" w:cs="Arial"/>
            <w:noProof/>
            <w:webHidden/>
            <w:sz w:val="24"/>
            <w:szCs w:val="24"/>
          </w:rPr>
          <w:fldChar w:fldCharType="end"/>
        </w:r>
      </w:hyperlink>
    </w:p>
    <w:p w14:paraId="45033A12" w14:textId="1AE73488" w:rsidR="009228E0" w:rsidRPr="009228E0" w:rsidRDefault="009228E0" w:rsidP="009228E0">
      <w:pPr>
        <w:pStyle w:val="Spisilustracji"/>
        <w:tabs>
          <w:tab w:val="right" w:leader="dot" w:pos="9060"/>
        </w:tabs>
        <w:spacing w:line="360" w:lineRule="auto"/>
        <w:jc w:val="both"/>
        <w:rPr>
          <w:rFonts w:ascii="Arial" w:eastAsiaTheme="minorEastAsia" w:hAnsi="Arial" w:cs="Arial"/>
          <w:noProof/>
          <w:kern w:val="0"/>
          <w:sz w:val="24"/>
          <w:szCs w:val="24"/>
          <w:lang w:eastAsia="pl-PL"/>
          <w14:ligatures w14:val="none"/>
        </w:rPr>
      </w:pPr>
      <w:hyperlink w:anchor="_Toc219369263" w:history="1">
        <w:r w:rsidRPr="009228E0">
          <w:rPr>
            <w:rStyle w:val="Hipercze"/>
            <w:rFonts w:ascii="Arial" w:hAnsi="Arial" w:cs="Arial"/>
            <w:noProof/>
            <w:sz w:val="24"/>
            <w:szCs w:val="24"/>
          </w:rPr>
          <w:t>Wykres 37. P20. Proszę powiedzieć, w jaki sposób Pana(-ni) znajomy(-ma) korzysta z Funduszy Europejskich lub zmian, jakie dzięki nim zachodzą? (N=408)</w:t>
        </w:r>
        <w:r w:rsidRPr="009228E0">
          <w:rPr>
            <w:rFonts w:ascii="Arial" w:hAnsi="Arial" w:cs="Arial"/>
            <w:noProof/>
            <w:webHidden/>
            <w:sz w:val="24"/>
            <w:szCs w:val="24"/>
          </w:rPr>
          <w:tab/>
        </w:r>
        <w:r w:rsidRPr="009228E0">
          <w:rPr>
            <w:rFonts w:ascii="Arial" w:hAnsi="Arial" w:cs="Arial"/>
            <w:noProof/>
            <w:webHidden/>
            <w:sz w:val="24"/>
            <w:szCs w:val="24"/>
          </w:rPr>
          <w:fldChar w:fldCharType="begin"/>
        </w:r>
        <w:r w:rsidRPr="009228E0">
          <w:rPr>
            <w:rFonts w:ascii="Arial" w:hAnsi="Arial" w:cs="Arial"/>
            <w:noProof/>
            <w:webHidden/>
            <w:sz w:val="24"/>
            <w:szCs w:val="24"/>
          </w:rPr>
          <w:instrText xml:space="preserve"> PAGEREF _Toc219369263 \h </w:instrText>
        </w:r>
        <w:r w:rsidRPr="009228E0">
          <w:rPr>
            <w:rFonts w:ascii="Arial" w:hAnsi="Arial" w:cs="Arial"/>
            <w:noProof/>
            <w:webHidden/>
            <w:sz w:val="24"/>
            <w:szCs w:val="24"/>
          </w:rPr>
        </w:r>
        <w:r w:rsidRPr="009228E0">
          <w:rPr>
            <w:rFonts w:ascii="Arial" w:hAnsi="Arial" w:cs="Arial"/>
            <w:noProof/>
            <w:webHidden/>
            <w:sz w:val="24"/>
            <w:szCs w:val="24"/>
          </w:rPr>
          <w:fldChar w:fldCharType="separate"/>
        </w:r>
        <w:r w:rsidR="000F26BD">
          <w:rPr>
            <w:rFonts w:ascii="Arial" w:hAnsi="Arial" w:cs="Arial"/>
            <w:noProof/>
            <w:webHidden/>
            <w:sz w:val="24"/>
            <w:szCs w:val="24"/>
          </w:rPr>
          <w:t>75</w:t>
        </w:r>
        <w:r w:rsidRPr="009228E0">
          <w:rPr>
            <w:rFonts w:ascii="Arial" w:hAnsi="Arial" w:cs="Arial"/>
            <w:noProof/>
            <w:webHidden/>
            <w:sz w:val="24"/>
            <w:szCs w:val="24"/>
          </w:rPr>
          <w:fldChar w:fldCharType="end"/>
        </w:r>
      </w:hyperlink>
    </w:p>
    <w:p w14:paraId="27D7A413" w14:textId="7EA5A8AC" w:rsidR="009228E0" w:rsidRPr="009228E0" w:rsidRDefault="009228E0" w:rsidP="009228E0">
      <w:pPr>
        <w:pStyle w:val="Spisilustracji"/>
        <w:tabs>
          <w:tab w:val="right" w:leader="dot" w:pos="9060"/>
        </w:tabs>
        <w:spacing w:line="360" w:lineRule="auto"/>
        <w:jc w:val="both"/>
        <w:rPr>
          <w:rFonts w:ascii="Arial" w:eastAsiaTheme="minorEastAsia" w:hAnsi="Arial" w:cs="Arial"/>
          <w:noProof/>
          <w:kern w:val="0"/>
          <w:sz w:val="24"/>
          <w:szCs w:val="24"/>
          <w:lang w:eastAsia="pl-PL"/>
          <w14:ligatures w14:val="none"/>
        </w:rPr>
      </w:pPr>
      <w:hyperlink w:anchor="_Toc219369264" w:history="1">
        <w:r w:rsidRPr="009228E0">
          <w:rPr>
            <w:rStyle w:val="Hipercze"/>
            <w:rFonts w:ascii="Arial" w:hAnsi="Arial" w:cs="Arial"/>
            <w:noProof/>
            <w:sz w:val="24"/>
            <w:szCs w:val="24"/>
          </w:rPr>
          <w:t>Wykres 38. P22. A czy Pan(i) osobiście ubiegał(a) się w przeszłości o wsparcie z Funduszy Europejskich? - w latach 2016-2025</w:t>
        </w:r>
        <w:r w:rsidRPr="009228E0">
          <w:rPr>
            <w:rFonts w:ascii="Arial" w:hAnsi="Arial" w:cs="Arial"/>
            <w:noProof/>
            <w:webHidden/>
            <w:sz w:val="24"/>
            <w:szCs w:val="24"/>
          </w:rPr>
          <w:tab/>
        </w:r>
        <w:r w:rsidRPr="009228E0">
          <w:rPr>
            <w:rFonts w:ascii="Arial" w:hAnsi="Arial" w:cs="Arial"/>
            <w:noProof/>
            <w:webHidden/>
            <w:sz w:val="24"/>
            <w:szCs w:val="24"/>
          </w:rPr>
          <w:fldChar w:fldCharType="begin"/>
        </w:r>
        <w:r w:rsidRPr="009228E0">
          <w:rPr>
            <w:rFonts w:ascii="Arial" w:hAnsi="Arial" w:cs="Arial"/>
            <w:noProof/>
            <w:webHidden/>
            <w:sz w:val="24"/>
            <w:szCs w:val="24"/>
          </w:rPr>
          <w:instrText xml:space="preserve"> PAGEREF _Toc219369264 \h </w:instrText>
        </w:r>
        <w:r w:rsidRPr="009228E0">
          <w:rPr>
            <w:rFonts w:ascii="Arial" w:hAnsi="Arial" w:cs="Arial"/>
            <w:noProof/>
            <w:webHidden/>
            <w:sz w:val="24"/>
            <w:szCs w:val="24"/>
          </w:rPr>
        </w:r>
        <w:r w:rsidRPr="009228E0">
          <w:rPr>
            <w:rFonts w:ascii="Arial" w:hAnsi="Arial" w:cs="Arial"/>
            <w:noProof/>
            <w:webHidden/>
            <w:sz w:val="24"/>
            <w:szCs w:val="24"/>
          </w:rPr>
          <w:fldChar w:fldCharType="separate"/>
        </w:r>
        <w:r w:rsidR="000F26BD">
          <w:rPr>
            <w:rFonts w:ascii="Arial" w:hAnsi="Arial" w:cs="Arial"/>
            <w:noProof/>
            <w:webHidden/>
            <w:sz w:val="24"/>
            <w:szCs w:val="24"/>
          </w:rPr>
          <w:t>76</w:t>
        </w:r>
        <w:r w:rsidRPr="009228E0">
          <w:rPr>
            <w:rFonts w:ascii="Arial" w:hAnsi="Arial" w:cs="Arial"/>
            <w:noProof/>
            <w:webHidden/>
            <w:sz w:val="24"/>
            <w:szCs w:val="24"/>
          </w:rPr>
          <w:fldChar w:fldCharType="end"/>
        </w:r>
      </w:hyperlink>
    </w:p>
    <w:p w14:paraId="16BE3716" w14:textId="7944D37D" w:rsidR="009228E0" w:rsidRPr="009228E0" w:rsidRDefault="009228E0" w:rsidP="009228E0">
      <w:pPr>
        <w:pStyle w:val="Spisilustracji"/>
        <w:tabs>
          <w:tab w:val="right" w:leader="dot" w:pos="9060"/>
        </w:tabs>
        <w:spacing w:line="360" w:lineRule="auto"/>
        <w:jc w:val="both"/>
        <w:rPr>
          <w:rFonts w:ascii="Arial" w:eastAsiaTheme="minorEastAsia" w:hAnsi="Arial" w:cs="Arial"/>
          <w:noProof/>
          <w:kern w:val="0"/>
          <w:sz w:val="24"/>
          <w:szCs w:val="24"/>
          <w:lang w:eastAsia="pl-PL"/>
          <w14:ligatures w14:val="none"/>
        </w:rPr>
      </w:pPr>
      <w:hyperlink w:anchor="_Toc219369265" w:history="1">
        <w:r w:rsidRPr="009228E0">
          <w:rPr>
            <w:rStyle w:val="Hipercze"/>
            <w:rFonts w:ascii="Arial" w:hAnsi="Arial" w:cs="Arial"/>
            <w:noProof/>
            <w:sz w:val="24"/>
            <w:szCs w:val="24"/>
          </w:rPr>
          <w:t>Wykres 39. Poziom skłonności Polaków do polecania ubiegania się o wsparcie z Funduszy Europejskich (NPS) w latach 2018–2025 (N=101)</w:t>
        </w:r>
        <w:r w:rsidRPr="009228E0">
          <w:rPr>
            <w:rFonts w:ascii="Arial" w:hAnsi="Arial" w:cs="Arial"/>
            <w:noProof/>
            <w:webHidden/>
            <w:sz w:val="24"/>
            <w:szCs w:val="24"/>
          </w:rPr>
          <w:tab/>
        </w:r>
        <w:r w:rsidRPr="009228E0">
          <w:rPr>
            <w:rFonts w:ascii="Arial" w:hAnsi="Arial" w:cs="Arial"/>
            <w:noProof/>
            <w:webHidden/>
            <w:sz w:val="24"/>
            <w:szCs w:val="24"/>
          </w:rPr>
          <w:fldChar w:fldCharType="begin"/>
        </w:r>
        <w:r w:rsidRPr="009228E0">
          <w:rPr>
            <w:rFonts w:ascii="Arial" w:hAnsi="Arial" w:cs="Arial"/>
            <w:noProof/>
            <w:webHidden/>
            <w:sz w:val="24"/>
            <w:szCs w:val="24"/>
          </w:rPr>
          <w:instrText xml:space="preserve"> PAGEREF _Toc219369265 \h </w:instrText>
        </w:r>
        <w:r w:rsidRPr="009228E0">
          <w:rPr>
            <w:rFonts w:ascii="Arial" w:hAnsi="Arial" w:cs="Arial"/>
            <w:noProof/>
            <w:webHidden/>
            <w:sz w:val="24"/>
            <w:szCs w:val="24"/>
          </w:rPr>
        </w:r>
        <w:r w:rsidRPr="009228E0">
          <w:rPr>
            <w:rFonts w:ascii="Arial" w:hAnsi="Arial" w:cs="Arial"/>
            <w:noProof/>
            <w:webHidden/>
            <w:sz w:val="24"/>
            <w:szCs w:val="24"/>
          </w:rPr>
          <w:fldChar w:fldCharType="separate"/>
        </w:r>
        <w:r w:rsidR="000F26BD">
          <w:rPr>
            <w:rFonts w:ascii="Arial" w:hAnsi="Arial" w:cs="Arial"/>
            <w:noProof/>
            <w:webHidden/>
            <w:sz w:val="24"/>
            <w:szCs w:val="24"/>
          </w:rPr>
          <w:t>77</w:t>
        </w:r>
        <w:r w:rsidRPr="009228E0">
          <w:rPr>
            <w:rFonts w:ascii="Arial" w:hAnsi="Arial" w:cs="Arial"/>
            <w:noProof/>
            <w:webHidden/>
            <w:sz w:val="24"/>
            <w:szCs w:val="24"/>
          </w:rPr>
          <w:fldChar w:fldCharType="end"/>
        </w:r>
      </w:hyperlink>
    </w:p>
    <w:p w14:paraId="1A53F3BA" w14:textId="032496CD" w:rsidR="009228E0" w:rsidRPr="009228E0" w:rsidRDefault="009228E0" w:rsidP="009228E0">
      <w:pPr>
        <w:pStyle w:val="Spisilustracji"/>
        <w:tabs>
          <w:tab w:val="right" w:leader="dot" w:pos="9060"/>
        </w:tabs>
        <w:spacing w:line="360" w:lineRule="auto"/>
        <w:jc w:val="both"/>
        <w:rPr>
          <w:rFonts w:ascii="Arial" w:eastAsiaTheme="minorEastAsia" w:hAnsi="Arial" w:cs="Arial"/>
          <w:noProof/>
          <w:kern w:val="0"/>
          <w:sz w:val="24"/>
          <w:szCs w:val="24"/>
          <w:lang w:eastAsia="pl-PL"/>
          <w14:ligatures w14:val="none"/>
        </w:rPr>
      </w:pPr>
      <w:hyperlink w:anchor="_Toc219369266" w:history="1">
        <w:r w:rsidRPr="009228E0">
          <w:rPr>
            <w:rStyle w:val="Hipercze"/>
            <w:rFonts w:ascii="Arial" w:hAnsi="Arial" w:cs="Arial"/>
            <w:noProof/>
            <w:sz w:val="24"/>
            <w:szCs w:val="24"/>
          </w:rPr>
          <w:t>Wykres 40. P21. Czy kiedykolwiek uczestniczył(a) Pan(i) w przedsięwzięciu dofinansowanym z Funduszy Europejskich, lub korzystał(a) z bezpłatnego lub dofinansowanego z FE szkolenia?</w:t>
        </w:r>
        <w:r w:rsidRPr="009228E0">
          <w:rPr>
            <w:rFonts w:ascii="Arial" w:hAnsi="Arial" w:cs="Arial"/>
            <w:noProof/>
            <w:webHidden/>
            <w:sz w:val="24"/>
            <w:szCs w:val="24"/>
          </w:rPr>
          <w:tab/>
        </w:r>
        <w:r w:rsidRPr="009228E0">
          <w:rPr>
            <w:rFonts w:ascii="Arial" w:hAnsi="Arial" w:cs="Arial"/>
            <w:noProof/>
            <w:webHidden/>
            <w:sz w:val="24"/>
            <w:szCs w:val="24"/>
          </w:rPr>
          <w:fldChar w:fldCharType="begin"/>
        </w:r>
        <w:r w:rsidRPr="009228E0">
          <w:rPr>
            <w:rFonts w:ascii="Arial" w:hAnsi="Arial" w:cs="Arial"/>
            <w:noProof/>
            <w:webHidden/>
            <w:sz w:val="24"/>
            <w:szCs w:val="24"/>
          </w:rPr>
          <w:instrText xml:space="preserve"> PAGEREF _Toc219369266 \h </w:instrText>
        </w:r>
        <w:r w:rsidRPr="009228E0">
          <w:rPr>
            <w:rFonts w:ascii="Arial" w:hAnsi="Arial" w:cs="Arial"/>
            <w:noProof/>
            <w:webHidden/>
            <w:sz w:val="24"/>
            <w:szCs w:val="24"/>
          </w:rPr>
        </w:r>
        <w:r w:rsidRPr="009228E0">
          <w:rPr>
            <w:rFonts w:ascii="Arial" w:hAnsi="Arial" w:cs="Arial"/>
            <w:noProof/>
            <w:webHidden/>
            <w:sz w:val="24"/>
            <w:szCs w:val="24"/>
          </w:rPr>
          <w:fldChar w:fldCharType="separate"/>
        </w:r>
        <w:r w:rsidR="000F26BD">
          <w:rPr>
            <w:rFonts w:ascii="Arial" w:hAnsi="Arial" w:cs="Arial"/>
            <w:noProof/>
            <w:webHidden/>
            <w:sz w:val="24"/>
            <w:szCs w:val="24"/>
          </w:rPr>
          <w:t>79</w:t>
        </w:r>
        <w:r w:rsidRPr="009228E0">
          <w:rPr>
            <w:rFonts w:ascii="Arial" w:hAnsi="Arial" w:cs="Arial"/>
            <w:noProof/>
            <w:webHidden/>
            <w:sz w:val="24"/>
            <w:szCs w:val="24"/>
          </w:rPr>
          <w:fldChar w:fldCharType="end"/>
        </w:r>
      </w:hyperlink>
    </w:p>
    <w:p w14:paraId="21B9EAE8" w14:textId="22D0008A" w:rsidR="009228E0" w:rsidRPr="009228E0" w:rsidRDefault="009228E0" w:rsidP="009228E0">
      <w:pPr>
        <w:pStyle w:val="Spisilustracji"/>
        <w:tabs>
          <w:tab w:val="right" w:leader="dot" w:pos="9060"/>
        </w:tabs>
        <w:spacing w:line="360" w:lineRule="auto"/>
        <w:jc w:val="both"/>
        <w:rPr>
          <w:rFonts w:ascii="Arial" w:eastAsiaTheme="minorEastAsia" w:hAnsi="Arial" w:cs="Arial"/>
          <w:noProof/>
          <w:kern w:val="0"/>
          <w:sz w:val="24"/>
          <w:szCs w:val="24"/>
          <w:lang w:eastAsia="pl-PL"/>
          <w14:ligatures w14:val="none"/>
        </w:rPr>
      </w:pPr>
      <w:hyperlink w:anchor="_Toc219369267" w:history="1">
        <w:r w:rsidRPr="009228E0">
          <w:rPr>
            <w:rStyle w:val="Hipercze"/>
            <w:rFonts w:ascii="Arial" w:hAnsi="Arial" w:cs="Arial"/>
            <w:noProof/>
            <w:sz w:val="24"/>
            <w:szCs w:val="24"/>
          </w:rPr>
          <w:t>Wykres 41. P24. Czy zamierza Pan(i) ubiegać się o wsparcie w ramach Funduszy Europejskich? - w latach 2014–2025</w:t>
        </w:r>
        <w:r w:rsidRPr="009228E0">
          <w:rPr>
            <w:rFonts w:ascii="Arial" w:hAnsi="Arial" w:cs="Arial"/>
            <w:noProof/>
            <w:webHidden/>
            <w:sz w:val="24"/>
            <w:szCs w:val="24"/>
          </w:rPr>
          <w:tab/>
        </w:r>
        <w:r w:rsidRPr="009228E0">
          <w:rPr>
            <w:rFonts w:ascii="Arial" w:hAnsi="Arial" w:cs="Arial"/>
            <w:noProof/>
            <w:webHidden/>
            <w:sz w:val="24"/>
            <w:szCs w:val="24"/>
          </w:rPr>
          <w:fldChar w:fldCharType="begin"/>
        </w:r>
        <w:r w:rsidRPr="009228E0">
          <w:rPr>
            <w:rFonts w:ascii="Arial" w:hAnsi="Arial" w:cs="Arial"/>
            <w:noProof/>
            <w:webHidden/>
            <w:sz w:val="24"/>
            <w:szCs w:val="24"/>
          </w:rPr>
          <w:instrText xml:space="preserve"> PAGEREF _Toc219369267 \h </w:instrText>
        </w:r>
        <w:r w:rsidRPr="009228E0">
          <w:rPr>
            <w:rFonts w:ascii="Arial" w:hAnsi="Arial" w:cs="Arial"/>
            <w:noProof/>
            <w:webHidden/>
            <w:sz w:val="24"/>
            <w:szCs w:val="24"/>
          </w:rPr>
        </w:r>
        <w:r w:rsidRPr="009228E0">
          <w:rPr>
            <w:rFonts w:ascii="Arial" w:hAnsi="Arial" w:cs="Arial"/>
            <w:noProof/>
            <w:webHidden/>
            <w:sz w:val="24"/>
            <w:szCs w:val="24"/>
          </w:rPr>
          <w:fldChar w:fldCharType="separate"/>
        </w:r>
        <w:r w:rsidR="000F26BD">
          <w:rPr>
            <w:rFonts w:ascii="Arial" w:hAnsi="Arial" w:cs="Arial"/>
            <w:noProof/>
            <w:webHidden/>
            <w:sz w:val="24"/>
            <w:szCs w:val="24"/>
          </w:rPr>
          <w:t>81</w:t>
        </w:r>
        <w:r w:rsidRPr="009228E0">
          <w:rPr>
            <w:rFonts w:ascii="Arial" w:hAnsi="Arial" w:cs="Arial"/>
            <w:noProof/>
            <w:webHidden/>
            <w:sz w:val="24"/>
            <w:szCs w:val="24"/>
          </w:rPr>
          <w:fldChar w:fldCharType="end"/>
        </w:r>
      </w:hyperlink>
    </w:p>
    <w:p w14:paraId="747592EE" w14:textId="5511E7EE" w:rsidR="009228E0" w:rsidRPr="009228E0" w:rsidRDefault="009228E0" w:rsidP="009228E0">
      <w:pPr>
        <w:pStyle w:val="Spisilustracji"/>
        <w:tabs>
          <w:tab w:val="right" w:leader="dot" w:pos="9060"/>
        </w:tabs>
        <w:spacing w:line="360" w:lineRule="auto"/>
        <w:jc w:val="both"/>
        <w:rPr>
          <w:rFonts w:ascii="Arial" w:eastAsiaTheme="minorEastAsia" w:hAnsi="Arial" w:cs="Arial"/>
          <w:noProof/>
          <w:kern w:val="0"/>
          <w:sz w:val="24"/>
          <w:szCs w:val="24"/>
          <w:lang w:eastAsia="pl-PL"/>
          <w14:ligatures w14:val="none"/>
        </w:rPr>
      </w:pPr>
      <w:hyperlink w:anchor="_Toc219369268" w:history="1">
        <w:r w:rsidRPr="009228E0">
          <w:rPr>
            <w:rStyle w:val="Hipercze"/>
            <w:rFonts w:ascii="Arial" w:hAnsi="Arial" w:cs="Arial"/>
            <w:noProof/>
            <w:sz w:val="24"/>
            <w:szCs w:val="24"/>
          </w:rPr>
          <w:t>Wykres 42. P24. Czy zamierza Pan(i) ubiegać się o wsparcie w ramach Funduszy Europejskich? - według cech demograficznych</w:t>
        </w:r>
        <w:r w:rsidRPr="009228E0">
          <w:rPr>
            <w:rFonts w:ascii="Arial" w:hAnsi="Arial" w:cs="Arial"/>
            <w:noProof/>
            <w:webHidden/>
            <w:sz w:val="24"/>
            <w:szCs w:val="24"/>
          </w:rPr>
          <w:tab/>
        </w:r>
        <w:r w:rsidRPr="009228E0">
          <w:rPr>
            <w:rFonts w:ascii="Arial" w:hAnsi="Arial" w:cs="Arial"/>
            <w:noProof/>
            <w:webHidden/>
            <w:sz w:val="24"/>
            <w:szCs w:val="24"/>
          </w:rPr>
          <w:fldChar w:fldCharType="begin"/>
        </w:r>
        <w:r w:rsidRPr="009228E0">
          <w:rPr>
            <w:rFonts w:ascii="Arial" w:hAnsi="Arial" w:cs="Arial"/>
            <w:noProof/>
            <w:webHidden/>
            <w:sz w:val="24"/>
            <w:szCs w:val="24"/>
          </w:rPr>
          <w:instrText xml:space="preserve"> PAGEREF _Toc219369268 \h </w:instrText>
        </w:r>
        <w:r w:rsidRPr="009228E0">
          <w:rPr>
            <w:rFonts w:ascii="Arial" w:hAnsi="Arial" w:cs="Arial"/>
            <w:noProof/>
            <w:webHidden/>
            <w:sz w:val="24"/>
            <w:szCs w:val="24"/>
          </w:rPr>
        </w:r>
        <w:r w:rsidRPr="009228E0">
          <w:rPr>
            <w:rFonts w:ascii="Arial" w:hAnsi="Arial" w:cs="Arial"/>
            <w:noProof/>
            <w:webHidden/>
            <w:sz w:val="24"/>
            <w:szCs w:val="24"/>
          </w:rPr>
          <w:fldChar w:fldCharType="separate"/>
        </w:r>
        <w:r w:rsidR="000F26BD">
          <w:rPr>
            <w:rFonts w:ascii="Arial" w:hAnsi="Arial" w:cs="Arial"/>
            <w:noProof/>
            <w:webHidden/>
            <w:sz w:val="24"/>
            <w:szCs w:val="24"/>
          </w:rPr>
          <w:t>83</w:t>
        </w:r>
        <w:r w:rsidRPr="009228E0">
          <w:rPr>
            <w:rFonts w:ascii="Arial" w:hAnsi="Arial" w:cs="Arial"/>
            <w:noProof/>
            <w:webHidden/>
            <w:sz w:val="24"/>
            <w:szCs w:val="24"/>
          </w:rPr>
          <w:fldChar w:fldCharType="end"/>
        </w:r>
      </w:hyperlink>
    </w:p>
    <w:p w14:paraId="5D92ADB2" w14:textId="6125D619" w:rsidR="009228E0" w:rsidRPr="009228E0" w:rsidRDefault="009228E0" w:rsidP="009228E0">
      <w:pPr>
        <w:pStyle w:val="Spisilustracji"/>
        <w:tabs>
          <w:tab w:val="right" w:leader="dot" w:pos="9060"/>
        </w:tabs>
        <w:spacing w:line="360" w:lineRule="auto"/>
        <w:jc w:val="both"/>
        <w:rPr>
          <w:rFonts w:ascii="Arial" w:eastAsiaTheme="minorEastAsia" w:hAnsi="Arial" w:cs="Arial"/>
          <w:noProof/>
          <w:kern w:val="0"/>
          <w:sz w:val="24"/>
          <w:szCs w:val="24"/>
          <w:lang w:eastAsia="pl-PL"/>
          <w14:ligatures w14:val="none"/>
        </w:rPr>
      </w:pPr>
      <w:hyperlink w:anchor="_Toc219369269" w:history="1">
        <w:r w:rsidRPr="009228E0">
          <w:rPr>
            <w:rStyle w:val="Hipercze"/>
            <w:rFonts w:ascii="Arial" w:hAnsi="Arial" w:cs="Arial"/>
            <w:noProof/>
            <w:sz w:val="24"/>
            <w:szCs w:val="24"/>
          </w:rPr>
          <w:t>Wykres 43. P29. Czy każdy uprawniony ma, Pana(i) zdaniem, takie same szanse na uzyskanie dofinansowania w ramach Funduszy Europejskich? - w latach 2014–2025</w:t>
        </w:r>
        <w:r w:rsidRPr="009228E0">
          <w:rPr>
            <w:rFonts w:ascii="Arial" w:hAnsi="Arial" w:cs="Arial"/>
            <w:noProof/>
            <w:webHidden/>
            <w:sz w:val="24"/>
            <w:szCs w:val="24"/>
          </w:rPr>
          <w:tab/>
        </w:r>
        <w:r w:rsidRPr="009228E0">
          <w:rPr>
            <w:rFonts w:ascii="Arial" w:hAnsi="Arial" w:cs="Arial"/>
            <w:noProof/>
            <w:webHidden/>
            <w:sz w:val="24"/>
            <w:szCs w:val="24"/>
          </w:rPr>
          <w:fldChar w:fldCharType="begin"/>
        </w:r>
        <w:r w:rsidRPr="009228E0">
          <w:rPr>
            <w:rFonts w:ascii="Arial" w:hAnsi="Arial" w:cs="Arial"/>
            <w:noProof/>
            <w:webHidden/>
            <w:sz w:val="24"/>
            <w:szCs w:val="24"/>
          </w:rPr>
          <w:instrText xml:space="preserve"> PAGEREF _Toc219369269 \h </w:instrText>
        </w:r>
        <w:r w:rsidRPr="009228E0">
          <w:rPr>
            <w:rFonts w:ascii="Arial" w:hAnsi="Arial" w:cs="Arial"/>
            <w:noProof/>
            <w:webHidden/>
            <w:sz w:val="24"/>
            <w:szCs w:val="24"/>
          </w:rPr>
        </w:r>
        <w:r w:rsidRPr="009228E0">
          <w:rPr>
            <w:rFonts w:ascii="Arial" w:hAnsi="Arial" w:cs="Arial"/>
            <w:noProof/>
            <w:webHidden/>
            <w:sz w:val="24"/>
            <w:szCs w:val="24"/>
          </w:rPr>
          <w:fldChar w:fldCharType="separate"/>
        </w:r>
        <w:r w:rsidR="000F26BD">
          <w:rPr>
            <w:rFonts w:ascii="Arial" w:hAnsi="Arial" w:cs="Arial"/>
            <w:noProof/>
            <w:webHidden/>
            <w:sz w:val="24"/>
            <w:szCs w:val="24"/>
          </w:rPr>
          <w:t>85</w:t>
        </w:r>
        <w:r w:rsidRPr="009228E0">
          <w:rPr>
            <w:rFonts w:ascii="Arial" w:hAnsi="Arial" w:cs="Arial"/>
            <w:noProof/>
            <w:webHidden/>
            <w:sz w:val="24"/>
            <w:szCs w:val="24"/>
          </w:rPr>
          <w:fldChar w:fldCharType="end"/>
        </w:r>
      </w:hyperlink>
    </w:p>
    <w:p w14:paraId="5F1E5B9B" w14:textId="398A2AF8" w:rsidR="009228E0" w:rsidRPr="009228E0" w:rsidRDefault="009228E0" w:rsidP="009228E0">
      <w:pPr>
        <w:pStyle w:val="Spisilustracji"/>
        <w:tabs>
          <w:tab w:val="right" w:leader="dot" w:pos="9060"/>
        </w:tabs>
        <w:spacing w:line="360" w:lineRule="auto"/>
        <w:jc w:val="both"/>
        <w:rPr>
          <w:rFonts w:ascii="Arial" w:eastAsiaTheme="minorEastAsia" w:hAnsi="Arial" w:cs="Arial"/>
          <w:noProof/>
          <w:kern w:val="0"/>
          <w:sz w:val="24"/>
          <w:szCs w:val="24"/>
          <w:lang w:eastAsia="pl-PL"/>
          <w14:ligatures w14:val="none"/>
        </w:rPr>
      </w:pPr>
      <w:hyperlink w:anchor="_Toc219369270" w:history="1">
        <w:r w:rsidRPr="009228E0">
          <w:rPr>
            <w:rStyle w:val="Hipercze"/>
            <w:rFonts w:ascii="Arial" w:hAnsi="Arial" w:cs="Arial"/>
            <w:noProof/>
            <w:sz w:val="24"/>
            <w:szCs w:val="24"/>
          </w:rPr>
          <w:t>Wykres 44. P30. Skoro nie każdy ma równe szanse na uzyskanie dofinansowania, komu jest łatwiej je otrzymać? (N=193)</w:t>
        </w:r>
        <w:r w:rsidRPr="009228E0">
          <w:rPr>
            <w:rFonts w:ascii="Arial" w:hAnsi="Arial" w:cs="Arial"/>
            <w:noProof/>
            <w:webHidden/>
            <w:sz w:val="24"/>
            <w:szCs w:val="24"/>
          </w:rPr>
          <w:tab/>
        </w:r>
        <w:r w:rsidRPr="009228E0">
          <w:rPr>
            <w:rFonts w:ascii="Arial" w:hAnsi="Arial" w:cs="Arial"/>
            <w:noProof/>
            <w:webHidden/>
            <w:sz w:val="24"/>
            <w:szCs w:val="24"/>
          </w:rPr>
          <w:fldChar w:fldCharType="begin"/>
        </w:r>
        <w:r w:rsidRPr="009228E0">
          <w:rPr>
            <w:rFonts w:ascii="Arial" w:hAnsi="Arial" w:cs="Arial"/>
            <w:noProof/>
            <w:webHidden/>
            <w:sz w:val="24"/>
            <w:szCs w:val="24"/>
          </w:rPr>
          <w:instrText xml:space="preserve"> PAGEREF _Toc219369270 \h </w:instrText>
        </w:r>
        <w:r w:rsidRPr="009228E0">
          <w:rPr>
            <w:rFonts w:ascii="Arial" w:hAnsi="Arial" w:cs="Arial"/>
            <w:noProof/>
            <w:webHidden/>
            <w:sz w:val="24"/>
            <w:szCs w:val="24"/>
          </w:rPr>
        </w:r>
        <w:r w:rsidRPr="009228E0">
          <w:rPr>
            <w:rFonts w:ascii="Arial" w:hAnsi="Arial" w:cs="Arial"/>
            <w:noProof/>
            <w:webHidden/>
            <w:sz w:val="24"/>
            <w:szCs w:val="24"/>
          </w:rPr>
          <w:fldChar w:fldCharType="separate"/>
        </w:r>
        <w:r w:rsidR="000F26BD">
          <w:rPr>
            <w:rFonts w:ascii="Arial" w:hAnsi="Arial" w:cs="Arial"/>
            <w:noProof/>
            <w:webHidden/>
            <w:sz w:val="24"/>
            <w:szCs w:val="24"/>
          </w:rPr>
          <w:t>86</w:t>
        </w:r>
        <w:r w:rsidRPr="009228E0">
          <w:rPr>
            <w:rFonts w:ascii="Arial" w:hAnsi="Arial" w:cs="Arial"/>
            <w:noProof/>
            <w:webHidden/>
            <w:sz w:val="24"/>
            <w:szCs w:val="24"/>
          </w:rPr>
          <w:fldChar w:fldCharType="end"/>
        </w:r>
      </w:hyperlink>
    </w:p>
    <w:p w14:paraId="2AAD3043" w14:textId="24C25964" w:rsidR="009228E0" w:rsidRPr="009228E0" w:rsidRDefault="009228E0" w:rsidP="009228E0">
      <w:pPr>
        <w:pStyle w:val="Spisilustracji"/>
        <w:tabs>
          <w:tab w:val="right" w:leader="dot" w:pos="9060"/>
        </w:tabs>
        <w:spacing w:line="360" w:lineRule="auto"/>
        <w:jc w:val="both"/>
        <w:rPr>
          <w:rFonts w:ascii="Arial" w:eastAsiaTheme="minorEastAsia" w:hAnsi="Arial" w:cs="Arial"/>
          <w:noProof/>
          <w:kern w:val="0"/>
          <w:sz w:val="24"/>
          <w:szCs w:val="24"/>
          <w:lang w:eastAsia="pl-PL"/>
          <w14:ligatures w14:val="none"/>
        </w:rPr>
      </w:pPr>
      <w:hyperlink w:anchor="_Toc219369271" w:history="1">
        <w:r w:rsidRPr="009228E0">
          <w:rPr>
            <w:rStyle w:val="Hipercze"/>
            <w:rFonts w:ascii="Arial" w:hAnsi="Arial" w:cs="Arial"/>
            <w:noProof/>
            <w:sz w:val="24"/>
            <w:szCs w:val="24"/>
          </w:rPr>
          <w:t>Wykres 45. P31. Czy, Pana(i) zdaniem, łatwo jest uzyskać dofinansowanie z Unii Europejskiej?- w latach 2014–2025 (porównanie odpowiedzi „łatwo” i „trudno”)</w:t>
        </w:r>
        <w:r w:rsidRPr="009228E0">
          <w:rPr>
            <w:rFonts w:ascii="Arial" w:hAnsi="Arial" w:cs="Arial"/>
            <w:noProof/>
            <w:webHidden/>
            <w:sz w:val="24"/>
            <w:szCs w:val="24"/>
          </w:rPr>
          <w:tab/>
        </w:r>
        <w:r w:rsidRPr="009228E0">
          <w:rPr>
            <w:rFonts w:ascii="Arial" w:hAnsi="Arial" w:cs="Arial"/>
            <w:noProof/>
            <w:webHidden/>
            <w:sz w:val="24"/>
            <w:szCs w:val="24"/>
          </w:rPr>
          <w:fldChar w:fldCharType="begin"/>
        </w:r>
        <w:r w:rsidRPr="009228E0">
          <w:rPr>
            <w:rFonts w:ascii="Arial" w:hAnsi="Arial" w:cs="Arial"/>
            <w:noProof/>
            <w:webHidden/>
            <w:sz w:val="24"/>
            <w:szCs w:val="24"/>
          </w:rPr>
          <w:instrText xml:space="preserve"> PAGEREF _Toc219369271 \h </w:instrText>
        </w:r>
        <w:r w:rsidRPr="009228E0">
          <w:rPr>
            <w:rFonts w:ascii="Arial" w:hAnsi="Arial" w:cs="Arial"/>
            <w:noProof/>
            <w:webHidden/>
            <w:sz w:val="24"/>
            <w:szCs w:val="24"/>
          </w:rPr>
        </w:r>
        <w:r w:rsidRPr="009228E0">
          <w:rPr>
            <w:rFonts w:ascii="Arial" w:hAnsi="Arial" w:cs="Arial"/>
            <w:noProof/>
            <w:webHidden/>
            <w:sz w:val="24"/>
            <w:szCs w:val="24"/>
          </w:rPr>
          <w:fldChar w:fldCharType="separate"/>
        </w:r>
        <w:r w:rsidR="000F26BD">
          <w:rPr>
            <w:rFonts w:ascii="Arial" w:hAnsi="Arial" w:cs="Arial"/>
            <w:noProof/>
            <w:webHidden/>
            <w:sz w:val="24"/>
            <w:szCs w:val="24"/>
          </w:rPr>
          <w:t>88</w:t>
        </w:r>
        <w:r w:rsidRPr="009228E0">
          <w:rPr>
            <w:rFonts w:ascii="Arial" w:hAnsi="Arial" w:cs="Arial"/>
            <w:noProof/>
            <w:webHidden/>
            <w:sz w:val="24"/>
            <w:szCs w:val="24"/>
          </w:rPr>
          <w:fldChar w:fldCharType="end"/>
        </w:r>
      </w:hyperlink>
    </w:p>
    <w:p w14:paraId="512143D8" w14:textId="1E637FDF" w:rsidR="009228E0" w:rsidRPr="009228E0" w:rsidRDefault="009228E0" w:rsidP="009228E0">
      <w:pPr>
        <w:pStyle w:val="Spisilustracji"/>
        <w:tabs>
          <w:tab w:val="right" w:leader="dot" w:pos="9060"/>
        </w:tabs>
        <w:spacing w:line="360" w:lineRule="auto"/>
        <w:jc w:val="both"/>
        <w:rPr>
          <w:rFonts w:ascii="Arial" w:eastAsiaTheme="minorEastAsia" w:hAnsi="Arial" w:cs="Arial"/>
          <w:noProof/>
          <w:kern w:val="0"/>
          <w:sz w:val="24"/>
          <w:szCs w:val="24"/>
          <w:lang w:eastAsia="pl-PL"/>
          <w14:ligatures w14:val="none"/>
        </w:rPr>
      </w:pPr>
      <w:hyperlink w:anchor="_Toc219369272" w:history="1">
        <w:r w:rsidRPr="009228E0">
          <w:rPr>
            <w:rStyle w:val="Hipercze"/>
            <w:rFonts w:ascii="Arial" w:hAnsi="Arial" w:cs="Arial"/>
            <w:noProof/>
            <w:sz w:val="24"/>
            <w:szCs w:val="24"/>
          </w:rPr>
          <w:t>Wykres 46. P31. Czy, Pana(i) zdaniem, łatwo jest uzyskać dofinansowanie z Unii Europejskiej? - według cech demograficznych</w:t>
        </w:r>
        <w:r w:rsidRPr="009228E0">
          <w:rPr>
            <w:rFonts w:ascii="Arial" w:hAnsi="Arial" w:cs="Arial"/>
            <w:noProof/>
            <w:webHidden/>
            <w:sz w:val="24"/>
            <w:szCs w:val="24"/>
          </w:rPr>
          <w:tab/>
        </w:r>
        <w:r w:rsidRPr="009228E0">
          <w:rPr>
            <w:rFonts w:ascii="Arial" w:hAnsi="Arial" w:cs="Arial"/>
            <w:noProof/>
            <w:webHidden/>
            <w:sz w:val="24"/>
            <w:szCs w:val="24"/>
          </w:rPr>
          <w:fldChar w:fldCharType="begin"/>
        </w:r>
        <w:r w:rsidRPr="009228E0">
          <w:rPr>
            <w:rFonts w:ascii="Arial" w:hAnsi="Arial" w:cs="Arial"/>
            <w:noProof/>
            <w:webHidden/>
            <w:sz w:val="24"/>
            <w:szCs w:val="24"/>
          </w:rPr>
          <w:instrText xml:space="preserve"> PAGEREF _Toc219369272 \h </w:instrText>
        </w:r>
        <w:r w:rsidRPr="009228E0">
          <w:rPr>
            <w:rFonts w:ascii="Arial" w:hAnsi="Arial" w:cs="Arial"/>
            <w:noProof/>
            <w:webHidden/>
            <w:sz w:val="24"/>
            <w:szCs w:val="24"/>
          </w:rPr>
        </w:r>
        <w:r w:rsidRPr="009228E0">
          <w:rPr>
            <w:rFonts w:ascii="Arial" w:hAnsi="Arial" w:cs="Arial"/>
            <w:noProof/>
            <w:webHidden/>
            <w:sz w:val="24"/>
            <w:szCs w:val="24"/>
          </w:rPr>
          <w:fldChar w:fldCharType="separate"/>
        </w:r>
        <w:r w:rsidR="000F26BD">
          <w:rPr>
            <w:rFonts w:ascii="Arial" w:hAnsi="Arial" w:cs="Arial"/>
            <w:noProof/>
            <w:webHidden/>
            <w:sz w:val="24"/>
            <w:szCs w:val="24"/>
          </w:rPr>
          <w:t>89</w:t>
        </w:r>
        <w:r w:rsidRPr="009228E0">
          <w:rPr>
            <w:rFonts w:ascii="Arial" w:hAnsi="Arial" w:cs="Arial"/>
            <w:noProof/>
            <w:webHidden/>
            <w:sz w:val="24"/>
            <w:szCs w:val="24"/>
          </w:rPr>
          <w:fldChar w:fldCharType="end"/>
        </w:r>
      </w:hyperlink>
    </w:p>
    <w:p w14:paraId="04349694" w14:textId="735C983A" w:rsidR="009228E0" w:rsidRPr="009228E0" w:rsidRDefault="009228E0" w:rsidP="009228E0">
      <w:pPr>
        <w:pStyle w:val="Spisilustracji"/>
        <w:tabs>
          <w:tab w:val="right" w:leader="dot" w:pos="9060"/>
        </w:tabs>
        <w:spacing w:line="360" w:lineRule="auto"/>
        <w:jc w:val="both"/>
        <w:rPr>
          <w:rFonts w:ascii="Arial" w:eastAsiaTheme="minorEastAsia" w:hAnsi="Arial" w:cs="Arial"/>
          <w:noProof/>
          <w:kern w:val="0"/>
          <w:sz w:val="24"/>
          <w:szCs w:val="24"/>
          <w:lang w:eastAsia="pl-PL"/>
          <w14:ligatures w14:val="none"/>
        </w:rPr>
      </w:pPr>
      <w:hyperlink w:anchor="_Toc219369273" w:history="1">
        <w:r w:rsidRPr="009228E0">
          <w:rPr>
            <w:rStyle w:val="Hipercze"/>
            <w:rFonts w:ascii="Arial" w:hAnsi="Arial" w:cs="Arial"/>
            <w:noProof/>
            <w:sz w:val="24"/>
            <w:szCs w:val="24"/>
          </w:rPr>
          <w:t>Wykres 47. P32. Z jakich powodów uważa Pan(i), że trudno jest uzyskać dofinansowanie z Unii Europejskiej?  (N=127)</w:t>
        </w:r>
        <w:r w:rsidRPr="009228E0">
          <w:rPr>
            <w:rFonts w:ascii="Arial" w:hAnsi="Arial" w:cs="Arial"/>
            <w:noProof/>
            <w:webHidden/>
            <w:sz w:val="24"/>
            <w:szCs w:val="24"/>
          </w:rPr>
          <w:tab/>
        </w:r>
        <w:r w:rsidRPr="009228E0">
          <w:rPr>
            <w:rFonts w:ascii="Arial" w:hAnsi="Arial" w:cs="Arial"/>
            <w:noProof/>
            <w:webHidden/>
            <w:sz w:val="24"/>
            <w:szCs w:val="24"/>
          </w:rPr>
          <w:fldChar w:fldCharType="begin"/>
        </w:r>
        <w:r w:rsidRPr="009228E0">
          <w:rPr>
            <w:rFonts w:ascii="Arial" w:hAnsi="Arial" w:cs="Arial"/>
            <w:noProof/>
            <w:webHidden/>
            <w:sz w:val="24"/>
            <w:szCs w:val="24"/>
          </w:rPr>
          <w:instrText xml:space="preserve"> PAGEREF _Toc219369273 \h </w:instrText>
        </w:r>
        <w:r w:rsidRPr="009228E0">
          <w:rPr>
            <w:rFonts w:ascii="Arial" w:hAnsi="Arial" w:cs="Arial"/>
            <w:noProof/>
            <w:webHidden/>
            <w:sz w:val="24"/>
            <w:szCs w:val="24"/>
          </w:rPr>
        </w:r>
        <w:r w:rsidRPr="009228E0">
          <w:rPr>
            <w:rFonts w:ascii="Arial" w:hAnsi="Arial" w:cs="Arial"/>
            <w:noProof/>
            <w:webHidden/>
            <w:sz w:val="24"/>
            <w:szCs w:val="24"/>
          </w:rPr>
          <w:fldChar w:fldCharType="separate"/>
        </w:r>
        <w:r w:rsidR="000F26BD">
          <w:rPr>
            <w:rFonts w:ascii="Arial" w:hAnsi="Arial" w:cs="Arial"/>
            <w:noProof/>
            <w:webHidden/>
            <w:sz w:val="24"/>
            <w:szCs w:val="24"/>
          </w:rPr>
          <w:t>90</w:t>
        </w:r>
        <w:r w:rsidRPr="009228E0">
          <w:rPr>
            <w:rFonts w:ascii="Arial" w:hAnsi="Arial" w:cs="Arial"/>
            <w:noProof/>
            <w:webHidden/>
            <w:sz w:val="24"/>
            <w:szCs w:val="24"/>
          </w:rPr>
          <w:fldChar w:fldCharType="end"/>
        </w:r>
      </w:hyperlink>
    </w:p>
    <w:p w14:paraId="70816ED3" w14:textId="6F3049AC" w:rsidR="009228E0" w:rsidRPr="009228E0" w:rsidRDefault="009228E0" w:rsidP="009228E0">
      <w:pPr>
        <w:pStyle w:val="Spisilustracji"/>
        <w:tabs>
          <w:tab w:val="right" w:leader="dot" w:pos="9060"/>
        </w:tabs>
        <w:spacing w:line="360" w:lineRule="auto"/>
        <w:jc w:val="both"/>
        <w:rPr>
          <w:rFonts w:ascii="Arial" w:eastAsiaTheme="minorEastAsia" w:hAnsi="Arial" w:cs="Arial"/>
          <w:noProof/>
          <w:kern w:val="0"/>
          <w:sz w:val="24"/>
          <w:szCs w:val="24"/>
          <w:lang w:eastAsia="pl-PL"/>
          <w14:ligatures w14:val="none"/>
        </w:rPr>
      </w:pPr>
      <w:hyperlink w:anchor="_Toc219369274" w:history="1">
        <w:r w:rsidRPr="009228E0">
          <w:rPr>
            <w:rStyle w:val="Hipercze"/>
            <w:rFonts w:ascii="Arial" w:hAnsi="Arial" w:cs="Arial"/>
            <w:noProof/>
            <w:sz w:val="24"/>
            <w:szCs w:val="24"/>
          </w:rPr>
          <w:t>Wykres 48. P15. Proszę dokończyć zdanie: dzięki Funduszom Europejskim mogę: (N=393)</w:t>
        </w:r>
        <w:r w:rsidRPr="009228E0">
          <w:rPr>
            <w:rFonts w:ascii="Arial" w:hAnsi="Arial" w:cs="Arial"/>
            <w:noProof/>
            <w:webHidden/>
            <w:sz w:val="24"/>
            <w:szCs w:val="24"/>
          </w:rPr>
          <w:tab/>
        </w:r>
        <w:r w:rsidRPr="009228E0">
          <w:rPr>
            <w:rFonts w:ascii="Arial" w:hAnsi="Arial" w:cs="Arial"/>
            <w:noProof/>
            <w:webHidden/>
            <w:sz w:val="24"/>
            <w:szCs w:val="24"/>
          </w:rPr>
          <w:fldChar w:fldCharType="begin"/>
        </w:r>
        <w:r w:rsidRPr="009228E0">
          <w:rPr>
            <w:rFonts w:ascii="Arial" w:hAnsi="Arial" w:cs="Arial"/>
            <w:noProof/>
            <w:webHidden/>
            <w:sz w:val="24"/>
            <w:szCs w:val="24"/>
          </w:rPr>
          <w:instrText xml:space="preserve"> PAGEREF _Toc219369274 \h </w:instrText>
        </w:r>
        <w:r w:rsidRPr="009228E0">
          <w:rPr>
            <w:rFonts w:ascii="Arial" w:hAnsi="Arial" w:cs="Arial"/>
            <w:noProof/>
            <w:webHidden/>
            <w:sz w:val="24"/>
            <w:szCs w:val="24"/>
          </w:rPr>
        </w:r>
        <w:r w:rsidRPr="009228E0">
          <w:rPr>
            <w:rFonts w:ascii="Arial" w:hAnsi="Arial" w:cs="Arial"/>
            <w:noProof/>
            <w:webHidden/>
            <w:sz w:val="24"/>
            <w:szCs w:val="24"/>
          </w:rPr>
          <w:fldChar w:fldCharType="separate"/>
        </w:r>
        <w:r w:rsidR="000F26BD">
          <w:rPr>
            <w:rFonts w:ascii="Arial" w:hAnsi="Arial" w:cs="Arial"/>
            <w:noProof/>
            <w:webHidden/>
            <w:sz w:val="24"/>
            <w:szCs w:val="24"/>
          </w:rPr>
          <w:t>91</w:t>
        </w:r>
        <w:r w:rsidRPr="009228E0">
          <w:rPr>
            <w:rFonts w:ascii="Arial" w:hAnsi="Arial" w:cs="Arial"/>
            <w:noProof/>
            <w:webHidden/>
            <w:sz w:val="24"/>
            <w:szCs w:val="24"/>
          </w:rPr>
          <w:fldChar w:fldCharType="end"/>
        </w:r>
      </w:hyperlink>
    </w:p>
    <w:p w14:paraId="3085844C" w14:textId="2632A82C" w:rsidR="009228E0" w:rsidRPr="009228E0" w:rsidRDefault="009228E0" w:rsidP="009228E0">
      <w:pPr>
        <w:pStyle w:val="Spisilustracji"/>
        <w:tabs>
          <w:tab w:val="right" w:leader="dot" w:pos="9060"/>
        </w:tabs>
        <w:spacing w:line="360" w:lineRule="auto"/>
        <w:jc w:val="both"/>
        <w:rPr>
          <w:rFonts w:ascii="Arial" w:eastAsiaTheme="minorEastAsia" w:hAnsi="Arial" w:cs="Arial"/>
          <w:noProof/>
          <w:kern w:val="0"/>
          <w:sz w:val="24"/>
          <w:szCs w:val="24"/>
          <w:lang w:eastAsia="pl-PL"/>
          <w14:ligatures w14:val="none"/>
        </w:rPr>
      </w:pPr>
      <w:hyperlink w:anchor="_Toc219369275" w:history="1">
        <w:r w:rsidRPr="009228E0">
          <w:rPr>
            <w:rStyle w:val="Hipercze"/>
            <w:rFonts w:ascii="Arial" w:hAnsi="Arial" w:cs="Arial"/>
            <w:noProof/>
            <w:sz w:val="24"/>
            <w:szCs w:val="24"/>
          </w:rPr>
          <w:t>Wykres 49. P34. Na ile zgadza się Pan(i) lub nie zgadza z poniższymi stwierdzeniami dotyczącymi Funduszy Europejskich? - w latach 2019–2025</w:t>
        </w:r>
        <w:r w:rsidRPr="009228E0">
          <w:rPr>
            <w:rFonts w:ascii="Arial" w:hAnsi="Arial" w:cs="Arial"/>
            <w:noProof/>
            <w:webHidden/>
            <w:sz w:val="24"/>
            <w:szCs w:val="24"/>
          </w:rPr>
          <w:tab/>
        </w:r>
        <w:r w:rsidRPr="009228E0">
          <w:rPr>
            <w:rFonts w:ascii="Arial" w:hAnsi="Arial" w:cs="Arial"/>
            <w:noProof/>
            <w:webHidden/>
            <w:sz w:val="24"/>
            <w:szCs w:val="24"/>
          </w:rPr>
          <w:fldChar w:fldCharType="begin"/>
        </w:r>
        <w:r w:rsidRPr="009228E0">
          <w:rPr>
            <w:rFonts w:ascii="Arial" w:hAnsi="Arial" w:cs="Arial"/>
            <w:noProof/>
            <w:webHidden/>
            <w:sz w:val="24"/>
            <w:szCs w:val="24"/>
          </w:rPr>
          <w:instrText xml:space="preserve"> PAGEREF _Toc219369275 \h </w:instrText>
        </w:r>
        <w:r w:rsidRPr="009228E0">
          <w:rPr>
            <w:rFonts w:ascii="Arial" w:hAnsi="Arial" w:cs="Arial"/>
            <w:noProof/>
            <w:webHidden/>
            <w:sz w:val="24"/>
            <w:szCs w:val="24"/>
          </w:rPr>
        </w:r>
        <w:r w:rsidRPr="009228E0">
          <w:rPr>
            <w:rFonts w:ascii="Arial" w:hAnsi="Arial" w:cs="Arial"/>
            <w:noProof/>
            <w:webHidden/>
            <w:sz w:val="24"/>
            <w:szCs w:val="24"/>
          </w:rPr>
          <w:fldChar w:fldCharType="separate"/>
        </w:r>
        <w:r w:rsidR="000F26BD">
          <w:rPr>
            <w:rFonts w:ascii="Arial" w:hAnsi="Arial" w:cs="Arial"/>
            <w:noProof/>
            <w:webHidden/>
            <w:sz w:val="24"/>
            <w:szCs w:val="24"/>
          </w:rPr>
          <w:t>93</w:t>
        </w:r>
        <w:r w:rsidRPr="009228E0">
          <w:rPr>
            <w:rFonts w:ascii="Arial" w:hAnsi="Arial" w:cs="Arial"/>
            <w:noProof/>
            <w:webHidden/>
            <w:sz w:val="24"/>
            <w:szCs w:val="24"/>
          </w:rPr>
          <w:fldChar w:fldCharType="end"/>
        </w:r>
      </w:hyperlink>
    </w:p>
    <w:p w14:paraId="0D3123F7" w14:textId="54B1C75A" w:rsidR="009228E0" w:rsidRPr="009228E0" w:rsidRDefault="009228E0" w:rsidP="009228E0">
      <w:pPr>
        <w:pStyle w:val="Spisilustracji"/>
        <w:tabs>
          <w:tab w:val="right" w:leader="dot" w:pos="9060"/>
        </w:tabs>
        <w:spacing w:line="360" w:lineRule="auto"/>
        <w:jc w:val="both"/>
        <w:rPr>
          <w:rFonts w:ascii="Arial" w:eastAsiaTheme="minorEastAsia" w:hAnsi="Arial" w:cs="Arial"/>
          <w:noProof/>
          <w:kern w:val="0"/>
          <w:sz w:val="24"/>
          <w:szCs w:val="24"/>
          <w:lang w:eastAsia="pl-PL"/>
          <w14:ligatures w14:val="none"/>
        </w:rPr>
      </w:pPr>
      <w:hyperlink w:anchor="_Toc219369276" w:history="1">
        <w:r w:rsidRPr="009228E0">
          <w:rPr>
            <w:rStyle w:val="Hipercze"/>
            <w:rFonts w:ascii="Arial" w:hAnsi="Arial" w:cs="Arial"/>
            <w:noProof/>
            <w:sz w:val="24"/>
            <w:szCs w:val="24"/>
          </w:rPr>
          <w:t>Wykres 50. P35. Czy widział(a) Pan(i) wcześniej ten znak? - w latach 2014–2025</w:t>
        </w:r>
        <w:r w:rsidRPr="009228E0">
          <w:rPr>
            <w:rFonts w:ascii="Arial" w:hAnsi="Arial" w:cs="Arial"/>
            <w:noProof/>
            <w:webHidden/>
            <w:sz w:val="24"/>
            <w:szCs w:val="24"/>
          </w:rPr>
          <w:tab/>
        </w:r>
        <w:r w:rsidRPr="009228E0">
          <w:rPr>
            <w:rFonts w:ascii="Arial" w:hAnsi="Arial" w:cs="Arial"/>
            <w:noProof/>
            <w:webHidden/>
            <w:sz w:val="24"/>
            <w:szCs w:val="24"/>
          </w:rPr>
          <w:fldChar w:fldCharType="begin"/>
        </w:r>
        <w:r w:rsidRPr="009228E0">
          <w:rPr>
            <w:rFonts w:ascii="Arial" w:hAnsi="Arial" w:cs="Arial"/>
            <w:noProof/>
            <w:webHidden/>
            <w:sz w:val="24"/>
            <w:szCs w:val="24"/>
          </w:rPr>
          <w:instrText xml:space="preserve"> PAGEREF _Toc219369276 \h </w:instrText>
        </w:r>
        <w:r w:rsidRPr="009228E0">
          <w:rPr>
            <w:rFonts w:ascii="Arial" w:hAnsi="Arial" w:cs="Arial"/>
            <w:noProof/>
            <w:webHidden/>
            <w:sz w:val="24"/>
            <w:szCs w:val="24"/>
          </w:rPr>
        </w:r>
        <w:r w:rsidRPr="009228E0">
          <w:rPr>
            <w:rFonts w:ascii="Arial" w:hAnsi="Arial" w:cs="Arial"/>
            <w:noProof/>
            <w:webHidden/>
            <w:sz w:val="24"/>
            <w:szCs w:val="24"/>
          </w:rPr>
          <w:fldChar w:fldCharType="separate"/>
        </w:r>
        <w:r w:rsidR="000F26BD">
          <w:rPr>
            <w:rFonts w:ascii="Arial" w:hAnsi="Arial" w:cs="Arial"/>
            <w:noProof/>
            <w:webHidden/>
            <w:sz w:val="24"/>
            <w:szCs w:val="24"/>
          </w:rPr>
          <w:t>94</w:t>
        </w:r>
        <w:r w:rsidRPr="009228E0">
          <w:rPr>
            <w:rFonts w:ascii="Arial" w:hAnsi="Arial" w:cs="Arial"/>
            <w:noProof/>
            <w:webHidden/>
            <w:sz w:val="24"/>
            <w:szCs w:val="24"/>
          </w:rPr>
          <w:fldChar w:fldCharType="end"/>
        </w:r>
      </w:hyperlink>
    </w:p>
    <w:p w14:paraId="313D71BB" w14:textId="7F733FBD" w:rsidR="009228E0" w:rsidRPr="009228E0" w:rsidRDefault="009228E0" w:rsidP="009228E0">
      <w:pPr>
        <w:pStyle w:val="Spisilustracji"/>
        <w:tabs>
          <w:tab w:val="right" w:leader="dot" w:pos="9060"/>
        </w:tabs>
        <w:spacing w:line="360" w:lineRule="auto"/>
        <w:jc w:val="both"/>
        <w:rPr>
          <w:rFonts w:ascii="Arial" w:eastAsiaTheme="minorEastAsia" w:hAnsi="Arial" w:cs="Arial"/>
          <w:noProof/>
          <w:kern w:val="0"/>
          <w:sz w:val="24"/>
          <w:szCs w:val="24"/>
          <w:lang w:eastAsia="pl-PL"/>
          <w14:ligatures w14:val="none"/>
        </w:rPr>
      </w:pPr>
      <w:hyperlink w:anchor="_Toc219369277" w:history="1">
        <w:r w:rsidRPr="009228E0">
          <w:rPr>
            <w:rStyle w:val="Hipercze"/>
            <w:rFonts w:ascii="Arial" w:hAnsi="Arial" w:cs="Arial"/>
            <w:noProof/>
            <w:sz w:val="24"/>
            <w:szCs w:val="24"/>
          </w:rPr>
          <w:t>Wykres 51. Widoczność znaku Funduszy Europejskich w 2025 r. według cech społeczno-demograficznych</w:t>
        </w:r>
        <w:r w:rsidRPr="009228E0">
          <w:rPr>
            <w:rFonts w:ascii="Arial" w:hAnsi="Arial" w:cs="Arial"/>
            <w:noProof/>
            <w:webHidden/>
            <w:sz w:val="24"/>
            <w:szCs w:val="24"/>
          </w:rPr>
          <w:tab/>
        </w:r>
        <w:r w:rsidRPr="009228E0">
          <w:rPr>
            <w:rFonts w:ascii="Arial" w:hAnsi="Arial" w:cs="Arial"/>
            <w:noProof/>
            <w:webHidden/>
            <w:sz w:val="24"/>
            <w:szCs w:val="24"/>
          </w:rPr>
          <w:fldChar w:fldCharType="begin"/>
        </w:r>
        <w:r w:rsidRPr="009228E0">
          <w:rPr>
            <w:rFonts w:ascii="Arial" w:hAnsi="Arial" w:cs="Arial"/>
            <w:noProof/>
            <w:webHidden/>
            <w:sz w:val="24"/>
            <w:szCs w:val="24"/>
          </w:rPr>
          <w:instrText xml:space="preserve"> PAGEREF _Toc219369277 \h </w:instrText>
        </w:r>
        <w:r w:rsidRPr="009228E0">
          <w:rPr>
            <w:rFonts w:ascii="Arial" w:hAnsi="Arial" w:cs="Arial"/>
            <w:noProof/>
            <w:webHidden/>
            <w:sz w:val="24"/>
            <w:szCs w:val="24"/>
          </w:rPr>
        </w:r>
        <w:r w:rsidRPr="009228E0">
          <w:rPr>
            <w:rFonts w:ascii="Arial" w:hAnsi="Arial" w:cs="Arial"/>
            <w:noProof/>
            <w:webHidden/>
            <w:sz w:val="24"/>
            <w:szCs w:val="24"/>
          </w:rPr>
          <w:fldChar w:fldCharType="separate"/>
        </w:r>
        <w:r w:rsidR="000F26BD">
          <w:rPr>
            <w:rFonts w:ascii="Arial" w:hAnsi="Arial" w:cs="Arial"/>
            <w:noProof/>
            <w:webHidden/>
            <w:sz w:val="24"/>
            <w:szCs w:val="24"/>
          </w:rPr>
          <w:t>96</w:t>
        </w:r>
        <w:r w:rsidRPr="009228E0">
          <w:rPr>
            <w:rFonts w:ascii="Arial" w:hAnsi="Arial" w:cs="Arial"/>
            <w:noProof/>
            <w:webHidden/>
            <w:sz w:val="24"/>
            <w:szCs w:val="24"/>
          </w:rPr>
          <w:fldChar w:fldCharType="end"/>
        </w:r>
      </w:hyperlink>
    </w:p>
    <w:p w14:paraId="1D40D2DA" w14:textId="252F9D7A" w:rsidR="009228E0" w:rsidRPr="009228E0" w:rsidRDefault="009228E0" w:rsidP="009228E0">
      <w:pPr>
        <w:pStyle w:val="Spisilustracji"/>
        <w:tabs>
          <w:tab w:val="right" w:leader="dot" w:pos="9060"/>
        </w:tabs>
        <w:spacing w:line="360" w:lineRule="auto"/>
        <w:jc w:val="both"/>
        <w:rPr>
          <w:rFonts w:ascii="Arial" w:eastAsiaTheme="minorEastAsia" w:hAnsi="Arial" w:cs="Arial"/>
          <w:noProof/>
          <w:kern w:val="0"/>
          <w:sz w:val="24"/>
          <w:szCs w:val="24"/>
          <w:lang w:eastAsia="pl-PL"/>
          <w14:ligatures w14:val="none"/>
        </w:rPr>
      </w:pPr>
      <w:hyperlink w:anchor="_Toc219369278" w:history="1">
        <w:r w:rsidRPr="009228E0">
          <w:rPr>
            <w:rStyle w:val="Hipercze"/>
            <w:rFonts w:ascii="Arial" w:hAnsi="Arial" w:cs="Arial"/>
            <w:noProof/>
            <w:sz w:val="24"/>
            <w:szCs w:val="24"/>
          </w:rPr>
          <w:t>Wykres 52. P36. Gdzie widział(a) Pan(i) ten znak? (N=472)</w:t>
        </w:r>
        <w:r w:rsidRPr="009228E0">
          <w:rPr>
            <w:rFonts w:ascii="Arial" w:hAnsi="Arial" w:cs="Arial"/>
            <w:noProof/>
            <w:webHidden/>
            <w:sz w:val="24"/>
            <w:szCs w:val="24"/>
          </w:rPr>
          <w:tab/>
        </w:r>
        <w:r w:rsidRPr="009228E0">
          <w:rPr>
            <w:rFonts w:ascii="Arial" w:hAnsi="Arial" w:cs="Arial"/>
            <w:noProof/>
            <w:webHidden/>
            <w:sz w:val="24"/>
            <w:szCs w:val="24"/>
          </w:rPr>
          <w:fldChar w:fldCharType="begin"/>
        </w:r>
        <w:r w:rsidRPr="009228E0">
          <w:rPr>
            <w:rFonts w:ascii="Arial" w:hAnsi="Arial" w:cs="Arial"/>
            <w:noProof/>
            <w:webHidden/>
            <w:sz w:val="24"/>
            <w:szCs w:val="24"/>
          </w:rPr>
          <w:instrText xml:space="preserve"> PAGEREF _Toc219369278 \h </w:instrText>
        </w:r>
        <w:r w:rsidRPr="009228E0">
          <w:rPr>
            <w:rFonts w:ascii="Arial" w:hAnsi="Arial" w:cs="Arial"/>
            <w:noProof/>
            <w:webHidden/>
            <w:sz w:val="24"/>
            <w:szCs w:val="24"/>
          </w:rPr>
        </w:r>
        <w:r w:rsidRPr="009228E0">
          <w:rPr>
            <w:rFonts w:ascii="Arial" w:hAnsi="Arial" w:cs="Arial"/>
            <w:noProof/>
            <w:webHidden/>
            <w:sz w:val="24"/>
            <w:szCs w:val="24"/>
          </w:rPr>
          <w:fldChar w:fldCharType="separate"/>
        </w:r>
        <w:r w:rsidR="000F26BD">
          <w:rPr>
            <w:rFonts w:ascii="Arial" w:hAnsi="Arial" w:cs="Arial"/>
            <w:noProof/>
            <w:webHidden/>
            <w:sz w:val="24"/>
            <w:szCs w:val="24"/>
          </w:rPr>
          <w:t>97</w:t>
        </w:r>
        <w:r w:rsidRPr="009228E0">
          <w:rPr>
            <w:rFonts w:ascii="Arial" w:hAnsi="Arial" w:cs="Arial"/>
            <w:noProof/>
            <w:webHidden/>
            <w:sz w:val="24"/>
            <w:szCs w:val="24"/>
          </w:rPr>
          <w:fldChar w:fldCharType="end"/>
        </w:r>
      </w:hyperlink>
    </w:p>
    <w:p w14:paraId="5AE5A659" w14:textId="5518E164" w:rsidR="009228E0" w:rsidRPr="009228E0" w:rsidRDefault="009228E0" w:rsidP="009228E0">
      <w:pPr>
        <w:pStyle w:val="Spisilustracji"/>
        <w:tabs>
          <w:tab w:val="right" w:leader="dot" w:pos="9060"/>
        </w:tabs>
        <w:spacing w:line="360" w:lineRule="auto"/>
        <w:jc w:val="both"/>
        <w:rPr>
          <w:rFonts w:ascii="Arial" w:eastAsiaTheme="minorEastAsia" w:hAnsi="Arial" w:cs="Arial"/>
          <w:noProof/>
          <w:kern w:val="0"/>
          <w:sz w:val="24"/>
          <w:szCs w:val="24"/>
          <w:lang w:eastAsia="pl-PL"/>
          <w14:ligatures w14:val="none"/>
        </w:rPr>
      </w:pPr>
      <w:hyperlink w:anchor="_Toc219369279" w:history="1">
        <w:r w:rsidRPr="009228E0">
          <w:rPr>
            <w:rStyle w:val="Hipercze"/>
            <w:rFonts w:ascii="Arial" w:hAnsi="Arial" w:cs="Arial"/>
            <w:noProof/>
            <w:sz w:val="24"/>
            <w:szCs w:val="24"/>
          </w:rPr>
          <w:t>Wykres 53. P50. Proszę powiedzieć, czy słyszał(a) Pan(i) o Punktach Informacyjnych Funduszy Europejskich, w których można bezpłatnie dowiedzieć się m.in. o możliwościach uzyskania dofinansowania lub wzięcia udziału w dofinansowanych szkoleniach? - w latach 2016–2025 – zestawienie odpowiedzi dotyczących korzystania, świadomości istnienia oraz braku wiedzy o takich Punktach.</w:t>
        </w:r>
        <w:r w:rsidRPr="009228E0">
          <w:rPr>
            <w:rFonts w:ascii="Arial" w:hAnsi="Arial" w:cs="Arial"/>
            <w:noProof/>
            <w:webHidden/>
            <w:sz w:val="24"/>
            <w:szCs w:val="24"/>
          </w:rPr>
          <w:tab/>
        </w:r>
        <w:r w:rsidRPr="009228E0">
          <w:rPr>
            <w:rFonts w:ascii="Arial" w:hAnsi="Arial" w:cs="Arial"/>
            <w:noProof/>
            <w:webHidden/>
            <w:sz w:val="24"/>
            <w:szCs w:val="24"/>
          </w:rPr>
          <w:fldChar w:fldCharType="begin"/>
        </w:r>
        <w:r w:rsidRPr="009228E0">
          <w:rPr>
            <w:rFonts w:ascii="Arial" w:hAnsi="Arial" w:cs="Arial"/>
            <w:noProof/>
            <w:webHidden/>
            <w:sz w:val="24"/>
            <w:szCs w:val="24"/>
          </w:rPr>
          <w:instrText xml:space="preserve"> PAGEREF _Toc219369279 \h </w:instrText>
        </w:r>
        <w:r w:rsidRPr="009228E0">
          <w:rPr>
            <w:rFonts w:ascii="Arial" w:hAnsi="Arial" w:cs="Arial"/>
            <w:noProof/>
            <w:webHidden/>
            <w:sz w:val="24"/>
            <w:szCs w:val="24"/>
          </w:rPr>
        </w:r>
        <w:r w:rsidRPr="009228E0">
          <w:rPr>
            <w:rFonts w:ascii="Arial" w:hAnsi="Arial" w:cs="Arial"/>
            <w:noProof/>
            <w:webHidden/>
            <w:sz w:val="24"/>
            <w:szCs w:val="24"/>
          </w:rPr>
          <w:fldChar w:fldCharType="separate"/>
        </w:r>
        <w:r w:rsidR="000F26BD">
          <w:rPr>
            <w:rFonts w:ascii="Arial" w:hAnsi="Arial" w:cs="Arial"/>
            <w:noProof/>
            <w:webHidden/>
            <w:sz w:val="24"/>
            <w:szCs w:val="24"/>
          </w:rPr>
          <w:t>99</w:t>
        </w:r>
        <w:r w:rsidRPr="009228E0">
          <w:rPr>
            <w:rFonts w:ascii="Arial" w:hAnsi="Arial" w:cs="Arial"/>
            <w:noProof/>
            <w:webHidden/>
            <w:sz w:val="24"/>
            <w:szCs w:val="24"/>
          </w:rPr>
          <w:fldChar w:fldCharType="end"/>
        </w:r>
      </w:hyperlink>
    </w:p>
    <w:p w14:paraId="372B842B" w14:textId="58C98150" w:rsidR="009228E0" w:rsidRPr="009228E0" w:rsidRDefault="009228E0" w:rsidP="009228E0">
      <w:pPr>
        <w:pStyle w:val="Spisilustracji"/>
        <w:tabs>
          <w:tab w:val="right" w:leader="dot" w:pos="9060"/>
        </w:tabs>
        <w:spacing w:line="360" w:lineRule="auto"/>
        <w:jc w:val="both"/>
        <w:rPr>
          <w:rFonts w:ascii="Arial" w:eastAsiaTheme="minorEastAsia" w:hAnsi="Arial" w:cs="Arial"/>
          <w:noProof/>
          <w:kern w:val="0"/>
          <w:sz w:val="24"/>
          <w:szCs w:val="24"/>
          <w:lang w:eastAsia="pl-PL"/>
          <w14:ligatures w14:val="none"/>
        </w:rPr>
      </w:pPr>
      <w:hyperlink w:anchor="_Toc219369280" w:history="1">
        <w:r w:rsidRPr="009228E0">
          <w:rPr>
            <w:rStyle w:val="Hipercze"/>
            <w:rFonts w:ascii="Arial" w:hAnsi="Arial" w:cs="Arial"/>
            <w:noProof/>
            <w:sz w:val="24"/>
            <w:szCs w:val="24"/>
          </w:rPr>
          <w:t>Wykres 54. P51. Proszę powiedzieć, czy słyszał(a) Pan(i) o stronie internetowej www.funduszeeuropejskie.gov.pl, zwanej Portalem Funduszy Europejskich, na której można znaleźć informacje m.in. o możliwościach uzyskania dofinansowania z Unii Europejskiej? – w latach 2016 - 2025</w:t>
        </w:r>
        <w:r w:rsidRPr="009228E0">
          <w:rPr>
            <w:rFonts w:ascii="Arial" w:hAnsi="Arial" w:cs="Arial"/>
            <w:noProof/>
            <w:webHidden/>
            <w:sz w:val="24"/>
            <w:szCs w:val="24"/>
          </w:rPr>
          <w:tab/>
        </w:r>
        <w:r w:rsidRPr="009228E0">
          <w:rPr>
            <w:rFonts w:ascii="Arial" w:hAnsi="Arial" w:cs="Arial"/>
            <w:noProof/>
            <w:webHidden/>
            <w:sz w:val="24"/>
            <w:szCs w:val="24"/>
          </w:rPr>
          <w:fldChar w:fldCharType="begin"/>
        </w:r>
        <w:r w:rsidRPr="009228E0">
          <w:rPr>
            <w:rFonts w:ascii="Arial" w:hAnsi="Arial" w:cs="Arial"/>
            <w:noProof/>
            <w:webHidden/>
            <w:sz w:val="24"/>
            <w:szCs w:val="24"/>
          </w:rPr>
          <w:instrText xml:space="preserve"> PAGEREF _Toc219369280 \h </w:instrText>
        </w:r>
        <w:r w:rsidRPr="009228E0">
          <w:rPr>
            <w:rFonts w:ascii="Arial" w:hAnsi="Arial" w:cs="Arial"/>
            <w:noProof/>
            <w:webHidden/>
            <w:sz w:val="24"/>
            <w:szCs w:val="24"/>
          </w:rPr>
        </w:r>
        <w:r w:rsidRPr="009228E0">
          <w:rPr>
            <w:rFonts w:ascii="Arial" w:hAnsi="Arial" w:cs="Arial"/>
            <w:noProof/>
            <w:webHidden/>
            <w:sz w:val="24"/>
            <w:szCs w:val="24"/>
          </w:rPr>
          <w:fldChar w:fldCharType="separate"/>
        </w:r>
        <w:r w:rsidR="000F26BD">
          <w:rPr>
            <w:rFonts w:ascii="Arial" w:hAnsi="Arial" w:cs="Arial"/>
            <w:noProof/>
            <w:webHidden/>
            <w:sz w:val="24"/>
            <w:szCs w:val="24"/>
          </w:rPr>
          <w:t>100</w:t>
        </w:r>
        <w:r w:rsidRPr="009228E0">
          <w:rPr>
            <w:rFonts w:ascii="Arial" w:hAnsi="Arial" w:cs="Arial"/>
            <w:noProof/>
            <w:webHidden/>
            <w:sz w:val="24"/>
            <w:szCs w:val="24"/>
          </w:rPr>
          <w:fldChar w:fldCharType="end"/>
        </w:r>
      </w:hyperlink>
    </w:p>
    <w:p w14:paraId="1B7A2550" w14:textId="74C5BE91" w:rsidR="009228E0" w:rsidRPr="009228E0" w:rsidRDefault="009228E0" w:rsidP="009228E0">
      <w:pPr>
        <w:pStyle w:val="Spisilustracji"/>
        <w:tabs>
          <w:tab w:val="right" w:leader="dot" w:pos="9060"/>
        </w:tabs>
        <w:spacing w:line="360" w:lineRule="auto"/>
        <w:jc w:val="both"/>
        <w:rPr>
          <w:rFonts w:ascii="Arial" w:eastAsiaTheme="minorEastAsia" w:hAnsi="Arial" w:cs="Arial"/>
          <w:noProof/>
          <w:kern w:val="0"/>
          <w:sz w:val="24"/>
          <w:szCs w:val="24"/>
          <w:lang w:eastAsia="pl-PL"/>
          <w14:ligatures w14:val="none"/>
        </w:rPr>
      </w:pPr>
      <w:hyperlink w:anchor="_Toc219369281" w:history="1">
        <w:r w:rsidRPr="009228E0">
          <w:rPr>
            <w:rStyle w:val="Hipercze"/>
            <w:rFonts w:ascii="Arial" w:hAnsi="Arial" w:cs="Arial"/>
            <w:noProof/>
            <w:sz w:val="24"/>
            <w:szCs w:val="24"/>
          </w:rPr>
          <w:t>Wykres 55. P44. Jak często spotyka się z Pan(i) z informacjami o Funduszach Europejskich? – w latach 2018-2025</w:t>
        </w:r>
        <w:r w:rsidRPr="009228E0">
          <w:rPr>
            <w:rFonts w:ascii="Arial" w:hAnsi="Arial" w:cs="Arial"/>
            <w:noProof/>
            <w:webHidden/>
            <w:sz w:val="24"/>
            <w:szCs w:val="24"/>
          </w:rPr>
          <w:tab/>
        </w:r>
        <w:r w:rsidRPr="009228E0">
          <w:rPr>
            <w:rFonts w:ascii="Arial" w:hAnsi="Arial" w:cs="Arial"/>
            <w:noProof/>
            <w:webHidden/>
            <w:sz w:val="24"/>
            <w:szCs w:val="24"/>
          </w:rPr>
          <w:fldChar w:fldCharType="begin"/>
        </w:r>
        <w:r w:rsidRPr="009228E0">
          <w:rPr>
            <w:rFonts w:ascii="Arial" w:hAnsi="Arial" w:cs="Arial"/>
            <w:noProof/>
            <w:webHidden/>
            <w:sz w:val="24"/>
            <w:szCs w:val="24"/>
          </w:rPr>
          <w:instrText xml:space="preserve"> PAGEREF _Toc219369281 \h </w:instrText>
        </w:r>
        <w:r w:rsidRPr="009228E0">
          <w:rPr>
            <w:rFonts w:ascii="Arial" w:hAnsi="Arial" w:cs="Arial"/>
            <w:noProof/>
            <w:webHidden/>
            <w:sz w:val="24"/>
            <w:szCs w:val="24"/>
          </w:rPr>
        </w:r>
        <w:r w:rsidRPr="009228E0">
          <w:rPr>
            <w:rFonts w:ascii="Arial" w:hAnsi="Arial" w:cs="Arial"/>
            <w:noProof/>
            <w:webHidden/>
            <w:sz w:val="24"/>
            <w:szCs w:val="24"/>
          </w:rPr>
          <w:fldChar w:fldCharType="separate"/>
        </w:r>
        <w:r w:rsidR="000F26BD">
          <w:rPr>
            <w:rFonts w:ascii="Arial" w:hAnsi="Arial" w:cs="Arial"/>
            <w:noProof/>
            <w:webHidden/>
            <w:sz w:val="24"/>
            <w:szCs w:val="24"/>
          </w:rPr>
          <w:t>101</w:t>
        </w:r>
        <w:r w:rsidRPr="009228E0">
          <w:rPr>
            <w:rFonts w:ascii="Arial" w:hAnsi="Arial" w:cs="Arial"/>
            <w:noProof/>
            <w:webHidden/>
            <w:sz w:val="24"/>
            <w:szCs w:val="24"/>
          </w:rPr>
          <w:fldChar w:fldCharType="end"/>
        </w:r>
      </w:hyperlink>
    </w:p>
    <w:p w14:paraId="37F630AD" w14:textId="6DB4A50B" w:rsidR="009228E0" w:rsidRPr="009228E0" w:rsidRDefault="009228E0" w:rsidP="009228E0">
      <w:pPr>
        <w:pStyle w:val="Spisilustracji"/>
        <w:tabs>
          <w:tab w:val="right" w:leader="dot" w:pos="9060"/>
        </w:tabs>
        <w:spacing w:line="360" w:lineRule="auto"/>
        <w:jc w:val="both"/>
        <w:rPr>
          <w:rFonts w:ascii="Arial" w:eastAsiaTheme="minorEastAsia" w:hAnsi="Arial" w:cs="Arial"/>
          <w:noProof/>
          <w:kern w:val="0"/>
          <w:sz w:val="24"/>
          <w:szCs w:val="24"/>
          <w:lang w:eastAsia="pl-PL"/>
          <w14:ligatures w14:val="none"/>
        </w:rPr>
      </w:pPr>
      <w:hyperlink w:anchor="_Toc219369282" w:history="1">
        <w:r w:rsidRPr="009228E0">
          <w:rPr>
            <w:rStyle w:val="Hipercze"/>
            <w:rFonts w:ascii="Arial" w:hAnsi="Arial" w:cs="Arial"/>
            <w:noProof/>
            <w:sz w:val="24"/>
            <w:szCs w:val="24"/>
          </w:rPr>
          <w:t>Wykres 56. P45. A proszę powiedzieć, czy informacje o Funduszach Europejskich, z którymi się Pan(i) spotyka, są Pana(i) zdaniem przekazywane zrozumiałym językiem? – w latach 2016-2025</w:t>
        </w:r>
        <w:r w:rsidRPr="009228E0">
          <w:rPr>
            <w:rFonts w:ascii="Arial" w:hAnsi="Arial" w:cs="Arial"/>
            <w:noProof/>
            <w:webHidden/>
            <w:sz w:val="24"/>
            <w:szCs w:val="24"/>
          </w:rPr>
          <w:tab/>
        </w:r>
        <w:r w:rsidRPr="009228E0">
          <w:rPr>
            <w:rFonts w:ascii="Arial" w:hAnsi="Arial" w:cs="Arial"/>
            <w:noProof/>
            <w:webHidden/>
            <w:sz w:val="24"/>
            <w:szCs w:val="24"/>
          </w:rPr>
          <w:fldChar w:fldCharType="begin"/>
        </w:r>
        <w:r w:rsidRPr="009228E0">
          <w:rPr>
            <w:rFonts w:ascii="Arial" w:hAnsi="Arial" w:cs="Arial"/>
            <w:noProof/>
            <w:webHidden/>
            <w:sz w:val="24"/>
            <w:szCs w:val="24"/>
          </w:rPr>
          <w:instrText xml:space="preserve"> PAGEREF _Toc219369282 \h </w:instrText>
        </w:r>
        <w:r w:rsidRPr="009228E0">
          <w:rPr>
            <w:rFonts w:ascii="Arial" w:hAnsi="Arial" w:cs="Arial"/>
            <w:noProof/>
            <w:webHidden/>
            <w:sz w:val="24"/>
            <w:szCs w:val="24"/>
          </w:rPr>
        </w:r>
        <w:r w:rsidRPr="009228E0">
          <w:rPr>
            <w:rFonts w:ascii="Arial" w:hAnsi="Arial" w:cs="Arial"/>
            <w:noProof/>
            <w:webHidden/>
            <w:sz w:val="24"/>
            <w:szCs w:val="24"/>
          </w:rPr>
          <w:fldChar w:fldCharType="separate"/>
        </w:r>
        <w:r w:rsidR="000F26BD">
          <w:rPr>
            <w:rFonts w:ascii="Arial" w:hAnsi="Arial" w:cs="Arial"/>
            <w:noProof/>
            <w:webHidden/>
            <w:sz w:val="24"/>
            <w:szCs w:val="24"/>
          </w:rPr>
          <w:t>102</w:t>
        </w:r>
        <w:r w:rsidRPr="009228E0">
          <w:rPr>
            <w:rFonts w:ascii="Arial" w:hAnsi="Arial" w:cs="Arial"/>
            <w:noProof/>
            <w:webHidden/>
            <w:sz w:val="24"/>
            <w:szCs w:val="24"/>
          </w:rPr>
          <w:fldChar w:fldCharType="end"/>
        </w:r>
      </w:hyperlink>
    </w:p>
    <w:p w14:paraId="7AB622AD" w14:textId="370F2A4E" w:rsidR="009228E0" w:rsidRPr="009228E0" w:rsidRDefault="009228E0" w:rsidP="009228E0">
      <w:pPr>
        <w:pStyle w:val="Spisilustracji"/>
        <w:tabs>
          <w:tab w:val="right" w:leader="dot" w:pos="9060"/>
        </w:tabs>
        <w:spacing w:line="360" w:lineRule="auto"/>
        <w:jc w:val="both"/>
        <w:rPr>
          <w:rFonts w:ascii="Arial" w:eastAsiaTheme="minorEastAsia" w:hAnsi="Arial" w:cs="Arial"/>
          <w:noProof/>
          <w:kern w:val="0"/>
          <w:sz w:val="24"/>
          <w:szCs w:val="24"/>
          <w:lang w:eastAsia="pl-PL"/>
          <w14:ligatures w14:val="none"/>
        </w:rPr>
      </w:pPr>
      <w:hyperlink w:anchor="_Toc219369283" w:history="1">
        <w:r w:rsidRPr="009228E0">
          <w:rPr>
            <w:rStyle w:val="Hipercze"/>
            <w:rFonts w:ascii="Arial" w:hAnsi="Arial" w:cs="Arial"/>
            <w:noProof/>
            <w:sz w:val="24"/>
            <w:szCs w:val="24"/>
          </w:rPr>
          <w:t>Wykres 57. P46. Czy informacje o Funduszach Europejskich, z którymi się Pan(i) spotyka, są Pana(i) zdaniem wiarygodne?</w:t>
        </w:r>
        <w:r w:rsidRPr="009228E0">
          <w:rPr>
            <w:rFonts w:ascii="Arial" w:hAnsi="Arial" w:cs="Arial"/>
            <w:noProof/>
            <w:webHidden/>
            <w:sz w:val="24"/>
            <w:szCs w:val="24"/>
          </w:rPr>
          <w:tab/>
        </w:r>
        <w:r w:rsidRPr="009228E0">
          <w:rPr>
            <w:rFonts w:ascii="Arial" w:hAnsi="Arial" w:cs="Arial"/>
            <w:noProof/>
            <w:webHidden/>
            <w:sz w:val="24"/>
            <w:szCs w:val="24"/>
          </w:rPr>
          <w:fldChar w:fldCharType="begin"/>
        </w:r>
        <w:r w:rsidRPr="009228E0">
          <w:rPr>
            <w:rFonts w:ascii="Arial" w:hAnsi="Arial" w:cs="Arial"/>
            <w:noProof/>
            <w:webHidden/>
            <w:sz w:val="24"/>
            <w:szCs w:val="24"/>
          </w:rPr>
          <w:instrText xml:space="preserve"> PAGEREF _Toc219369283 \h </w:instrText>
        </w:r>
        <w:r w:rsidRPr="009228E0">
          <w:rPr>
            <w:rFonts w:ascii="Arial" w:hAnsi="Arial" w:cs="Arial"/>
            <w:noProof/>
            <w:webHidden/>
            <w:sz w:val="24"/>
            <w:szCs w:val="24"/>
          </w:rPr>
        </w:r>
        <w:r w:rsidRPr="009228E0">
          <w:rPr>
            <w:rFonts w:ascii="Arial" w:hAnsi="Arial" w:cs="Arial"/>
            <w:noProof/>
            <w:webHidden/>
            <w:sz w:val="24"/>
            <w:szCs w:val="24"/>
          </w:rPr>
          <w:fldChar w:fldCharType="separate"/>
        </w:r>
        <w:r w:rsidR="000F26BD">
          <w:rPr>
            <w:rFonts w:ascii="Arial" w:hAnsi="Arial" w:cs="Arial"/>
            <w:noProof/>
            <w:webHidden/>
            <w:sz w:val="24"/>
            <w:szCs w:val="24"/>
          </w:rPr>
          <w:t>103</w:t>
        </w:r>
        <w:r w:rsidRPr="009228E0">
          <w:rPr>
            <w:rFonts w:ascii="Arial" w:hAnsi="Arial" w:cs="Arial"/>
            <w:noProof/>
            <w:webHidden/>
            <w:sz w:val="24"/>
            <w:szCs w:val="24"/>
          </w:rPr>
          <w:fldChar w:fldCharType="end"/>
        </w:r>
      </w:hyperlink>
    </w:p>
    <w:p w14:paraId="385D5224" w14:textId="42FC35D3" w:rsidR="009228E0" w:rsidRPr="009228E0" w:rsidRDefault="009228E0" w:rsidP="009228E0">
      <w:pPr>
        <w:pStyle w:val="Spisilustracji"/>
        <w:tabs>
          <w:tab w:val="right" w:leader="dot" w:pos="9060"/>
        </w:tabs>
        <w:spacing w:line="360" w:lineRule="auto"/>
        <w:jc w:val="both"/>
        <w:rPr>
          <w:rFonts w:ascii="Arial" w:eastAsiaTheme="minorEastAsia" w:hAnsi="Arial" w:cs="Arial"/>
          <w:noProof/>
          <w:kern w:val="0"/>
          <w:sz w:val="24"/>
          <w:szCs w:val="24"/>
          <w:lang w:eastAsia="pl-PL"/>
          <w14:ligatures w14:val="none"/>
        </w:rPr>
      </w:pPr>
      <w:hyperlink w:anchor="_Toc219369284" w:history="1">
        <w:r w:rsidRPr="009228E0">
          <w:rPr>
            <w:rStyle w:val="Hipercze"/>
            <w:rFonts w:ascii="Arial" w:hAnsi="Arial" w:cs="Arial"/>
            <w:noProof/>
            <w:sz w:val="24"/>
            <w:szCs w:val="24"/>
          </w:rPr>
          <w:t>Wykres 58. P47. Gdyby chciał(a) się Pan(i) dowiedzieć więcej o Funduszach Europejskich, gdzie szukał(a)by Pan(i) informacji? (N=509)</w:t>
        </w:r>
        <w:r w:rsidRPr="009228E0">
          <w:rPr>
            <w:rFonts w:ascii="Arial" w:hAnsi="Arial" w:cs="Arial"/>
            <w:noProof/>
            <w:webHidden/>
            <w:sz w:val="24"/>
            <w:szCs w:val="24"/>
          </w:rPr>
          <w:tab/>
        </w:r>
        <w:r w:rsidRPr="009228E0">
          <w:rPr>
            <w:rFonts w:ascii="Arial" w:hAnsi="Arial" w:cs="Arial"/>
            <w:noProof/>
            <w:webHidden/>
            <w:sz w:val="24"/>
            <w:szCs w:val="24"/>
          </w:rPr>
          <w:fldChar w:fldCharType="begin"/>
        </w:r>
        <w:r w:rsidRPr="009228E0">
          <w:rPr>
            <w:rFonts w:ascii="Arial" w:hAnsi="Arial" w:cs="Arial"/>
            <w:noProof/>
            <w:webHidden/>
            <w:sz w:val="24"/>
            <w:szCs w:val="24"/>
          </w:rPr>
          <w:instrText xml:space="preserve"> PAGEREF _Toc219369284 \h </w:instrText>
        </w:r>
        <w:r w:rsidRPr="009228E0">
          <w:rPr>
            <w:rFonts w:ascii="Arial" w:hAnsi="Arial" w:cs="Arial"/>
            <w:noProof/>
            <w:webHidden/>
            <w:sz w:val="24"/>
            <w:szCs w:val="24"/>
          </w:rPr>
        </w:r>
        <w:r w:rsidRPr="009228E0">
          <w:rPr>
            <w:rFonts w:ascii="Arial" w:hAnsi="Arial" w:cs="Arial"/>
            <w:noProof/>
            <w:webHidden/>
            <w:sz w:val="24"/>
            <w:szCs w:val="24"/>
          </w:rPr>
          <w:fldChar w:fldCharType="separate"/>
        </w:r>
        <w:r w:rsidR="000F26BD">
          <w:rPr>
            <w:rFonts w:ascii="Arial" w:hAnsi="Arial" w:cs="Arial"/>
            <w:noProof/>
            <w:webHidden/>
            <w:sz w:val="24"/>
            <w:szCs w:val="24"/>
          </w:rPr>
          <w:t>104</w:t>
        </w:r>
        <w:r w:rsidRPr="009228E0">
          <w:rPr>
            <w:rFonts w:ascii="Arial" w:hAnsi="Arial" w:cs="Arial"/>
            <w:noProof/>
            <w:webHidden/>
            <w:sz w:val="24"/>
            <w:szCs w:val="24"/>
          </w:rPr>
          <w:fldChar w:fldCharType="end"/>
        </w:r>
      </w:hyperlink>
    </w:p>
    <w:p w14:paraId="6F24FC54" w14:textId="58064CE2" w:rsidR="009228E0" w:rsidRPr="009228E0" w:rsidRDefault="009228E0" w:rsidP="009228E0">
      <w:pPr>
        <w:pStyle w:val="Spisilustracji"/>
        <w:tabs>
          <w:tab w:val="right" w:leader="dot" w:pos="9060"/>
        </w:tabs>
        <w:spacing w:line="360" w:lineRule="auto"/>
        <w:jc w:val="both"/>
        <w:rPr>
          <w:rFonts w:ascii="Arial" w:eastAsiaTheme="minorEastAsia" w:hAnsi="Arial" w:cs="Arial"/>
          <w:noProof/>
          <w:kern w:val="0"/>
          <w:sz w:val="24"/>
          <w:szCs w:val="24"/>
          <w:lang w:eastAsia="pl-PL"/>
          <w14:ligatures w14:val="none"/>
        </w:rPr>
      </w:pPr>
      <w:hyperlink w:anchor="_Toc219369285" w:history="1">
        <w:r w:rsidRPr="009228E0">
          <w:rPr>
            <w:rStyle w:val="Hipercze"/>
            <w:rFonts w:ascii="Arial" w:hAnsi="Arial" w:cs="Arial"/>
            <w:noProof/>
            <w:sz w:val="24"/>
            <w:szCs w:val="24"/>
          </w:rPr>
          <w:t>Wykres 59. P48. Czy Pana(i) zdaniem informacje na temat Funduszy Europejskich są łatwo dostępne? - w latach 2018–2025</w:t>
        </w:r>
        <w:r w:rsidRPr="009228E0">
          <w:rPr>
            <w:rFonts w:ascii="Arial" w:hAnsi="Arial" w:cs="Arial"/>
            <w:noProof/>
            <w:webHidden/>
            <w:sz w:val="24"/>
            <w:szCs w:val="24"/>
          </w:rPr>
          <w:tab/>
        </w:r>
        <w:r w:rsidRPr="009228E0">
          <w:rPr>
            <w:rFonts w:ascii="Arial" w:hAnsi="Arial" w:cs="Arial"/>
            <w:noProof/>
            <w:webHidden/>
            <w:sz w:val="24"/>
            <w:szCs w:val="24"/>
          </w:rPr>
          <w:fldChar w:fldCharType="begin"/>
        </w:r>
        <w:r w:rsidRPr="009228E0">
          <w:rPr>
            <w:rFonts w:ascii="Arial" w:hAnsi="Arial" w:cs="Arial"/>
            <w:noProof/>
            <w:webHidden/>
            <w:sz w:val="24"/>
            <w:szCs w:val="24"/>
          </w:rPr>
          <w:instrText xml:space="preserve"> PAGEREF _Toc219369285 \h </w:instrText>
        </w:r>
        <w:r w:rsidRPr="009228E0">
          <w:rPr>
            <w:rFonts w:ascii="Arial" w:hAnsi="Arial" w:cs="Arial"/>
            <w:noProof/>
            <w:webHidden/>
            <w:sz w:val="24"/>
            <w:szCs w:val="24"/>
          </w:rPr>
        </w:r>
        <w:r w:rsidRPr="009228E0">
          <w:rPr>
            <w:rFonts w:ascii="Arial" w:hAnsi="Arial" w:cs="Arial"/>
            <w:noProof/>
            <w:webHidden/>
            <w:sz w:val="24"/>
            <w:szCs w:val="24"/>
          </w:rPr>
          <w:fldChar w:fldCharType="separate"/>
        </w:r>
        <w:r w:rsidR="000F26BD">
          <w:rPr>
            <w:rFonts w:ascii="Arial" w:hAnsi="Arial" w:cs="Arial"/>
            <w:noProof/>
            <w:webHidden/>
            <w:sz w:val="24"/>
            <w:szCs w:val="24"/>
          </w:rPr>
          <w:t>105</w:t>
        </w:r>
        <w:r w:rsidRPr="009228E0">
          <w:rPr>
            <w:rFonts w:ascii="Arial" w:hAnsi="Arial" w:cs="Arial"/>
            <w:noProof/>
            <w:webHidden/>
            <w:sz w:val="24"/>
            <w:szCs w:val="24"/>
          </w:rPr>
          <w:fldChar w:fldCharType="end"/>
        </w:r>
      </w:hyperlink>
    </w:p>
    <w:p w14:paraId="78F106C4" w14:textId="4070873D" w:rsidR="009228E0" w:rsidRPr="009228E0" w:rsidRDefault="009228E0" w:rsidP="009228E0">
      <w:pPr>
        <w:pStyle w:val="Spisilustracji"/>
        <w:tabs>
          <w:tab w:val="right" w:leader="dot" w:pos="9060"/>
        </w:tabs>
        <w:spacing w:line="360" w:lineRule="auto"/>
        <w:jc w:val="both"/>
        <w:rPr>
          <w:rFonts w:ascii="Arial" w:eastAsiaTheme="minorEastAsia" w:hAnsi="Arial" w:cs="Arial"/>
          <w:noProof/>
          <w:kern w:val="0"/>
          <w:sz w:val="24"/>
          <w:szCs w:val="24"/>
          <w:lang w:eastAsia="pl-PL"/>
          <w14:ligatures w14:val="none"/>
        </w:rPr>
      </w:pPr>
      <w:hyperlink w:anchor="_Toc219369286" w:history="1">
        <w:r w:rsidRPr="009228E0">
          <w:rPr>
            <w:rStyle w:val="Hipercze"/>
            <w:rFonts w:ascii="Arial" w:hAnsi="Arial" w:cs="Arial"/>
            <w:noProof/>
            <w:sz w:val="24"/>
            <w:szCs w:val="24"/>
          </w:rPr>
          <w:t>Wykres 60. P48. Czy Pana(i) zdaniem informacje na temat Funduszy Europejskich są łatwo dostępne? - według cech społeczno-demograficznych (N=955)</w:t>
        </w:r>
        <w:r w:rsidRPr="009228E0">
          <w:rPr>
            <w:rFonts w:ascii="Arial" w:hAnsi="Arial" w:cs="Arial"/>
            <w:noProof/>
            <w:webHidden/>
            <w:sz w:val="24"/>
            <w:szCs w:val="24"/>
          </w:rPr>
          <w:tab/>
        </w:r>
        <w:r w:rsidRPr="009228E0">
          <w:rPr>
            <w:rFonts w:ascii="Arial" w:hAnsi="Arial" w:cs="Arial"/>
            <w:noProof/>
            <w:webHidden/>
            <w:sz w:val="24"/>
            <w:szCs w:val="24"/>
          </w:rPr>
          <w:fldChar w:fldCharType="begin"/>
        </w:r>
        <w:r w:rsidRPr="009228E0">
          <w:rPr>
            <w:rFonts w:ascii="Arial" w:hAnsi="Arial" w:cs="Arial"/>
            <w:noProof/>
            <w:webHidden/>
            <w:sz w:val="24"/>
            <w:szCs w:val="24"/>
          </w:rPr>
          <w:instrText xml:space="preserve"> PAGEREF _Toc219369286 \h </w:instrText>
        </w:r>
        <w:r w:rsidRPr="009228E0">
          <w:rPr>
            <w:rFonts w:ascii="Arial" w:hAnsi="Arial" w:cs="Arial"/>
            <w:noProof/>
            <w:webHidden/>
            <w:sz w:val="24"/>
            <w:szCs w:val="24"/>
          </w:rPr>
        </w:r>
        <w:r w:rsidRPr="009228E0">
          <w:rPr>
            <w:rFonts w:ascii="Arial" w:hAnsi="Arial" w:cs="Arial"/>
            <w:noProof/>
            <w:webHidden/>
            <w:sz w:val="24"/>
            <w:szCs w:val="24"/>
          </w:rPr>
          <w:fldChar w:fldCharType="separate"/>
        </w:r>
        <w:r w:rsidR="000F26BD">
          <w:rPr>
            <w:rFonts w:ascii="Arial" w:hAnsi="Arial" w:cs="Arial"/>
            <w:noProof/>
            <w:webHidden/>
            <w:sz w:val="24"/>
            <w:szCs w:val="24"/>
          </w:rPr>
          <w:t>106</w:t>
        </w:r>
        <w:r w:rsidRPr="009228E0">
          <w:rPr>
            <w:rFonts w:ascii="Arial" w:hAnsi="Arial" w:cs="Arial"/>
            <w:noProof/>
            <w:webHidden/>
            <w:sz w:val="24"/>
            <w:szCs w:val="24"/>
          </w:rPr>
          <w:fldChar w:fldCharType="end"/>
        </w:r>
      </w:hyperlink>
    </w:p>
    <w:p w14:paraId="519D8EE7" w14:textId="1C731A72" w:rsidR="009228E0" w:rsidRPr="009228E0" w:rsidRDefault="009228E0" w:rsidP="009228E0">
      <w:pPr>
        <w:pStyle w:val="Spisilustracji"/>
        <w:tabs>
          <w:tab w:val="right" w:leader="dot" w:pos="9060"/>
        </w:tabs>
        <w:spacing w:line="360" w:lineRule="auto"/>
        <w:jc w:val="both"/>
        <w:rPr>
          <w:rFonts w:ascii="Arial" w:eastAsiaTheme="minorEastAsia" w:hAnsi="Arial" w:cs="Arial"/>
          <w:noProof/>
          <w:kern w:val="0"/>
          <w:sz w:val="24"/>
          <w:szCs w:val="24"/>
          <w:lang w:eastAsia="pl-PL"/>
          <w14:ligatures w14:val="none"/>
        </w:rPr>
      </w:pPr>
      <w:hyperlink w:anchor="_Toc219369287" w:history="1">
        <w:r w:rsidRPr="009228E0">
          <w:rPr>
            <w:rStyle w:val="Hipercze"/>
            <w:rFonts w:ascii="Arial" w:hAnsi="Arial" w:cs="Arial"/>
            <w:noProof/>
            <w:sz w:val="24"/>
            <w:szCs w:val="24"/>
          </w:rPr>
          <w:t>Wykres 61. P49. A proszę powiedzieć, gdyby Pan(i) chciał(a) uzyskać dotację unijną - gdzie szukał(a)by Pan(i) informacji? (N=955)</w:t>
        </w:r>
        <w:r w:rsidRPr="009228E0">
          <w:rPr>
            <w:rFonts w:ascii="Arial" w:hAnsi="Arial" w:cs="Arial"/>
            <w:noProof/>
            <w:webHidden/>
            <w:sz w:val="24"/>
            <w:szCs w:val="24"/>
          </w:rPr>
          <w:tab/>
        </w:r>
        <w:r w:rsidRPr="009228E0">
          <w:rPr>
            <w:rFonts w:ascii="Arial" w:hAnsi="Arial" w:cs="Arial"/>
            <w:noProof/>
            <w:webHidden/>
            <w:sz w:val="24"/>
            <w:szCs w:val="24"/>
          </w:rPr>
          <w:fldChar w:fldCharType="begin"/>
        </w:r>
        <w:r w:rsidRPr="009228E0">
          <w:rPr>
            <w:rFonts w:ascii="Arial" w:hAnsi="Arial" w:cs="Arial"/>
            <w:noProof/>
            <w:webHidden/>
            <w:sz w:val="24"/>
            <w:szCs w:val="24"/>
          </w:rPr>
          <w:instrText xml:space="preserve"> PAGEREF _Toc219369287 \h </w:instrText>
        </w:r>
        <w:r w:rsidRPr="009228E0">
          <w:rPr>
            <w:rFonts w:ascii="Arial" w:hAnsi="Arial" w:cs="Arial"/>
            <w:noProof/>
            <w:webHidden/>
            <w:sz w:val="24"/>
            <w:szCs w:val="24"/>
          </w:rPr>
        </w:r>
        <w:r w:rsidRPr="009228E0">
          <w:rPr>
            <w:rFonts w:ascii="Arial" w:hAnsi="Arial" w:cs="Arial"/>
            <w:noProof/>
            <w:webHidden/>
            <w:sz w:val="24"/>
            <w:szCs w:val="24"/>
          </w:rPr>
          <w:fldChar w:fldCharType="separate"/>
        </w:r>
        <w:r w:rsidR="000F26BD">
          <w:rPr>
            <w:rFonts w:ascii="Arial" w:hAnsi="Arial" w:cs="Arial"/>
            <w:noProof/>
            <w:webHidden/>
            <w:sz w:val="24"/>
            <w:szCs w:val="24"/>
          </w:rPr>
          <w:t>107</w:t>
        </w:r>
        <w:r w:rsidRPr="009228E0">
          <w:rPr>
            <w:rFonts w:ascii="Arial" w:hAnsi="Arial" w:cs="Arial"/>
            <w:noProof/>
            <w:webHidden/>
            <w:sz w:val="24"/>
            <w:szCs w:val="24"/>
          </w:rPr>
          <w:fldChar w:fldCharType="end"/>
        </w:r>
      </w:hyperlink>
    </w:p>
    <w:p w14:paraId="24801DF2" w14:textId="5DDBC7BD" w:rsidR="009228E0" w:rsidRPr="009228E0" w:rsidRDefault="009228E0" w:rsidP="009228E0">
      <w:pPr>
        <w:pStyle w:val="Spisilustracji"/>
        <w:tabs>
          <w:tab w:val="right" w:leader="dot" w:pos="9060"/>
        </w:tabs>
        <w:spacing w:line="360" w:lineRule="auto"/>
        <w:jc w:val="both"/>
        <w:rPr>
          <w:rFonts w:ascii="Arial" w:eastAsiaTheme="minorEastAsia" w:hAnsi="Arial" w:cs="Arial"/>
          <w:noProof/>
          <w:kern w:val="0"/>
          <w:sz w:val="24"/>
          <w:szCs w:val="24"/>
          <w:lang w:eastAsia="pl-PL"/>
          <w14:ligatures w14:val="none"/>
        </w:rPr>
      </w:pPr>
      <w:hyperlink w:anchor="_Toc219369288" w:history="1">
        <w:r w:rsidRPr="009228E0">
          <w:rPr>
            <w:rStyle w:val="Hipercze"/>
            <w:rFonts w:ascii="Arial" w:hAnsi="Arial" w:cs="Arial"/>
            <w:noProof/>
            <w:sz w:val="24"/>
            <w:szCs w:val="24"/>
          </w:rPr>
          <w:t>Wykres 62. P37. Czy spotkała się Pan(i) ostatnio z jakąś reklamą, programem, artykułem lub informacjami o Funduszach Europejskich? – w latach 2018-2025</w:t>
        </w:r>
        <w:r w:rsidRPr="009228E0">
          <w:rPr>
            <w:rFonts w:ascii="Arial" w:hAnsi="Arial" w:cs="Arial"/>
            <w:noProof/>
            <w:webHidden/>
            <w:sz w:val="24"/>
            <w:szCs w:val="24"/>
          </w:rPr>
          <w:tab/>
        </w:r>
        <w:r w:rsidRPr="009228E0">
          <w:rPr>
            <w:rFonts w:ascii="Arial" w:hAnsi="Arial" w:cs="Arial"/>
            <w:noProof/>
            <w:webHidden/>
            <w:sz w:val="24"/>
            <w:szCs w:val="24"/>
          </w:rPr>
          <w:fldChar w:fldCharType="begin"/>
        </w:r>
        <w:r w:rsidRPr="009228E0">
          <w:rPr>
            <w:rFonts w:ascii="Arial" w:hAnsi="Arial" w:cs="Arial"/>
            <w:noProof/>
            <w:webHidden/>
            <w:sz w:val="24"/>
            <w:szCs w:val="24"/>
          </w:rPr>
          <w:instrText xml:space="preserve"> PAGEREF _Toc219369288 \h </w:instrText>
        </w:r>
        <w:r w:rsidRPr="009228E0">
          <w:rPr>
            <w:rFonts w:ascii="Arial" w:hAnsi="Arial" w:cs="Arial"/>
            <w:noProof/>
            <w:webHidden/>
            <w:sz w:val="24"/>
            <w:szCs w:val="24"/>
          </w:rPr>
        </w:r>
        <w:r w:rsidRPr="009228E0">
          <w:rPr>
            <w:rFonts w:ascii="Arial" w:hAnsi="Arial" w:cs="Arial"/>
            <w:noProof/>
            <w:webHidden/>
            <w:sz w:val="24"/>
            <w:szCs w:val="24"/>
          </w:rPr>
          <w:fldChar w:fldCharType="separate"/>
        </w:r>
        <w:r w:rsidR="000F26BD">
          <w:rPr>
            <w:rFonts w:ascii="Arial" w:hAnsi="Arial" w:cs="Arial"/>
            <w:noProof/>
            <w:webHidden/>
            <w:sz w:val="24"/>
            <w:szCs w:val="24"/>
          </w:rPr>
          <w:t>108</w:t>
        </w:r>
        <w:r w:rsidRPr="009228E0">
          <w:rPr>
            <w:rFonts w:ascii="Arial" w:hAnsi="Arial" w:cs="Arial"/>
            <w:noProof/>
            <w:webHidden/>
            <w:sz w:val="24"/>
            <w:szCs w:val="24"/>
          </w:rPr>
          <w:fldChar w:fldCharType="end"/>
        </w:r>
      </w:hyperlink>
    </w:p>
    <w:p w14:paraId="62098136" w14:textId="071B4C8E" w:rsidR="009228E0" w:rsidRPr="009228E0" w:rsidRDefault="009228E0" w:rsidP="009228E0">
      <w:pPr>
        <w:pStyle w:val="Spisilustracji"/>
        <w:tabs>
          <w:tab w:val="right" w:leader="dot" w:pos="9060"/>
        </w:tabs>
        <w:spacing w:line="360" w:lineRule="auto"/>
        <w:jc w:val="both"/>
        <w:rPr>
          <w:rFonts w:ascii="Arial" w:eastAsiaTheme="minorEastAsia" w:hAnsi="Arial" w:cs="Arial"/>
          <w:noProof/>
          <w:kern w:val="0"/>
          <w:sz w:val="24"/>
          <w:szCs w:val="24"/>
          <w:lang w:eastAsia="pl-PL"/>
          <w14:ligatures w14:val="none"/>
        </w:rPr>
      </w:pPr>
      <w:hyperlink w:anchor="_Toc219369289" w:history="1">
        <w:r w:rsidRPr="009228E0">
          <w:rPr>
            <w:rStyle w:val="Hipercze"/>
            <w:rFonts w:ascii="Arial" w:hAnsi="Arial" w:cs="Arial"/>
            <w:noProof/>
            <w:sz w:val="24"/>
            <w:szCs w:val="24"/>
          </w:rPr>
          <w:t>Wykres 63. Czy spotkała się Pan(i) ostatnio z jakąś reklamą, programem, artykułem lub informacjami o Funduszach Europejskich? – w latach 2018-2025 - według cech społeczno-demograficznych</w:t>
        </w:r>
        <w:r w:rsidRPr="009228E0">
          <w:rPr>
            <w:rFonts w:ascii="Arial" w:hAnsi="Arial" w:cs="Arial"/>
            <w:noProof/>
            <w:webHidden/>
            <w:sz w:val="24"/>
            <w:szCs w:val="24"/>
          </w:rPr>
          <w:tab/>
        </w:r>
        <w:r w:rsidRPr="009228E0">
          <w:rPr>
            <w:rFonts w:ascii="Arial" w:hAnsi="Arial" w:cs="Arial"/>
            <w:noProof/>
            <w:webHidden/>
            <w:sz w:val="24"/>
            <w:szCs w:val="24"/>
          </w:rPr>
          <w:fldChar w:fldCharType="begin"/>
        </w:r>
        <w:r w:rsidRPr="009228E0">
          <w:rPr>
            <w:rFonts w:ascii="Arial" w:hAnsi="Arial" w:cs="Arial"/>
            <w:noProof/>
            <w:webHidden/>
            <w:sz w:val="24"/>
            <w:szCs w:val="24"/>
          </w:rPr>
          <w:instrText xml:space="preserve"> PAGEREF _Toc219369289 \h </w:instrText>
        </w:r>
        <w:r w:rsidRPr="009228E0">
          <w:rPr>
            <w:rFonts w:ascii="Arial" w:hAnsi="Arial" w:cs="Arial"/>
            <w:noProof/>
            <w:webHidden/>
            <w:sz w:val="24"/>
            <w:szCs w:val="24"/>
          </w:rPr>
        </w:r>
        <w:r w:rsidRPr="009228E0">
          <w:rPr>
            <w:rFonts w:ascii="Arial" w:hAnsi="Arial" w:cs="Arial"/>
            <w:noProof/>
            <w:webHidden/>
            <w:sz w:val="24"/>
            <w:szCs w:val="24"/>
          </w:rPr>
          <w:fldChar w:fldCharType="separate"/>
        </w:r>
        <w:r w:rsidR="000F26BD">
          <w:rPr>
            <w:rFonts w:ascii="Arial" w:hAnsi="Arial" w:cs="Arial"/>
            <w:noProof/>
            <w:webHidden/>
            <w:sz w:val="24"/>
            <w:szCs w:val="24"/>
          </w:rPr>
          <w:t>110</w:t>
        </w:r>
        <w:r w:rsidRPr="009228E0">
          <w:rPr>
            <w:rFonts w:ascii="Arial" w:hAnsi="Arial" w:cs="Arial"/>
            <w:noProof/>
            <w:webHidden/>
            <w:sz w:val="24"/>
            <w:szCs w:val="24"/>
          </w:rPr>
          <w:fldChar w:fldCharType="end"/>
        </w:r>
      </w:hyperlink>
    </w:p>
    <w:p w14:paraId="21AEEC94" w14:textId="366B3041" w:rsidR="009228E0" w:rsidRPr="009228E0" w:rsidRDefault="009228E0" w:rsidP="009228E0">
      <w:pPr>
        <w:pStyle w:val="Spisilustracji"/>
        <w:tabs>
          <w:tab w:val="right" w:leader="dot" w:pos="9060"/>
        </w:tabs>
        <w:spacing w:line="360" w:lineRule="auto"/>
        <w:jc w:val="both"/>
        <w:rPr>
          <w:rFonts w:ascii="Arial" w:eastAsiaTheme="minorEastAsia" w:hAnsi="Arial" w:cs="Arial"/>
          <w:noProof/>
          <w:kern w:val="0"/>
          <w:sz w:val="24"/>
          <w:szCs w:val="24"/>
          <w:lang w:eastAsia="pl-PL"/>
          <w14:ligatures w14:val="none"/>
        </w:rPr>
      </w:pPr>
      <w:hyperlink w:anchor="_Toc219369290" w:history="1">
        <w:r w:rsidRPr="009228E0">
          <w:rPr>
            <w:rStyle w:val="Hipercze"/>
            <w:rFonts w:ascii="Arial" w:hAnsi="Arial" w:cs="Arial"/>
            <w:noProof/>
            <w:sz w:val="24"/>
            <w:szCs w:val="24"/>
          </w:rPr>
          <w:t>Wykres 64. P39. A teraz proszę przypomnieć sobie jedną konkretną reklamę, program, artykuł lub informację o Funduszach Europejskich, którą widział(a) lub słyszał(a) Pan(i) jako ostatnią. Gdzie się z nią / nim Pan(i) zetknął(ęła)? (N=175)</w:t>
        </w:r>
        <w:r w:rsidRPr="009228E0">
          <w:rPr>
            <w:rFonts w:ascii="Arial" w:hAnsi="Arial" w:cs="Arial"/>
            <w:noProof/>
            <w:webHidden/>
            <w:sz w:val="24"/>
            <w:szCs w:val="24"/>
          </w:rPr>
          <w:tab/>
        </w:r>
        <w:r w:rsidRPr="009228E0">
          <w:rPr>
            <w:rFonts w:ascii="Arial" w:hAnsi="Arial" w:cs="Arial"/>
            <w:noProof/>
            <w:webHidden/>
            <w:sz w:val="24"/>
            <w:szCs w:val="24"/>
          </w:rPr>
          <w:fldChar w:fldCharType="begin"/>
        </w:r>
        <w:r w:rsidRPr="009228E0">
          <w:rPr>
            <w:rFonts w:ascii="Arial" w:hAnsi="Arial" w:cs="Arial"/>
            <w:noProof/>
            <w:webHidden/>
            <w:sz w:val="24"/>
            <w:szCs w:val="24"/>
          </w:rPr>
          <w:instrText xml:space="preserve"> PAGEREF _Toc219369290 \h </w:instrText>
        </w:r>
        <w:r w:rsidRPr="009228E0">
          <w:rPr>
            <w:rFonts w:ascii="Arial" w:hAnsi="Arial" w:cs="Arial"/>
            <w:noProof/>
            <w:webHidden/>
            <w:sz w:val="24"/>
            <w:szCs w:val="24"/>
          </w:rPr>
        </w:r>
        <w:r w:rsidRPr="009228E0">
          <w:rPr>
            <w:rFonts w:ascii="Arial" w:hAnsi="Arial" w:cs="Arial"/>
            <w:noProof/>
            <w:webHidden/>
            <w:sz w:val="24"/>
            <w:szCs w:val="24"/>
          </w:rPr>
          <w:fldChar w:fldCharType="separate"/>
        </w:r>
        <w:r w:rsidR="000F26BD">
          <w:rPr>
            <w:rFonts w:ascii="Arial" w:hAnsi="Arial" w:cs="Arial"/>
            <w:noProof/>
            <w:webHidden/>
            <w:sz w:val="24"/>
            <w:szCs w:val="24"/>
          </w:rPr>
          <w:t>111</w:t>
        </w:r>
        <w:r w:rsidRPr="009228E0">
          <w:rPr>
            <w:rFonts w:ascii="Arial" w:hAnsi="Arial" w:cs="Arial"/>
            <w:noProof/>
            <w:webHidden/>
            <w:sz w:val="24"/>
            <w:szCs w:val="24"/>
          </w:rPr>
          <w:fldChar w:fldCharType="end"/>
        </w:r>
      </w:hyperlink>
    </w:p>
    <w:p w14:paraId="4EB6BC30" w14:textId="49E0A6DC" w:rsidR="009228E0" w:rsidRPr="009228E0" w:rsidRDefault="009228E0" w:rsidP="009228E0">
      <w:pPr>
        <w:pStyle w:val="Spisilustracji"/>
        <w:tabs>
          <w:tab w:val="right" w:leader="dot" w:pos="9060"/>
        </w:tabs>
        <w:spacing w:line="360" w:lineRule="auto"/>
        <w:jc w:val="both"/>
        <w:rPr>
          <w:rFonts w:ascii="Arial" w:eastAsiaTheme="minorEastAsia" w:hAnsi="Arial" w:cs="Arial"/>
          <w:noProof/>
          <w:kern w:val="0"/>
          <w:sz w:val="24"/>
          <w:szCs w:val="24"/>
          <w:lang w:eastAsia="pl-PL"/>
          <w14:ligatures w14:val="none"/>
        </w:rPr>
      </w:pPr>
      <w:hyperlink w:anchor="_Toc219369291" w:history="1">
        <w:r w:rsidRPr="009228E0">
          <w:rPr>
            <w:rStyle w:val="Hipercze"/>
            <w:rFonts w:ascii="Arial" w:hAnsi="Arial" w:cs="Arial"/>
            <w:noProof/>
            <w:sz w:val="24"/>
            <w:szCs w:val="24"/>
          </w:rPr>
          <w:t>Wykres 65. P40. Jaką formę miała informacja o Funduszach Europejskich, z którą zetknął(ęła) się Pan(i) jako ostatnią? (N=175)</w:t>
        </w:r>
        <w:r w:rsidRPr="009228E0">
          <w:rPr>
            <w:rFonts w:ascii="Arial" w:hAnsi="Arial" w:cs="Arial"/>
            <w:noProof/>
            <w:webHidden/>
            <w:sz w:val="24"/>
            <w:szCs w:val="24"/>
          </w:rPr>
          <w:tab/>
        </w:r>
        <w:r w:rsidRPr="009228E0">
          <w:rPr>
            <w:rFonts w:ascii="Arial" w:hAnsi="Arial" w:cs="Arial"/>
            <w:noProof/>
            <w:webHidden/>
            <w:sz w:val="24"/>
            <w:szCs w:val="24"/>
          </w:rPr>
          <w:fldChar w:fldCharType="begin"/>
        </w:r>
        <w:r w:rsidRPr="009228E0">
          <w:rPr>
            <w:rFonts w:ascii="Arial" w:hAnsi="Arial" w:cs="Arial"/>
            <w:noProof/>
            <w:webHidden/>
            <w:sz w:val="24"/>
            <w:szCs w:val="24"/>
          </w:rPr>
          <w:instrText xml:space="preserve"> PAGEREF _Toc219369291 \h </w:instrText>
        </w:r>
        <w:r w:rsidRPr="009228E0">
          <w:rPr>
            <w:rFonts w:ascii="Arial" w:hAnsi="Arial" w:cs="Arial"/>
            <w:noProof/>
            <w:webHidden/>
            <w:sz w:val="24"/>
            <w:szCs w:val="24"/>
          </w:rPr>
        </w:r>
        <w:r w:rsidRPr="009228E0">
          <w:rPr>
            <w:rFonts w:ascii="Arial" w:hAnsi="Arial" w:cs="Arial"/>
            <w:noProof/>
            <w:webHidden/>
            <w:sz w:val="24"/>
            <w:szCs w:val="24"/>
          </w:rPr>
          <w:fldChar w:fldCharType="separate"/>
        </w:r>
        <w:r w:rsidR="000F26BD">
          <w:rPr>
            <w:rFonts w:ascii="Arial" w:hAnsi="Arial" w:cs="Arial"/>
            <w:noProof/>
            <w:webHidden/>
            <w:sz w:val="24"/>
            <w:szCs w:val="24"/>
          </w:rPr>
          <w:t>112</w:t>
        </w:r>
        <w:r w:rsidRPr="009228E0">
          <w:rPr>
            <w:rFonts w:ascii="Arial" w:hAnsi="Arial" w:cs="Arial"/>
            <w:noProof/>
            <w:webHidden/>
            <w:sz w:val="24"/>
            <w:szCs w:val="24"/>
          </w:rPr>
          <w:fldChar w:fldCharType="end"/>
        </w:r>
      </w:hyperlink>
    </w:p>
    <w:p w14:paraId="535E4FC8" w14:textId="20A4CC5D" w:rsidR="009228E0" w:rsidRPr="009228E0" w:rsidRDefault="009228E0" w:rsidP="009228E0">
      <w:pPr>
        <w:pStyle w:val="Spisilustracji"/>
        <w:tabs>
          <w:tab w:val="right" w:leader="dot" w:pos="9060"/>
        </w:tabs>
        <w:spacing w:line="360" w:lineRule="auto"/>
        <w:jc w:val="both"/>
        <w:rPr>
          <w:rFonts w:ascii="Arial" w:eastAsiaTheme="minorEastAsia" w:hAnsi="Arial" w:cs="Arial"/>
          <w:noProof/>
          <w:kern w:val="0"/>
          <w:sz w:val="24"/>
          <w:szCs w:val="24"/>
          <w:lang w:eastAsia="pl-PL"/>
          <w14:ligatures w14:val="none"/>
        </w:rPr>
      </w:pPr>
      <w:hyperlink w:anchor="_Toc219369292" w:history="1">
        <w:r w:rsidRPr="009228E0">
          <w:rPr>
            <w:rStyle w:val="Hipercze"/>
            <w:rFonts w:ascii="Arial" w:hAnsi="Arial" w:cs="Arial"/>
            <w:noProof/>
            <w:sz w:val="24"/>
            <w:szCs w:val="24"/>
          </w:rPr>
          <w:t>Wykres 66. P41 Co zapamiętał(a) Pan(i) z tej ostatnio spotkanej reklamy, programu, artykułu lub informacji o Funduszach Europejskich?  (N=185)</w:t>
        </w:r>
        <w:r w:rsidRPr="009228E0">
          <w:rPr>
            <w:rFonts w:ascii="Arial" w:hAnsi="Arial" w:cs="Arial"/>
            <w:noProof/>
            <w:webHidden/>
            <w:sz w:val="24"/>
            <w:szCs w:val="24"/>
          </w:rPr>
          <w:tab/>
        </w:r>
        <w:r w:rsidRPr="009228E0">
          <w:rPr>
            <w:rFonts w:ascii="Arial" w:hAnsi="Arial" w:cs="Arial"/>
            <w:noProof/>
            <w:webHidden/>
            <w:sz w:val="24"/>
            <w:szCs w:val="24"/>
          </w:rPr>
          <w:fldChar w:fldCharType="begin"/>
        </w:r>
        <w:r w:rsidRPr="009228E0">
          <w:rPr>
            <w:rFonts w:ascii="Arial" w:hAnsi="Arial" w:cs="Arial"/>
            <w:noProof/>
            <w:webHidden/>
            <w:sz w:val="24"/>
            <w:szCs w:val="24"/>
          </w:rPr>
          <w:instrText xml:space="preserve"> PAGEREF _Toc219369292 \h </w:instrText>
        </w:r>
        <w:r w:rsidRPr="009228E0">
          <w:rPr>
            <w:rFonts w:ascii="Arial" w:hAnsi="Arial" w:cs="Arial"/>
            <w:noProof/>
            <w:webHidden/>
            <w:sz w:val="24"/>
            <w:szCs w:val="24"/>
          </w:rPr>
        </w:r>
        <w:r w:rsidRPr="009228E0">
          <w:rPr>
            <w:rFonts w:ascii="Arial" w:hAnsi="Arial" w:cs="Arial"/>
            <w:noProof/>
            <w:webHidden/>
            <w:sz w:val="24"/>
            <w:szCs w:val="24"/>
          </w:rPr>
          <w:fldChar w:fldCharType="separate"/>
        </w:r>
        <w:r w:rsidR="000F26BD">
          <w:rPr>
            <w:rFonts w:ascii="Arial" w:hAnsi="Arial" w:cs="Arial"/>
            <w:noProof/>
            <w:webHidden/>
            <w:sz w:val="24"/>
            <w:szCs w:val="24"/>
          </w:rPr>
          <w:t>113</w:t>
        </w:r>
        <w:r w:rsidRPr="009228E0">
          <w:rPr>
            <w:rFonts w:ascii="Arial" w:hAnsi="Arial" w:cs="Arial"/>
            <w:noProof/>
            <w:webHidden/>
            <w:sz w:val="24"/>
            <w:szCs w:val="24"/>
          </w:rPr>
          <w:fldChar w:fldCharType="end"/>
        </w:r>
      </w:hyperlink>
    </w:p>
    <w:p w14:paraId="64279D65" w14:textId="569CEB91" w:rsidR="009228E0" w:rsidRPr="009228E0" w:rsidRDefault="009228E0" w:rsidP="009228E0">
      <w:pPr>
        <w:pStyle w:val="Spisilustracji"/>
        <w:tabs>
          <w:tab w:val="right" w:leader="dot" w:pos="9060"/>
        </w:tabs>
        <w:spacing w:line="360" w:lineRule="auto"/>
        <w:jc w:val="both"/>
        <w:rPr>
          <w:rFonts w:ascii="Arial" w:eastAsiaTheme="minorEastAsia" w:hAnsi="Arial" w:cs="Arial"/>
          <w:noProof/>
          <w:kern w:val="0"/>
          <w:sz w:val="24"/>
          <w:szCs w:val="24"/>
          <w:lang w:eastAsia="pl-PL"/>
          <w14:ligatures w14:val="none"/>
        </w:rPr>
      </w:pPr>
      <w:hyperlink w:anchor="_Toc219369293" w:history="1">
        <w:r w:rsidRPr="009228E0">
          <w:rPr>
            <w:rStyle w:val="Hipercze"/>
            <w:rFonts w:ascii="Arial" w:hAnsi="Arial" w:cs="Arial"/>
            <w:noProof/>
            <w:sz w:val="24"/>
            <w:szCs w:val="24"/>
          </w:rPr>
          <w:t>Wykres 67. P42. Czy ta reklama, program, artykuł lub informacja prezentowała Fundusze Europejskie w pozytywnym, negatywnym czy neutralnym świetle? – w latach 2018-2025</w:t>
        </w:r>
        <w:r w:rsidRPr="009228E0">
          <w:rPr>
            <w:rFonts w:ascii="Arial" w:hAnsi="Arial" w:cs="Arial"/>
            <w:noProof/>
            <w:webHidden/>
            <w:sz w:val="24"/>
            <w:szCs w:val="24"/>
          </w:rPr>
          <w:tab/>
        </w:r>
        <w:r w:rsidRPr="009228E0">
          <w:rPr>
            <w:rFonts w:ascii="Arial" w:hAnsi="Arial" w:cs="Arial"/>
            <w:noProof/>
            <w:webHidden/>
            <w:sz w:val="24"/>
            <w:szCs w:val="24"/>
          </w:rPr>
          <w:fldChar w:fldCharType="begin"/>
        </w:r>
        <w:r w:rsidRPr="009228E0">
          <w:rPr>
            <w:rFonts w:ascii="Arial" w:hAnsi="Arial" w:cs="Arial"/>
            <w:noProof/>
            <w:webHidden/>
            <w:sz w:val="24"/>
            <w:szCs w:val="24"/>
          </w:rPr>
          <w:instrText xml:space="preserve"> PAGEREF _Toc219369293 \h </w:instrText>
        </w:r>
        <w:r w:rsidRPr="009228E0">
          <w:rPr>
            <w:rFonts w:ascii="Arial" w:hAnsi="Arial" w:cs="Arial"/>
            <w:noProof/>
            <w:webHidden/>
            <w:sz w:val="24"/>
            <w:szCs w:val="24"/>
          </w:rPr>
        </w:r>
        <w:r w:rsidRPr="009228E0">
          <w:rPr>
            <w:rFonts w:ascii="Arial" w:hAnsi="Arial" w:cs="Arial"/>
            <w:noProof/>
            <w:webHidden/>
            <w:sz w:val="24"/>
            <w:szCs w:val="24"/>
          </w:rPr>
          <w:fldChar w:fldCharType="separate"/>
        </w:r>
        <w:r w:rsidR="000F26BD">
          <w:rPr>
            <w:rFonts w:ascii="Arial" w:hAnsi="Arial" w:cs="Arial"/>
            <w:noProof/>
            <w:webHidden/>
            <w:sz w:val="24"/>
            <w:szCs w:val="24"/>
          </w:rPr>
          <w:t>115</w:t>
        </w:r>
        <w:r w:rsidRPr="009228E0">
          <w:rPr>
            <w:rFonts w:ascii="Arial" w:hAnsi="Arial" w:cs="Arial"/>
            <w:noProof/>
            <w:webHidden/>
            <w:sz w:val="24"/>
            <w:szCs w:val="24"/>
          </w:rPr>
          <w:fldChar w:fldCharType="end"/>
        </w:r>
      </w:hyperlink>
    </w:p>
    <w:p w14:paraId="5ECE218D" w14:textId="487A6B55" w:rsidR="009228E0" w:rsidRPr="009228E0" w:rsidRDefault="009228E0" w:rsidP="009228E0">
      <w:pPr>
        <w:pStyle w:val="Spisilustracji"/>
        <w:tabs>
          <w:tab w:val="right" w:leader="dot" w:pos="9060"/>
        </w:tabs>
        <w:spacing w:line="360" w:lineRule="auto"/>
        <w:jc w:val="both"/>
        <w:rPr>
          <w:rFonts w:ascii="Arial" w:eastAsiaTheme="minorEastAsia" w:hAnsi="Arial" w:cs="Arial"/>
          <w:noProof/>
          <w:kern w:val="0"/>
          <w:sz w:val="24"/>
          <w:szCs w:val="24"/>
          <w:lang w:eastAsia="pl-PL"/>
          <w14:ligatures w14:val="none"/>
        </w:rPr>
      </w:pPr>
      <w:hyperlink w:anchor="_Toc219369294" w:history="1">
        <w:r w:rsidRPr="009228E0">
          <w:rPr>
            <w:rStyle w:val="Hipercze"/>
            <w:rFonts w:ascii="Arial" w:hAnsi="Arial" w:cs="Arial"/>
            <w:noProof/>
            <w:sz w:val="24"/>
            <w:szCs w:val="24"/>
          </w:rPr>
          <w:t>Wykres 68. P53. Czy słyszał(a) Pan(i) o Krajowym Planie Odbudowy? - według cech demograficznych oraz ogółem (N=1000)</w:t>
        </w:r>
        <w:r w:rsidRPr="009228E0">
          <w:rPr>
            <w:rFonts w:ascii="Arial" w:hAnsi="Arial" w:cs="Arial"/>
            <w:noProof/>
            <w:webHidden/>
            <w:sz w:val="24"/>
            <w:szCs w:val="24"/>
          </w:rPr>
          <w:tab/>
        </w:r>
        <w:r w:rsidRPr="009228E0">
          <w:rPr>
            <w:rFonts w:ascii="Arial" w:hAnsi="Arial" w:cs="Arial"/>
            <w:noProof/>
            <w:webHidden/>
            <w:sz w:val="24"/>
            <w:szCs w:val="24"/>
          </w:rPr>
          <w:fldChar w:fldCharType="begin"/>
        </w:r>
        <w:r w:rsidRPr="009228E0">
          <w:rPr>
            <w:rFonts w:ascii="Arial" w:hAnsi="Arial" w:cs="Arial"/>
            <w:noProof/>
            <w:webHidden/>
            <w:sz w:val="24"/>
            <w:szCs w:val="24"/>
          </w:rPr>
          <w:instrText xml:space="preserve"> PAGEREF _Toc219369294 \h </w:instrText>
        </w:r>
        <w:r w:rsidRPr="009228E0">
          <w:rPr>
            <w:rFonts w:ascii="Arial" w:hAnsi="Arial" w:cs="Arial"/>
            <w:noProof/>
            <w:webHidden/>
            <w:sz w:val="24"/>
            <w:szCs w:val="24"/>
          </w:rPr>
        </w:r>
        <w:r w:rsidRPr="009228E0">
          <w:rPr>
            <w:rFonts w:ascii="Arial" w:hAnsi="Arial" w:cs="Arial"/>
            <w:noProof/>
            <w:webHidden/>
            <w:sz w:val="24"/>
            <w:szCs w:val="24"/>
          </w:rPr>
          <w:fldChar w:fldCharType="separate"/>
        </w:r>
        <w:r w:rsidR="000F26BD">
          <w:rPr>
            <w:rFonts w:ascii="Arial" w:hAnsi="Arial" w:cs="Arial"/>
            <w:noProof/>
            <w:webHidden/>
            <w:sz w:val="24"/>
            <w:szCs w:val="24"/>
          </w:rPr>
          <w:t>118</w:t>
        </w:r>
        <w:r w:rsidRPr="009228E0">
          <w:rPr>
            <w:rFonts w:ascii="Arial" w:hAnsi="Arial" w:cs="Arial"/>
            <w:noProof/>
            <w:webHidden/>
            <w:sz w:val="24"/>
            <w:szCs w:val="24"/>
          </w:rPr>
          <w:fldChar w:fldCharType="end"/>
        </w:r>
      </w:hyperlink>
    </w:p>
    <w:p w14:paraId="24EA13B6" w14:textId="3D8A045D" w:rsidR="009228E0" w:rsidRPr="009228E0" w:rsidRDefault="009228E0" w:rsidP="009228E0">
      <w:pPr>
        <w:pStyle w:val="Spisilustracji"/>
        <w:tabs>
          <w:tab w:val="right" w:leader="dot" w:pos="9060"/>
        </w:tabs>
        <w:spacing w:line="360" w:lineRule="auto"/>
        <w:jc w:val="both"/>
        <w:rPr>
          <w:rFonts w:ascii="Arial" w:eastAsiaTheme="minorEastAsia" w:hAnsi="Arial" w:cs="Arial"/>
          <w:noProof/>
          <w:kern w:val="0"/>
          <w:sz w:val="24"/>
          <w:szCs w:val="24"/>
          <w:lang w:eastAsia="pl-PL"/>
          <w14:ligatures w14:val="none"/>
        </w:rPr>
      </w:pPr>
      <w:hyperlink w:anchor="_Toc219369295" w:history="1">
        <w:r w:rsidRPr="009228E0">
          <w:rPr>
            <w:rStyle w:val="Hipercze"/>
            <w:rFonts w:ascii="Arial" w:hAnsi="Arial" w:cs="Arial"/>
            <w:noProof/>
            <w:sz w:val="24"/>
            <w:szCs w:val="24"/>
          </w:rPr>
          <w:t>Wykres 69. P54. A z czym kojarzy się Panu/Pani Krajowy Plan Odbudowy? (N=520)</w:t>
        </w:r>
        <w:r w:rsidRPr="009228E0">
          <w:rPr>
            <w:rFonts w:ascii="Arial" w:hAnsi="Arial" w:cs="Arial"/>
            <w:noProof/>
            <w:webHidden/>
            <w:sz w:val="24"/>
            <w:szCs w:val="24"/>
          </w:rPr>
          <w:tab/>
        </w:r>
        <w:r w:rsidRPr="009228E0">
          <w:rPr>
            <w:rFonts w:ascii="Arial" w:hAnsi="Arial" w:cs="Arial"/>
            <w:noProof/>
            <w:webHidden/>
            <w:sz w:val="24"/>
            <w:szCs w:val="24"/>
          </w:rPr>
          <w:fldChar w:fldCharType="begin"/>
        </w:r>
        <w:r w:rsidRPr="009228E0">
          <w:rPr>
            <w:rFonts w:ascii="Arial" w:hAnsi="Arial" w:cs="Arial"/>
            <w:noProof/>
            <w:webHidden/>
            <w:sz w:val="24"/>
            <w:szCs w:val="24"/>
          </w:rPr>
          <w:instrText xml:space="preserve"> PAGEREF _Toc219369295 \h </w:instrText>
        </w:r>
        <w:r w:rsidRPr="009228E0">
          <w:rPr>
            <w:rFonts w:ascii="Arial" w:hAnsi="Arial" w:cs="Arial"/>
            <w:noProof/>
            <w:webHidden/>
            <w:sz w:val="24"/>
            <w:szCs w:val="24"/>
          </w:rPr>
        </w:r>
        <w:r w:rsidRPr="009228E0">
          <w:rPr>
            <w:rFonts w:ascii="Arial" w:hAnsi="Arial" w:cs="Arial"/>
            <w:noProof/>
            <w:webHidden/>
            <w:sz w:val="24"/>
            <w:szCs w:val="24"/>
          </w:rPr>
          <w:fldChar w:fldCharType="separate"/>
        </w:r>
        <w:r w:rsidR="000F26BD">
          <w:rPr>
            <w:rFonts w:ascii="Arial" w:hAnsi="Arial" w:cs="Arial"/>
            <w:noProof/>
            <w:webHidden/>
            <w:sz w:val="24"/>
            <w:szCs w:val="24"/>
          </w:rPr>
          <w:t>119</w:t>
        </w:r>
        <w:r w:rsidRPr="009228E0">
          <w:rPr>
            <w:rFonts w:ascii="Arial" w:hAnsi="Arial" w:cs="Arial"/>
            <w:noProof/>
            <w:webHidden/>
            <w:sz w:val="24"/>
            <w:szCs w:val="24"/>
          </w:rPr>
          <w:fldChar w:fldCharType="end"/>
        </w:r>
      </w:hyperlink>
    </w:p>
    <w:p w14:paraId="4EC77A49" w14:textId="4302FFC3" w:rsidR="0096116B" w:rsidRPr="0028226B" w:rsidRDefault="00C372D5" w:rsidP="009228E0">
      <w:pPr>
        <w:spacing w:after="0" w:line="360" w:lineRule="auto"/>
        <w:jc w:val="both"/>
        <w:rPr>
          <w:rFonts w:ascii="Arial" w:hAnsi="Arial" w:cs="Arial"/>
          <w:b/>
          <w:bCs/>
          <w:sz w:val="24"/>
          <w:szCs w:val="24"/>
        </w:rPr>
      </w:pPr>
      <w:r w:rsidRPr="009228E0">
        <w:rPr>
          <w:rFonts w:ascii="Arial" w:hAnsi="Arial" w:cs="Arial"/>
          <w:sz w:val="24"/>
          <w:szCs w:val="24"/>
        </w:rPr>
        <w:fldChar w:fldCharType="end"/>
      </w:r>
      <w:r w:rsidRPr="0028226B">
        <w:rPr>
          <w:rFonts w:ascii="Arial" w:hAnsi="Arial" w:cs="Arial"/>
          <w:b/>
          <w:bCs/>
          <w:sz w:val="24"/>
          <w:szCs w:val="24"/>
        </w:rPr>
        <w:fldChar w:fldCharType="begin"/>
      </w:r>
      <w:r w:rsidRPr="0028226B">
        <w:rPr>
          <w:rFonts w:ascii="Arial" w:hAnsi="Arial" w:cs="Arial"/>
          <w:b/>
          <w:bCs/>
          <w:sz w:val="24"/>
          <w:szCs w:val="24"/>
        </w:rPr>
        <w:instrText xml:space="preserve"> TOC \h \z \c "Tabela" </w:instrText>
      </w:r>
      <w:r w:rsidRPr="0028226B">
        <w:rPr>
          <w:rFonts w:ascii="Arial" w:hAnsi="Arial" w:cs="Arial"/>
          <w:b/>
          <w:bCs/>
          <w:sz w:val="24"/>
          <w:szCs w:val="24"/>
        </w:rPr>
        <w:fldChar w:fldCharType="separate"/>
      </w:r>
      <w:r w:rsidRPr="0028226B">
        <w:rPr>
          <w:rFonts w:ascii="Arial" w:hAnsi="Arial" w:cs="Arial"/>
          <w:b/>
          <w:bCs/>
          <w:sz w:val="24"/>
          <w:szCs w:val="24"/>
        </w:rPr>
        <w:fldChar w:fldCharType="end"/>
      </w:r>
    </w:p>
    <w:p w14:paraId="6B72CAA0" w14:textId="77777777" w:rsidR="00545F44" w:rsidRPr="0028226B" w:rsidRDefault="00545F44" w:rsidP="0096116B">
      <w:pPr>
        <w:rPr>
          <w:rFonts w:ascii="Arial" w:hAnsi="Arial" w:cs="Arial"/>
          <w:b/>
          <w:bCs/>
          <w:sz w:val="24"/>
          <w:szCs w:val="24"/>
        </w:rPr>
      </w:pPr>
    </w:p>
    <w:p w14:paraId="2246AB38" w14:textId="1DCAB1BA" w:rsidR="00545F44" w:rsidRPr="0028226B" w:rsidRDefault="00545F44" w:rsidP="00942730">
      <w:pPr>
        <w:rPr>
          <w:rFonts w:ascii="Arial" w:hAnsi="Arial" w:cs="Arial"/>
          <w:b/>
          <w:bCs/>
          <w:sz w:val="24"/>
          <w:szCs w:val="24"/>
        </w:rPr>
      </w:pPr>
    </w:p>
    <w:sectPr w:rsidR="00545F44" w:rsidRPr="0028226B" w:rsidSect="007B2D8B">
      <w:headerReference w:type="default" r:id="rId79"/>
      <w:pgSz w:w="11906" w:h="16838"/>
      <w:pgMar w:top="1418" w:right="1418" w:bottom="1418" w:left="1418"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86E28F" w14:textId="77777777" w:rsidR="00B12784" w:rsidRDefault="00B12784" w:rsidP="002E2AE7">
      <w:pPr>
        <w:spacing w:after="0" w:line="240" w:lineRule="auto"/>
      </w:pPr>
      <w:r>
        <w:separator/>
      </w:r>
    </w:p>
  </w:endnote>
  <w:endnote w:type="continuationSeparator" w:id="0">
    <w:p w14:paraId="222A6AC3" w14:textId="77777777" w:rsidR="00B12784" w:rsidRDefault="00B12784" w:rsidP="002E2A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925E5E" w14:textId="77777777" w:rsidR="00B12784" w:rsidRDefault="00B12784" w:rsidP="002E2AE7">
      <w:pPr>
        <w:spacing w:after="0" w:line="240" w:lineRule="auto"/>
      </w:pPr>
      <w:r>
        <w:separator/>
      </w:r>
    </w:p>
  </w:footnote>
  <w:footnote w:type="continuationSeparator" w:id="0">
    <w:p w14:paraId="36D5BBF0" w14:textId="77777777" w:rsidR="00B12784" w:rsidRDefault="00B12784" w:rsidP="002E2AE7">
      <w:pPr>
        <w:spacing w:after="0" w:line="240" w:lineRule="auto"/>
      </w:pPr>
      <w:r>
        <w:continuationSeparator/>
      </w:r>
    </w:p>
  </w:footnote>
  <w:footnote w:id="1">
    <w:p w14:paraId="5C8E7E7D" w14:textId="21DDD88F" w:rsidR="00672A70" w:rsidRPr="004B75FE" w:rsidRDefault="00672A70">
      <w:pPr>
        <w:pStyle w:val="Tekstprzypisudolnego"/>
        <w:rPr>
          <w:rFonts w:ascii="Arial" w:hAnsi="Arial" w:cs="Arial"/>
        </w:rPr>
      </w:pPr>
      <w:r w:rsidRPr="00AA4EBE">
        <w:rPr>
          <w:rStyle w:val="Odwoanieprzypisudolnego"/>
          <w:rFonts w:ascii="Arial" w:hAnsi="Arial" w:cs="Arial"/>
          <w:sz w:val="22"/>
          <w:szCs w:val="22"/>
        </w:rPr>
        <w:footnoteRef/>
      </w:r>
      <w:r w:rsidRPr="00AA4EBE">
        <w:rPr>
          <w:rFonts w:ascii="Arial" w:hAnsi="Arial" w:cs="Arial"/>
          <w:sz w:val="22"/>
          <w:szCs w:val="22"/>
        </w:rPr>
        <w:t xml:space="preserve"> Dane z obecnego badania są porównywane do danych z poprzednich badań.</w:t>
      </w:r>
    </w:p>
  </w:footnote>
  <w:footnote w:id="2">
    <w:p w14:paraId="4FF19A41" w14:textId="77777777" w:rsidR="00F30D52" w:rsidRPr="00AA4EBE" w:rsidRDefault="00F30D52" w:rsidP="00F30D52">
      <w:pPr>
        <w:rPr>
          <w:rFonts w:ascii="Arial" w:hAnsi="Arial" w:cs="Arial"/>
        </w:rPr>
      </w:pPr>
      <w:r w:rsidRPr="00AA4EBE">
        <w:rPr>
          <w:rStyle w:val="Odwoanieprzypisudolnego"/>
          <w:rFonts w:ascii="Arial" w:hAnsi="Arial" w:cs="Arial"/>
        </w:rPr>
        <w:footnoteRef/>
      </w:r>
      <w:r w:rsidRPr="00AA4EBE">
        <w:rPr>
          <w:rFonts w:ascii="Arial" w:hAnsi="Arial" w:cs="Arial"/>
        </w:rPr>
        <w:t xml:space="preserve"> W celu uporządkowania prezentacji danych wartości istotnie </w:t>
      </w:r>
      <w:r w:rsidRPr="00AA4EBE">
        <w:rPr>
          <w:rFonts w:ascii="Arial" w:hAnsi="Arial" w:cs="Arial"/>
          <w:color w:val="EE0000"/>
        </w:rPr>
        <w:t>wyższe statystycznie od średniej dla całej badanej populacji oznaczono na wykresach kolorem czerwonym</w:t>
      </w:r>
      <w:r w:rsidRPr="00AA4EBE">
        <w:rPr>
          <w:rFonts w:ascii="Arial" w:hAnsi="Arial" w:cs="Arial"/>
        </w:rPr>
        <w:t xml:space="preserve">, </w:t>
      </w:r>
      <w:r w:rsidRPr="00AA4EBE">
        <w:rPr>
          <w:rFonts w:ascii="Arial" w:hAnsi="Arial" w:cs="Arial"/>
          <w:color w:val="5B9BD5" w:themeColor="accent5"/>
        </w:rPr>
        <w:t>natomiast wartości istotnie niższe statystycznie od tej średniej oznaczono kolorem niebieskim</w:t>
      </w:r>
      <w:r w:rsidRPr="00AA4EBE">
        <w:rPr>
          <w:rFonts w:ascii="Arial" w:hAnsi="Arial" w:cs="Arial"/>
        </w:rPr>
        <w:t>.</w:t>
      </w:r>
    </w:p>
    <w:p w14:paraId="606560B8" w14:textId="02B7851C" w:rsidR="00F30D52" w:rsidRPr="004B75FE" w:rsidRDefault="00F30D52">
      <w:pPr>
        <w:pStyle w:val="Tekstprzypisudolnego"/>
        <w:rPr>
          <w:rFonts w:ascii="Arial" w:hAnsi="Arial" w:cs="Arial"/>
        </w:rPr>
      </w:pPr>
    </w:p>
  </w:footnote>
  <w:footnote w:id="3">
    <w:p w14:paraId="214B0F5D" w14:textId="6D3288DA" w:rsidR="009C1D69" w:rsidRDefault="009C1D69">
      <w:pPr>
        <w:pStyle w:val="Tekstprzypisudolnego"/>
      </w:pPr>
      <w:r>
        <w:rPr>
          <w:rStyle w:val="Odwoanieprzypisudolnego"/>
        </w:rPr>
        <w:footnoteRef/>
      </w:r>
      <w:r>
        <w:t xml:space="preserve"> </w:t>
      </w:r>
      <w:r w:rsidRPr="00904767">
        <w:rPr>
          <w:rFonts w:ascii="Arial" w:hAnsi="Arial" w:cs="Arial"/>
          <w:sz w:val="24"/>
          <w:szCs w:val="24"/>
        </w:rPr>
        <w:t xml:space="preserve">W celu uporządkowania prezentacji danych wartości istotnie </w:t>
      </w:r>
      <w:r w:rsidRPr="00904767">
        <w:rPr>
          <w:rFonts w:ascii="Arial" w:hAnsi="Arial" w:cs="Arial"/>
          <w:b/>
          <w:bCs/>
          <w:color w:val="EE0000"/>
          <w:sz w:val="24"/>
          <w:szCs w:val="24"/>
        </w:rPr>
        <w:t>wyższe statystycznie od średniej dla całej badanej populacji oznaczono na wykresach kolorem czerwonym</w:t>
      </w:r>
      <w:r w:rsidRPr="00904767">
        <w:rPr>
          <w:rFonts w:ascii="Arial" w:hAnsi="Arial" w:cs="Arial"/>
          <w:sz w:val="24"/>
          <w:szCs w:val="24"/>
        </w:rPr>
        <w:t xml:space="preserve">, </w:t>
      </w:r>
      <w:r w:rsidRPr="00AA4EBE">
        <w:rPr>
          <w:rFonts w:ascii="Arial" w:hAnsi="Arial" w:cs="Arial"/>
          <w:b/>
          <w:bCs/>
          <w:color w:val="00B0F0"/>
          <w:sz w:val="24"/>
          <w:szCs w:val="24"/>
        </w:rPr>
        <w:t>natomiast wartości istotnie niższe statystycznie od tej średniej oznaczono kolorem niebieskim</w:t>
      </w:r>
      <w:r w:rsidRPr="00AA4EBE">
        <w:rPr>
          <w:rFonts w:ascii="Arial" w:hAnsi="Arial" w:cs="Arial"/>
          <w:color w:val="00B0F0"/>
          <w:sz w:val="24"/>
          <w:szCs w:val="24"/>
        </w:rPr>
        <w:t>.</w:t>
      </w:r>
    </w:p>
  </w:footnote>
  <w:footnote w:id="4">
    <w:p w14:paraId="4FBE8453" w14:textId="7969AA24" w:rsidR="00995031" w:rsidRPr="00AA4EBE" w:rsidRDefault="00995031">
      <w:pPr>
        <w:pStyle w:val="Tekstprzypisudolnego"/>
        <w:rPr>
          <w:rFonts w:ascii="Arial" w:hAnsi="Arial" w:cs="Arial"/>
        </w:rPr>
      </w:pPr>
      <w:r w:rsidRPr="00AA4EBE">
        <w:rPr>
          <w:rStyle w:val="Odwoanieprzypisudolnego"/>
          <w:rFonts w:ascii="Arial" w:hAnsi="Arial" w:cs="Arial"/>
          <w:sz w:val="22"/>
          <w:szCs w:val="22"/>
        </w:rPr>
        <w:footnoteRef/>
      </w:r>
      <w:r w:rsidRPr="00AA4EBE">
        <w:rPr>
          <w:rFonts w:ascii="Arial" w:hAnsi="Arial" w:cs="Arial"/>
          <w:sz w:val="22"/>
          <w:szCs w:val="22"/>
        </w:rPr>
        <w:t xml:space="preserve"> FE-Fundusze Europejskie</w:t>
      </w:r>
      <w:r>
        <w:rPr>
          <w:rFonts w:ascii="Arial" w:hAnsi="Arial" w:cs="Arial"/>
          <w:sz w:val="22"/>
          <w:szCs w:val="22"/>
        </w:rPr>
        <w:t xml:space="preserve"> </w:t>
      </w:r>
      <w:r>
        <w:rPr>
          <w:rFonts w:ascii="Arial" w:hAnsi="Arial" w:cs="Arial"/>
          <w:sz w:val="22"/>
          <w:szCs w:val="22"/>
        </w:rPr>
        <w:br/>
        <w:t>FU – Fundusze Unijne</w:t>
      </w:r>
    </w:p>
  </w:footnote>
  <w:footnote w:id="5">
    <w:p w14:paraId="0939837F" w14:textId="49E472DC" w:rsidR="002E2AE7" w:rsidRPr="00AA4EBE" w:rsidRDefault="002E2AE7" w:rsidP="005657CC">
      <w:pPr>
        <w:pStyle w:val="Tekstprzypisudolnego"/>
        <w:rPr>
          <w:rFonts w:ascii="Arial" w:hAnsi="Arial" w:cs="Arial"/>
          <w:sz w:val="22"/>
          <w:szCs w:val="22"/>
        </w:rPr>
      </w:pPr>
      <w:r w:rsidRPr="00AA4EBE">
        <w:rPr>
          <w:rStyle w:val="Odwoanieprzypisudolnego"/>
          <w:rFonts w:ascii="Arial" w:hAnsi="Arial" w:cs="Arial"/>
          <w:sz w:val="22"/>
          <w:szCs w:val="22"/>
        </w:rPr>
        <w:footnoteRef/>
      </w:r>
      <w:r w:rsidRPr="00AA4EBE">
        <w:rPr>
          <w:rFonts w:ascii="Arial" w:hAnsi="Arial" w:cs="Arial"/>
          <w:sz w:val="22"/>
          <w:szCs w:val="22"/>
        </w:rPr>
        <w:t xml:space="preserve"> NPS (Net Promoter Score) to wskaźnik służący do oceny gotowości respondentów do polecania określonego produktu, usługi lub rozwiązania innym osobom. Oparto go na skali 0–10, gdzie oceny 0–6 oznaczają krytyków (osoby zniechęcone lub niezadowolone), 7–8 określane są jako pasywni (neutralni, niezaangażowani), a 9–10 to promotorzy (osoby zdecydowanie polecające). Wartość NPS oblicza się jako różnicę procentową między udziałem promotorów a udziałem krytyków, co daje wynik mieszczący się w przedziale od –100 do +100. Wysoki wynik oznacza silną skłonność do rekomendacji i pozytywny odbiór danego rozwiązania.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7F7F7F" w:themeColor="background1" w:themeShade="7F"/>
        <w:spacing w:val="60"/>
      </w:rPr>
      <w:id w:val="-243417439"/>
      <w:docPartObj>
        <w:docPartGallery w:val="Page Numbers (Top of Page)"/>
        <w:docPartUnique/>
      </w:docPartObj>
    </w:sdtPr>
    <w:sdtEndPr>
      <w:rPr>
        <w:b/>
        <w:bCs/>
        <w:color w:val="auto"/>
        <w:spacing w:val="0"/>
      </w:rPr>
    </w:sdtEndPr>
    <w:sdtContent>
      <w:p w14:paraId="02271DBF" w14:textId="2ED58EB4" w:rsidR="007B2D8B" w:rsidRDefault="007B2D8B">
        <w:pPr>
          <w:pStyle w:val="Nagwek"/>
          <w:pBdr>
            <w:bottom w:val="single" w:sz="4" w:space="1" w:color="D9D9D9" w:themeColor="background1" w:themeShade="D9"/>
          </w:pBdr>
          <w:jc w:val="right"/>
          <w:rPr>
            <w:b/>
            <w:bCs/>
          </w:rPr>
        </w:pPr>
        <w:r>
          <w:rPr>
            <w:color w:val="7F7F7F" w:themeColor="background1" w:themeShade="7F"/>
            <w:spacing w:val="60"/>
          </w:rPr>
          <w:t>Raport z badania</w:t>
        </w:r>
        <w:r>
          <w:t xml:space="preserve"> | </w:t>
        </w:r>
        <w:r>
          <w:fldChar w:fldCharType="begin"/>
        </w:r>
        <w:r>
          <w:instrText>PAGE   \* MERGEFORMAT</w:instrText>
        </w:r>
        <w:r>
          <w:fldChar w:fldCharType="separate"/>
        </w:r>
        <w:r>
          <w:rPr>
            <w:b/>
            <w:bCs/>
          </w:rPr>
          <w:t>2</w:t>
        </w:r>
        <w:r>
          <w:rPr>
            <w:b/>
            <w:bCs/>
          </w:rPr>
          <w:fldChar w:fldCharType="end"/>
        </w:r>
      </w:p>
    </w:sdtContent>
  </w:sdt>
  <w:p w14:paraId="43A5C219" w14:textId="77777777" w:rsidR="008D4951" w:rsidRDefault="008D4951">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2342CC"/>
    <w:multiLevelType w:val="hybridMultilevel"/>
    <w:tmpl w:val="9EDCCD6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15:restartNumberingAfterBreak="0">
    <w:nsid w:val="1E891CA6"/>
    <w:multiLevelType w:val="hybridMultilevel"/>
    <w:tmpl w:val="EAEABAD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21131479"/>
    <w:multiLevelType w:val="hybridMultilevel"/>
    <w:tmpl w:val="E646C0DC"/>
    <w:lvl w:ilvl="0" w:tplc="0A1E5CD6">
      <w:numFmt w:val="bullet"/>
      <w:lvlText w:val="•"/>
      <w:lvlJc w:val="left"/>
      <w:pPr>
        <w:ind w:left="720" w:hanging="360"/>
      </w:pPr>
      <w:rPr>
        <w:rFonts w:ascii="Arial" w:eastAsiaTheme="minorHAnsi"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4D811973"/>
    <w:multiLevelType w:val="multilevel"/>
    <w:tmpl w:val="09F0BE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4E73B53"/>
    <w:multiLevelType w:val="hybridMultilevel"/>
    <w:tmpl w:val="571C208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660D4BF8"/>
    <w:multiLevelType w:val="hybridMultilevel"/>
    <w:tmpl w:val="51D4C37A"/>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74D675BD"/>
    <w:multiLevelType w:val="hybridMultilevel"/>
    <w:tmpl w:val="646E3CF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215967159">
    <w:abstractNumId w:val="3"/>
  </w:num>
  <w:num w:numId="2" w16cid:durableId="31541088">
    <w:abstractNumId w:val="0"/>
  </w:num>
  <w:num w:numId="3" w16cid:durableId="1172530570">
    <w:abstractNumId w:val="6"/>
  </w:num>
  <w:num w:numId="4" w16cid:durableId="410659042">
    <w:abstractNumId w:val="5"/>
  </w:num>
  <w:num w:numId="5" w16cid:durableId="1461150021">
    <w:abstractNumId w:val="2"/>
  </w:num>
  <w:num w:numId="6" w16cid:durableId="1178347379">
    <w:abstractNumId w:val="1"/>
  </w:num>
  <w:num w:numId="7" w16cid:durableId="6724895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0C1"/>
    <w:rsid w:val="00001ECF"/>
    <w:rsid w:val="0000264D"/>
    <w:rsid w:val="00003EE3"/>
    <w:rsid w:val="00004116"/>
    <w:rsid w:val="00004275"/>
    <w:rsid w:val="00006E50"/>
    <w:rsid w:val="000072B7"/>
    <w:rsid w:val="000102E3"/>
    <w:rsid w:val="00013616"/>
    <w:rsid w:val="00013B3D"/>
    <w:rsid w:val="00024487"/>
    <w:rsid w:val="00024B64"/>
    <w:rsid w:val="00025F7C"/>
    <w:rsid w:val="00027165"/>
    <w:rsid w:val="00032B0A"/>
    <w:rsid w:val="00032D8B"/>
    <w:rsid w:val="0004229E"/>
    <w:rsid w:val="000563F8"/>
    <w:rsid w:val="0006025E"/>
    <w:rsid w:val="00061EA1"/>
    <w:rsid w:val="00064D53"/>
    <w:rsid w:val="00072BEA"/>
    <w:rsid w:val="00073532"/>
    <w:rsid w:val="00073696"/>
    <w:rsid w:val="00073C66"/>
    <w:rsid w:val="00080581"/>
    <w:rsid w:val="00085865"/>
    <w:rsid w:val="00086B1D"/>
    <w:rsid w:val="00090479"/>
    <w:rsid w:val="00093153"/>
    <w:rsid w:val="00095403"/>
    <w:rsid w:val="000A12E0"/>
    <w:rsid w:val="000A1363"/>
    <w:rsid w:val="000A3529"/>
    <w:rsid w:val="000A5F53"/>
    <w:rsid w:val="000A66FA"/>
    <w:rsid w:val="000B0A1D"/>
    <w:rsid w:val="000B32C3"/>
    <w:rsid w:val="000B46BF"/>
    <w:rsid w:val="000B5251"/>
    <w:rsid w:val="000B5671"/>
    <w:rsid w:val="000C211B"/>
    <w:rsid w:val="000C57F5"/>
    <w:rsid w:val="000C5857"/>
    <w:rsid w:val="000C5FCC"/>
    <w:rsid w:val="000C6F51"/>
    <w:rsid w:val="000C705B"/>
    <w:rsid w:val="000E035F"/>
    <w:rsid w:val="000E1546"/>
    <w:rsid w:val="000E4136"/>
    <w:rsid w:val="000E4245"/>
    <w:rsid w:val="000F01AD"/>
    <w:rsid w:val="000F26BD"/>
    <w:rsid w:val="000F309D"/>
    <w:rsid w:val="000F780E"/>
    <w:rsid w:val="00100279"/>
    <w:rsid w:val="001112D9"/>
    <w:rsid w:val="0011750E"/>
    <w:rsid w:val="0014047D"/>
    <w:rsid w:val="001547D2"/>
    <w:rsid w:val="001555C8"/>
    <w:rsid w:val="00161600"/>
    <w:rsid w:val="00163079"/>
    <w:rsid w:val="001649CD"/>
    <w:rsid w:val="0018201F"/>
    <w:rsid w:val="00182AF1"/>
    <w:rsid w:val="00197D2F"/>
    <w:rsid w:val="001A2003"/>
    <w:rsid w:val="001B00FF"/>
    <w:rsid w:val="001B43AD"/>
    <w:rsid w:val="001B4A83"/>
    <w:rsid w:val="001B6E6D"/>
    <w:rsid w:val="001C3D82"/>
    <w:rsid w:val="001D2B60"/>
    <w:rsid w:val="001D7813"/>
    <w:rsid w:val="001E49D4"/>
    <w:rsid w:val="001E5963"/>
    <w:rsid w:val="001F0DB7"/>
    <w:rsid w:val="001F12CC"/>
    <w:rsid w:val="001F7ED5"/>
    <w:rsid w:val="0020075A"/>
    <w:rsid w:val="00203647"/>
    <w:rsid w:val="00204A92"/>
    <w:rsid w:val="00215DEB"/>
    <w:rsid w:val="00215E71"/>
    <w:rsid w:val="002232F8"/>
    <w:rsid w:val="00225770"/>
    <w:rsid w:val="0022736D"/>
    <w:rsid w:val="00233BE3"/>
    <w:rsid w:val="00233CC5"/>
    <w:rsid w:val="00235236"/>
    <w:rsid w:val="00240579"/>
    <w:rsid w:val="00245087"/>
    <w:rsid w:val="00245561"/>
    <w:rsid w:val="00250A58"/>
    <w:rsid w:val="00252F1D"/>
    <w:rsid w:val="002532ED"/>
    <w:rsid w:val="00253DAB"/>
    <w:rsid w:val="00256099"/>
    <w:rsid w:val="0026089C"/>
    <w:rsid w:val="00265B20"/>
    <w:rsid w:val="002664EE"/>
    <w:rsid w:val="00266FB5"/>
    <w:rsid w:val="00272548"/>
    <w:rsid w:val="00281735"/>
    <w:rsid w:val="0028226B"/>
    <w:rsid w:val="00284F59"/>
    <w:rsid w:val="0028644A"/>
    <w:rsid w:val="002A2F00"/>
    <w:rsid w:val="002A3326"/>
    <w:rsid w:val="002A350B"/>
    <w:rsid w:val="002A4739"/>
    <w:rsid w:val="002B1A5B"/>
    <w:rsid w:val="002B2B69"/>
    <w:rsid w:val="002B5BA0"/>
    <w:rsid w:val="002B6D1D"/>
    <w:rsid w:val="002B70A8"/>
    <w:rsid w:val="002C3148"/>
    <w:rsid w:val="002D5FDA"/>
    <w:rsid w:val="002D7576"/>
    <w:rsid w:val="002E2AE7"/>
    <w:rsid w:val="002E4812"/>
    <w:rsid w:val="002E58EF"/>
    <w:rsid w:val="002E6122"/>
    <w:rsid w:val="002F1BD1"/>
    <w:rsid w:val="002F3729"/>
    <w:rsid w:val="002F5B21"/>
    <w:rsid w:val="00302D06"/>
    <w:rsid w:val="00303AC1"/>
    <w:rsid w:val="0030564F"/>
    <w:rsid w:val="003152FA"/>
    <w:rsid w:val="00316263"/>
    <w:rsid w:val="00320784"/>
    <w:rsid w:val="00321AC1"/>
    <w:rsid w:val="00325969"/>
    <w:rsid w:val="0032598F"/>
    <w:rsid w:val="00325C12"/>
    <w:rsid w:val="0033160E"/>
    <w:rsid w:val="003344C0"/>
    <w:rsid w:val="00346B6E"/>
    <w:rsid w:val="0035553C"/>
    <w:rsid w:val="00355D08"/>
    <w:rsid w:val="00376687"/>
    <w:rsid w:val="003814DA"/>
    <w:rsid w:val="003866C5"/>
    <w:rsid w:val="00386EE3"/>
    <w:rsid w:val="0039483E"/>
    <w:rsid w:val="003A1C11"/>
    <w:rsid w:val="003A5495"/>
    <w:rsid w:val="003B2E54"/>
    <w:rsid w:val="003B5208"/>
    <w:rsid w:val="003C0338"/>
    <w:rsid w:val="003C0DBE"/>
    <w:rsid w:val="003D32C0"/>
    <w:rsid w:val="003E2362"/>
    <w:rsid w:val="003E4169"/>
    <w:rsid w:val="003F0880"/>
    <w:rsid w:val="003F1B22"/>
    <w:rsid w:val="003F229C"/>
    <w:rsid w:val="003F3147"/>
    <w:rsid w:val="003F422B"/>
    <w:rsid w:val="004021AD"/>
    <w:rsid w:val="00403126"/>
    <w:rsid w:val="00403F4E"/>
    <w:rsid w:val="00407873"/>
    <w:rsid w:val="00420756"/>
    <w:rsid w:val="00425786"/>
    <w:rsid w:val="00430535"/>
    <w:rsid w:val="004347B3"/>
    <w:rsid w:val="00446A9F"/>
    <w:rsid w:val="004530C8"/>
    <w:rsid w:val="004534FD"/>
    <w:rsid w:val="00453F71"/>
    <w:rsid w:val="0046186B"/>
    <w:rsid w:val="00463B78"/>
    <w:rsid w:val="00467036"/>
    <w:rsid w:val="0046783D"/>
    <w:rsid w:val="00473898"/>
    <w:rsid w:val="00474A5A"/>
    <w:rsid w:val="004769ED"/>
    <w:rsid w:val="004836D7"/>
    <w:rsid w:val="0048433C"/>
    <w:rsid w:val="004A12A0"/>
    <w:rsid w:val="004A4F12"/>
    <w:rsid w:val="004B07D8"/>
    <w:rsid w:val="004B14CB"/>
    <w:rsid w:val="004B1D92"/>
    <w:rsid w:val="004B3058"/>
    <w:rsid w:val="004B4109"/>
    <w:rsid w:val="004B61FB"/>
    <w:rsid w:val="004B75FE"/>
    <w:rsid w:val="004B7BD0"/>
    <w:rsid w:val="004C22E7"/>
    <w:rsid w:val="004D34C6"/>
    <w:rsid w:val="004D3A13"/>
    <w:rsid w:val="004E1996"/>
    <w:rsid w:val="005007D6"/>
    <w:rsid w:val="00501B54"/>
    <w:rsid w:val="00501BE8"/>
    <w:rsid w:val="005033AE"/>
    <w:rsid w:val="0050651E"/>
    <w:rsid w:val="0050787D"/>
    <w:rsid w:val="00516BC6"/>
    <w:rsid w:val="00525A82"/>
    <w:rsid w:val="00531151"/>
    <w:rsid w:val="00532390"/>
    <w:rsid w:val="00533047"/>
    <w:rsid w:val="00534B2F"/>
    <w:rsid w:val="00542210"/>
    <w:rsid w:val="00545F44"/>
    <w:rsid w:val="005500DC"/>
    <w:rsid w:val="00552BDC"/>
    <w:rsid w:val="0055789E"/>
    <w:rsid w:val="005657CC"/>
    <w:rsid w:val="0057149C"/>
    <w:rsid w:val="005715CF"/>
    <w:rsid w:val="00577E54"/>
    <w:rsid w:val="005829F1"/>
    <w:rsid w:val="00592169"/>
    <w:rsid w:val="005930BE"/>
    <w:rsid w:val="005A2A6F"/>
    <w:rsid w:val="005A7F01"/>
    <w:rsid w:val="005B39F7"/>
    <w:rsid w:val="005B517E"/>
    <w:rsid w:val="005C26B1"/>
    <w:rsid w:val="005C2CEF"/>
    <w:rsid w:val="005C5A96"/>
    <w:rsid w:val="005D1D55"/>
    <w:rsid w:val="005D22A7"/>
    <w:rsid w:val="005D26A7"/>
    <w:rsid w:val="005D2FE2"/>
    <w:rsid w:val="005D3794"/>
    <w:rsid w:val="005D581C"/>
    <w:rsid w:val="005F0B7B"/>
    <w:rsid w:val="005F51EE"/>
    <w:rsid w:val="006009D0"/>
    <w:rsid w:val="00603A06"/>
    <w:rsid w:val="00607000"/>
    <w:rsid w:val="00607004"/>
    <w:rsid w:val="00616BEE"/>
    <w:rsid w:val="0062249D"/>
    <w:rsid w:val="00626A12"/>
    <w:rsid w:val="0063222D"/>
    <w:rsid w:val="0063561C"/>
    <w:rsid w:val="00650011"/>
    <w:rsid w:val="006523E1"/>
    <w:rsid w:val="00652EF1"/>
    <w:rsid w:val="00652F93"/>
    <w:rsid w:val="00655F46"/>
    <w:rsid w:val="00655FA7"/>
    <w:rsid w:val="00657950"/>
    <w:rsid w:val="00663735"/>
    <w:rsid w:val="00664D76"/>
    <w:rsid w:val="00666181"/>
    <w:rsid w:val="006716E8"/>
    <w:rsid w:val="00672A70"/>
    <w:rsid w:val="00680F4F"/>
    <w:rsid w:val="00682ADE"/>
    <w:rsid w:val="00687EF7"/>
    <w:rsid w:val="006928DD"/>
    <w:rsid w:val="00692FAD"/>
    <w:rsid w:val="00696C0B"/>
    <w:rsid w:val="006A6C6E"/>
    <w:rsid w:val="006B2C71"/>
    <w:rsid w:val="006B6B99"/>
    <w:rsid w:val="006B721F"/>
    <w:rsid w:val="006C4D4A"/>
    <w:rsid w:val="006D22BA"/>
    <w:rsid w:val="006D481D"/>
    <w:rsid w:val="006D4B8F"/>
    <w:rsid w:val="006D4E59"/>
    <w:rsid w:val="006D6747"/>
    <w:rsid w:val="006E00B2"/>
    <w:rsid w:val="006E2AAA"/>
    <w:rsid w:val="006F0C12"/>
    <w:rsid w:val="006F235E"/>
    <w:rsid w:val="006F2D66"/>
    <w:rsid w:val="006F6DAA"/>
    <w:rsid w:val="00701985"/>
    <w:rsid w:val="00702452"/>
    <w:rsid w:val="0071181B"/>
    <w:rsid w:val="00717E0B"/>
    <w:rsid w:val="007211F8"/>
    <w:rsid w:val="007264BC"/>
    <w:rsid w:val="00736FB8"/>
    <w:rsid w:val="00763F37"/>
    <w:rsid w:val="00766413"/>
    <w:rsid w:val="007773BA"/>
    <w:rsid w:val="00783771"/>
    <w:rsid w:val="007873B7"/>
    <w:rsid w:val="00792D8F"/>
    <w:rsid w:val="00793C61"/>
    <w:rsid w:val="00795357"/>
    <w:rsid w:val="00795F4D"/>
    <w:rsid w:val="00797285"/>
    <w:rsid w:val="00797EC2"/>
    <w:rsid w:val="007A1E18"/>
    <w:rsid w:val="007A27F7"/>
    <w:rsid w:val="007A48C4"/>
    <w:rsid w:val="007A5E7F"/>
    <w:rsid w:val="007B2D8B"/>
    <w:rsid w:val="007B3BB6"/>
    <w:rsid w:val="007B5BC6"/>
    <w:rsid w:val="007B6F3D"/>
    <w:rsid w:val="007B734D"/>
    <w:rsid w:val="007C064D"/>
    <w:rsid w:val="007C0BC4"/>
    <w:rsid w:val="007C171D"/>
    <w:rsid w:val="007C5013"/>
    <w:rsid w:val="007D0BDA"/>
    <w:rsid w:val="007D1A42"/>
    <w:rsid w:val="007D3987"/>
    <w:rsid w:val="007E3D91"/>
    <w:rsid w:val="007E4B5C"/>
    <w:rsid w:val="007F472C"/>
    <w:rsid w:val="007F607D"/>
    <w:rsid w:val="008032EE"/>
    <w:rsid w:val="008102C7"/>
    <w:rsid w:val="0082000C"/>
    <w:rsid w:val="00822516"/>
    <w:rsid w:val="00823991"/>
    <w:rsid w:val="00827F3B"/>
    <w:rsid w:val="0083569E"/>
    <w:rsid w:val="00840B9A"/>
    <w:rsid w:val="008415D9"/>
    <w:rsid w:val="0084557C"/>
    <w:rsid w:val="00846950"/>
    <w:rsid w:val="00852A90"/>
    <w:rsid w:val="00856794"/>
    <w:rsid w:val="008673D1"/>
    <w:rsid w:val="008674D0"/>
    <w:rsid w:val="00874DDE"/>
    <w:rsid w:val="008823EE"/>
    <w:rsid w:val="00884DD7"/>
    <w:rsid w:val="008911AA"/>
    <w:rsid w:val="008956F5"/>
    <w:rsid w:val="008A11F0"/>
    <w:rsid w:val="008A62B7"/>
    <w:rsid w:val="008A7336"/>
    <w:rsid w:val="008A75CB"/>
    <w:rsid w:val="008B438F"/>
    <w:rsid w:val="008B5038"/>
    <w:rsid w:val="008C022F"/>
    <w:rsid w:val="008C15B7"/>
    <w:rsid w:val="008C66F9"/>
    <w:rsid w:val="008D0E19"/>
    <w:rsid w:val="008D35E8"/>
    <w:rsid w:val="008D4951"/>
    <w:rsid w:val="008E232B"/>
    <w:rsid w:val="008F0E64"/>
    <w:rsid w:val="008F292E"/>
    <w:rsid w:val="008F353F"/>
    <w:rsid w:val="00900FDF"/>
    <w:rsid w:val="00901AB8"/>
    <w:rsid w:val="0090292C"/>
    <w:rsid w:val="00904767"/>
    <w:rsid w:val="00914426"/>
    <w:rsid w:val="009228E0"/>
    <w:rsid w:val="00926A8E"/>
    <w:rsid w:val="00932722"/>
    <w:rsid w:val="009351D9"/>
    <w:rsid w:val="00940A4C"/>
    <w:rsid w:val="009420DD"/>
    <w:rsid w:val="00942730"/>
    <w:rsid w:val="00942A81"/>
    <w:rsid w:val="00942EFE"/>
    <w:rsid w:val="00953634"/>
    <w:rsid w:val="00957721"/>
    <w:rsid w:val="00957D74"/>
    <w:rsid w:val="0096116B"/>
    <w:rsid w:val="0096366A"/>
    <w:rsid w:val="00964028"/>
    <w:rsid w:val="00970B53"/>
    <w:rsid w:val="00972553"/>
    <w:rsid w:val="00976B0D"/>
    <w:rsid w:val="00980E4F"/>
    <w:rsid w:val="00982CE8"/>
    <w:rsid w:val="009874D4"/>
    <w:rsid w:val="009900DC"/>
    <w:rsid w:val="009917D6"/>
    <w:rsid w:val="009921B2"/>
    <w:rsid w:val="00992AE2"/>
    <w:rsid w:val="00995031"/>
    <w:rsid w:val="00995432"/>
    <w:rsid w:val="00996996"/>
    <w:rsid w:val="009A6DB1"/>
    <w:rsid w:val="009B30C1"/>
    <w:rsid w:val="009C1D69"/>
    <w:rsid w:val="009C6900"/>
    <w:rsid w:val="009E1A56"/>
    <w:rsid w:val="009E4C6C"/>
    <w:rsid w:val="009E5B28"/>
    <w:rsid w:val="009E746F"/>
    <w:rsid w:val="009F038A"/>
    <w:rsid w:val="009F10AE"/>
    <w:rsid w:val="009F5F3B"/>
    <w:rsid w:val="009F67FD"/>
    <w:rsid w:val="009F6E05"/>
    <w:rsid w:val="00A11B52"/>
    <w:rsid w:val="00A14145"/>
    <w:rsid w:val="00A1768B"/>
    <w:rsid w:val="00A21819"/>
    <w:rsid w:val="00A26C79"/>
    <w:rsid w:val="00A32F4A"/>
    <w:rsid w:val="00A418FB"/>
    <w:rsid w:val="00A450ED"/>
    <w:rsid w:val="00A51112"/>
    <w:rsid w:val="00A53726"/>
    <w:rsid w:val="00A5572D"/>
    <w:rsid w:val="00A56833"/>
    <w:rsid w:val="00A56EAB"/>
    <w:rsid w:val="00A57405"/>
    <w:rsid w:val="00A61E78"/>
    <w:rsid w:val="00A6620C"/>
    <w:rsid w:val="00A66C47"/>
    <w:rsid w:val="00A702EC"/>
    <w:rsid w:val="00A70B5D"/>
    <w:rsid w:val="00A7163A"/>
    <w:rsid w:val="00A754D5"/>
    <w:rsid w:val="00A8314E"/>
    <w:rsid w:val="00A87BA9"/>
    <w:rsid w:val="00AA0E3E"/>
    <w:rsid w:val="00AA4EBE"/>
    <w:rsid w:val="00AB60AA"/>
    <w:rsid w:val="00AC25E2"/>
    <w:rsid w:val="00AD2B4D"/>
    <w:rsid w:val="00AD2F8E"/>
    <w:rsid w:val="00AD322C"/>
    <w:rsid w:val="00AE25A7"/>
    <w:rsid w:val="00AE51B4"/>
    <w:rsid w:val="00AE75FE"/>
    <w:rsid w:val="00AF4F2F"/>
    <w:rsid w:val="00B11D58"/>
    <w:rsid w:val="00B12784"/>
    <w:rsid w:val="00B164D7"/>
    <w:rsid w:val="00B2748D"/>
    <w:rsid w:val="00B35048"/>
    <w:rsid w:val="00B51620"/>
    <w:rsid w:val="00B53654"/>
    <w:rsid w:val="00B56660"/>
    <w:rsid w:val="00B61ECA"/>
    <w:rsid w:val="00B641C7"/>
    <w:rsid w:val="00B70F4E"/>
    <w:rsid w:val="00B75CDB"/>
    <w:rsid w:val="00B76AB3"/>
    <w:rsid w:val="00B829A1"/>
    <w:rsid w:val="00B924AA"/>
    <w:rsid w:val="00B951E5"/>
    <w:rsid w:val="00B9549C"/>
    <w:rsid w:val="00BA3C9E"/>
    <w:rsid w:val="00BA6140"/>
    <w:rsid w:val="00BB136B"/>
    <w:rsid w:val="00BC19CE"/>
    <w:rsid w:val="00BD0DD5"/>
    <w:rsid w:val="00BD3038"/>
    <w:rsid w:val="00BD3C27"/>
    <w:rsid w:val="00BD5776"/>
    <w:rsid w:val="00BE2E65"/>
    <w:rsid w:val="00BF3701"/>
    <w:rsid w:val="00C0090E"/>
    <w:rsid w:val="00C0187D"/>
    <w:rsid w:val="00C14812"/>
    <w:rsid w:val="00C2356C"/>
    <w:rsid w:val="00C24143"/>
    <w:rsid w:val="00C305CA"/>
    <w:rsid w:val="00C3261D"/>
    <w:rsid w:val="00C34E6E"/>
    <w:rsid w:val="00C372D5"/>
    <w:rsid w:val="00C45631"/>
    <w:rsid w:val="00C47F22"/>
    <w:rsid w:val="00C503BC"/>
    <w:rsid w:val="00C51021"/>
    <w:rsid w:val="00C64225"/>
    <w:rsid w:val="00C6445E"/>
    <w:rsid w:val="00C646D3"/>
    <w:rsid w:val="00C65AD2"/>
    <w:rsid w:val="00C67F12"/>
    <w:rsid w:val="00C700F5"/>
    <w:rsid w:val="00C70816"/>
    <w:rsid w:val="00C713AE"/>
    <w:rsid w:val="00C71A52"/>
    <w:rsid w:val="00C7516D"/>
    <w:rsid w:val="00C7662A"/>
    <w:rsid w:val="00C774B6"/>
    <w:rsid w:val="00C833D3"/>
    <w:rsid w:val="00C83F31"/>
    <w:rsid w:val="00C86265"/>
    <w:rsid w:val="00C90F4B"/>
    <w:rsid w:val="00CA6927"/>
    <w:rsid w:val="00CB4C10"/>
    <w:rsid w:val="00CB50E2"/>
    <w:rsid w:val="00CB5FF5"/>
    <w:rsid w:val="00CB6DA5"/>
    <w:rsid w:val="00CB7E8F"/>
    <w:rsid w:val="00CC49DF"/>
    <w:rsid w:val="00CC5DEA"/>
    <w:rsid w:val="00CC5F5F"/>
    <w:rsid w:val="00CD0D7C"/>
    <w:rsid w:val="00CD46C3"/>
    <w:rsid w:val="00CD6D45"/>
    <w:rsid w:val="00CE1CB3"/>
    <w:rsid w:val="00CE7EB4"/>
    <w:rsid w:val="00CF5191"/>
    <w:rsid w:val="00D02872"/>
    <w:rsid w:val="00D03B66"/>
    <w:rsid w:val="00D04C3F"/>
    <w:rsid w:val="00D04DE9"/>
    <w:rsid w:val="00D075A3"/>
    <w:rsid w:val="00D132E0"/>
    <w:rsid w:val="00D1334E"/>
    <w:rsid w:val="00D169F5"/>
    <w:rsid w:val="00D1711F"/>
    <w:rsid w:val="00D17451"/>
    <w:rsid w:val="00D209D3"/>
    <w:rsid w:val="00D2100E"/>
    <w:rsid w:val="00D2222C"/>
    <w:rsid w:val="00D278D5"/>
    <w:rsid w:val="00D319C1"/>
    <w:rsid w:val="00D3227D"/>
    <w:rsid w:val="00D34948"/>
    <w:rsid w:val="00D40A68"/>
    <w:rsid w:val="00D42572"/>
    <w:rsid w:val="00D43955"/>
    <w:rsid w:val="00D4709E"/>
    <w:rsid w:val="00D5222B"/>
    <w:rsid w:val="00D5300E"/>
    <w:rsid w:val="00D619C2"/>
    <w:rsid w:val="00D64FC6"/>
    <w:rsid w:val="00D6524D"/>
    <w:rsid w:val="00D66934"/>
    <w:rsid w:val="00D74CA8"/>
    <w:rsid w:val="00D762DB"/>
    <w:rsid w:val="00D812C6"/>
    <w:rsid w:val="00D9153A"/>
    <w:rsid w:val="00D974B9"/>
    <w:rsid w:val="00DB0E8D"/>
    <w:rsid w:val="00DB10FE"/>
    <w:rsid w:val="00DC2EB9"/>
    <w:rsid w:val="00DC4B84"/>
    <w:rsid w:val="00DD058C"/>
    <w:rsid w:val="00DD7F03"/>
    <w:rsid w:val="00DE2577"/>
    <w:rsid w:val="00DF01F1"/>
    <w:rsid w:val="00DF3655"/>
    <w:rsid w:val="00E009BE"/>
    <w:rsid w:val="00E037E6"/>
    <w:rsid w:val="00E05FAD"/>
    <w:rsid w:val="00E23B16"/>
    <w:rsid w:val="00E27EFA"/>
    <w:rsid w:val="00E31CEB"/>
    <w:rsid w:val="00E354F2"/>
    <w:rsid w:val="00E377AE"/>
    <w:rsid w:val="00E41DE0"/>
    <w:rsid w:val="00E4602B"/>
    <w:rsid w:val="00E60CAD"/>
    <w:rsid w:val="00E64555"/>
    <w:rsid w:val="00E70F9B"/>
    <w:rsid w:val="00E7121E"/>
    <w:rsid w:val="00E9735B"/>
    <w:rsid w:val="00EA47D3"/>
    <w:rsid w:val="00EB3494"/>
    <w:rsid w:val="00EC0EA0"/>
    <w:rsid w:val="00EC1579"/>
    <w:rsid w:val="00EC4199"/>
    <w:rsid w:val="00EC7306"/>
    <w:rsid w:val="00ED05D5"/>
    <w:rsid w:val="00ED2540"/>
    <w:rsid w:val="00ED2B9A"/>
    <w:rsid w:val="00ED56FD"/>
    <w:rsid w:val="00EE07A9"/>
    <w:rsid w:val="00EE2656"/>
    <w:rsid w:val="00EE3FDC"/>
    <w:rsid w:val="00EE5BA4"/>
    <w:rsid w:val="00EE6174"/>
    <w:rsid w:val="00EF7D1E"/>
    <w:rsid w:val="00F050F4"/>
    <w:rsid w:val="00F05585"/>
    <w:rsid w:val="00F079C4"/>
    <w:rsid w:val="00F07DD7"/>
    <w:rsid w:val="00F128C1"/>
    <w:rsid w:val="00F1370D"/>
    <w:rsid w:val="00F143B2"/>
    <w:rsid w:val="00F15117"/>
    <w:rsid w:val="00F1549F"/>
    <w:rsid w:val="00F16B64"/>
    <w:rsid w:val="00F22FF3"/>
    <w:rsid w:val="00F30D52"/>
    <w:rsid w:val="00F32CB4"/>
    <w:rsid w:val="00F34BEA"/>
    <w:rsid w:val="00F50044"/>
    <w:rsid w:val="00F5194F"/>
    <w:rsid w:val="00F5302D"/>
    <w:rsid w:val="00F5418A"/>
    <w:rsid w:val="00F608EB"/>
    <w:rsid w:val="00F64095"/>
    <w:rsid w:val="00F6644E"/>
    <w:rsid w:val="00F70241"/>
    <w:rsid w:val="00F76194"/>
    <w:rsid w:val="00F76570"/>
    <w:rsid w:val="00F83357"/>
    <w:rsid w:val="00F91076"/>
    <w:rsid w:val="00F91AB2"/>
    <w:rsid w:val="00F9757B"/>
    <w:rsid w:val="00F97B84"/>
    <w:rsid w:val="00FA0A40"/>
    <w:rsid w:val="00FA2996"/>
    <w:rsid w:val="00FA6B56"/>
    <w:rsid w:val="00FB34CE"/>
    <w:rsid w:val="00FB372F"/>
    <w:rsid w:val="00FB66FB"/>
    <w:rsid w:val="00FB7E0C"/>
    <w:rsid w:val="00FC71C0"/>
    <w:rsid w:val="00FC7581"/>
    <w:rsid w:val="00FE1797"/>
    <w:rsid w:val="00FE39F8"/>
    <w:rsid w:val="00FE71CE"/>
    <w:rsid w:val="00FF26BD"/>
    <w:rsid w:val="00FF6F03"/>
    <w:rsid w:val="010D712F"/>
    <w:rsid w:val="01B0CBF3"/>
    <w:rsid w:val="01C6784C"/>
    <w:rsid w:val="01CC0CE6"/>
    <w:rsid w:val="01DA3729"/>
    <w:rsid w:val="021D09C4"/>
    <w:rsid w:val="0312B251"/>
    <w:rsid w:val="03E825C3"/>
    <w:rsid w:val="0401AAF0"/>
    <w:rsid w:val="0464F719"/>
    <w:rsid w:val="046A03D4"/>
    <w:rsid w:val="04D04816"/>
    <w:rsid w:val="04E844FD"/>
    <w:rsid w:val="05099B83"/>
    <w:rsid w:val="0643F3C9"/>
    <w:rsid w:val="06677C78"/>
    <w:rsid w:val="0680A322"/>
    <w:rsid w:val="06A068C1"/>
    <w:rsid w:val="0764E7DC"/>
    <w:rsid w:val="076DF392"/>
    <w:rsid w:val="07F061B4"/>
    <w:rsid w:val="08095632"/>
    <w:rsid w:val="08C453E5"/>
    <w:rsid w:val="093772A3"/>
    <w:rsid w:val="0959CD56"/>
    <w:rsid w:val="099D1872"/>
    <w:rsid w:val="09B10DE5"/>
    <w:rsid w:val="09EA64C1"/>
    <w:rsid w:val="09F6DD78"/>
    <w:rsid w:val="0A06CC9F"/>
    <w:rsid w:val="0A9FB4AA"/>
    <w:rsid w:val="0B65B7FD"/>
    <w:rsid w:val="0C54C989"/>
    <w:rsid w:val="0CFA24E9"/>
    <w:rsid w:val="0CFA6D00"/>
    <w:rsid w:val="0D60E366"/>
    <w:rsid w:val="0D82BF2C"/>
    <w:rsid w:val="0E557D86"/>
    <w:rsid w:val="0E71B7C8"/>
    <w:rsid w:val="0ECD2401"/>
    <w:rsid w:val="0ED63F7E"/>
    <w:rsid w:val="0F41619F"/>
    <w:rsid w:val="0F6FA198"/>
    <w:rsid w:val="1036D7FC"/>
    <w:rsid w:val="107F348C"/>
    <w:rsid w:val="10A769A4"/>
    <w:rsid w:val="10F4387E"/>
    <w:rsid w:val="112E9B18"/>
    <w:rsid w:val="11301900"/>
    <w:rsid w:val="115808D5"/>
    <w:rsid w:val="11C6396E"/>
    <w:rsid w:val="1201BCD1"/>
    <w:rsid w:val="1240A9CD"/>
    <w:rsid w:val="124F0F70"/>
    <w:rsid w:val="126F0041"/>
    <w:rsid w:val="1393AC5C"/>
    <w:rsid w:val="14743BE9"/>
    <w:rsid w:val="14F513BB"/>
    <w:rsid w:val="15AABAF7"/>
    <w:rsid w:val="162C0814"/>
    <w:rsid w:val="16C73116"/>
    <w:rsid w:val="16CEA068"/>
    <w:rsid w:val="17879B71"/>
    <w:rsid w:val="18F337D4"/>
    <w:rsid w:val="1901F53D"/>
    <w:rsid w:val="193D31B7"/>
    <w:rsid w:val="19D4E7A9"/>
    <w:rsid w:val="1A4BD7E0"/>
    <w:rsid w:val="1A5C880C"/>
    <w:rsid w:val="1A6D4E81"/>
    <w:rsid w:val="1A77060E"/>
    <w:rsid w:val="1ABB68D1"/>
    <w:rsid w:val="1BA89411"/>
    <w:rsid w:val="1C40E23D"/>
    <w:rsid w:val="1C8A22A4"/>
    <w:rsid w:val="1CBF37E7"/>
    <w:rsid w:val="1E2960A4"/>
    <w:rsid w:val="1E572D88"/>
    <w:rsid w:val="1EF158A7"/>
    <w:rsid w:val="1FC743AC"/>
    <w:rsid w:val="1FF06F97"/>
    <w:rsid w:val="21A42CCC"/>
    <w:rsid w:val="2204DAE0"/>
    <w:rsid w:val="22104150"/>
    <w:rsid w:val="22BC69C9"/>
    <w:rsid w:val="22BDA2B4"/>
    <w:rsid w:val="2300019F"/>
    <w:rsid w:val="232A63C1"/>
    <w:rsid w:val="23A87998"/>
    <w:rsid w:val="23B14AD6"/>
    <w:rsid w:val="23E8306D"/>
    <w:rsid w:val="24D39889"/>
    <w:rsid w:val="254A6E33"/>
    <w:rsid w:val="25D3A288"/>
    <w:rsid w:val="26766D67"/>
    <w:rsid w:val="2794C5BA"/>
    <w:rsid w:val="2798C23E"/>
    <w:rsid w:val="27F021E4"/>
    <w:rsid w:val="28108A99"/>
    <w:rsid w:val="2847F3A2"/>
    <w:rsid w:val="28E944E4"/>
    <w:rsid w:val="28FBA7BD"/>
    <w:rsid w:val="29093A6A"/>
    <w:rsid w:val="29385088"/>
    <w:rsid w:val="2941F2FF"/>
    <w:rsid w:val="2BD90701"/>
    <w:rsid w:val="2C0B896A"/>
    <w:rsid w:val="2C4DFB4E"/>
    <w:rsid w:val="2C59BA35"/>
    <w:rsid w:val="2CB0B49F"/>
    <w:rsid w:val="2CD84EC6"/>
    <w:rsid w:val="2CF550BB"/>
    <w:rsid w:val="2E02A118"/>
    <w:rsid w:val="2E4AAD02"/>
    <w:rsid w:val="2EC77B4A"/>
    <w:rsid w:val="2F874378"/>
    <w:rsid w:val="308B6222"/>
    <w:rsid w:val="3100E840"/>
    <w:rsid w:val="31153187"/>
    <w:rsid w:val="329A72D0"/>
    <w:rsid w:val="32E0C625"/>
    <w:rsid w:val="33D19A1A"/>
    <w:rsid w:val="34B691B5"/>
    <w:rsid w:val="352FD15B"/>
    <w:rsid w:val="3567EAE7"/>
    <w:rsid w:val="35B7B27C"/>
    <w:rsid w:val="36AB2AC6"/>
    <w:rsid w:val="37DFA1FE"/>
    <w:rsid w:val="37FE55FE"/>
    <w:rsid w:val="3850DE3B"/>
    <w:rsid w:val="38A0C304"/>
    <w:rsid w:val="38E23E65"/>
    <w:rsid w:val="39724B23"/>
    <w:rsid w:val="3A04FCE9"/>
    <w:rsid w:val="3A3868E3"/>
    <w:rsid w:val="3A91F340"/>
    <w:rsid w:val="3AEFD63B"/>
    <w:rsid w:val="3B45A821"/>
    <w:rsid w:val="3B6B1138"/>
    <w:rsid w:val="3B793793"/>
    <w:rsid w:val="3C2212CF"/>
    <w:rsid w:val="3D520062"/>
    <w:rsid w:val="3DE53D81"/>
    <w:rsid w:val="3E261C94"/>
    <w:rsid w:val="3E695C37"/>
    <w:rsid w:val="3EA49BD4"/>
    <w:rsid w:val="3EAE89B3"/>
    <w:rsid w:val="3FE3850D"/>
    <w:rsid w:val="40008F93"/>
    <w:rsid w:val="406867C5"/>
    <w:rsid w:val="414F6465"/>
    <w:rsid w:val="41786BA7"/>
    <w:rsid w:val="41C99763"/>
    <w:rsid w:val="4302C74B"/>
    <w:rsid w:val="4431E292"/>
    <w:rsid w:val="4485990B"/>
    <w:rsid w:val="44F9260D"/>
    <w:rsid w:val="451CE229"/>
    <w:rsid w:val="4544A108"/>
    <w:rsid w:val="456877E3"/>
    <w:rsid w:val="45A16FE9"/>
    <w:rsid w:val="4615CE70"/>
    <w:rsid w:val="4663DD72"/>
    <w:rsid w:val="46AB7CEA"/>
    <w:rsid w:val="48A90E6D"/>
    <w:rsid w:val="48DE2DA0"/>
    <w:rsid w:val="49191428"/>
    <w:rsid w:val="4973E6B1"/>
    <w:rsid w:val="4992BDAE"/>
    <w:rsid w:val="49F34514"/>
    <w:rsid w:val="4A06C346"/>
    <w:rsid w:val="4A3F58FD"/>
    <w:rsid w:val="4A4E7B02"/>
    <w:rsid w:val="4C2D29E6"/>
    <w:rsid w:val="4D0492D0"/>
    <w:rsid w:val="4D4BA03D"/>
    <w:rsid w:val="4D6B0C44"/>
    <w:rsid w:val="4ED9754F"/>
    <w:rsid w:val="4F055A03"/>
    <w:rsid w:val="5008834E"/>
    <w:rsid w:val="505D3774"/>
    <w:rsid w:val="513FF7B1"/>
    <w:rsid w:val="52214F9E"/>
    <w:rsid w:val="522B0E1B"/>
    <w:rsid w:val="523C9EF0"/>
    <w:rsid w:val="5261B68F"/>
    <w:rsid w:val="5292FB2B"/>
    <w:rsid w:val="53AF66CC"/>
    <w:rsid w:val="53EB388B"/>
    <w:rsid w:val="5431923D"/>
    <w:rsid w:val="547D4C3E"/>
    <w:rsid w:val="54A1CC5B"/>
    <w:rsid w:val="54AB00F8"/>
    <w:rsid w:val="55363BEA"/>
    <w:rsid w:val="5588529D"/>
    <w:rsid w:val="55FF7B10"/>
    <w:rsid w:val="56254BC9"/>
    <w:rsid w:val="565E0616"/>
    <w:rsid w:val="566C1F8E"/>
    <w:rsid w:val="573D50AF"/>
    <w:rsid w:val="57C431AA"/>
    <w:rsid w:val="57E650DC"/>
    <w:rsid w:val="583270FA"/>
    <w:rsid w:val="587F55E9"/>
    <w:rsid w:val="58A52817"/>
    <w:rsid w:val="58C04701"/>
    <w:rsid w:val="58DD2C83"/>
    <w:rsid w:val="5A21D906"/>
    <w:rsid w:val="5B14AA67"/>
    <w:rsid w:val="5BC3F443"/>
    <w:rsid w:val="5BD713D1"/>
    <w:rsid w:val="5BE229ED"/>
    <w:rsid w:val="5D288C7C"/>
    <w:rsid w:val="5DADB5F0"/>
    <w:rsid w:val="5E76B8A3"/>
    <w:rsid w:val="5E8617E5"/>
    <w:rsid w:val="5EC1DABF"/>
    <w:rsid w:val="5F15D51F"/>
    <w:rsid w:val="5F2B5D19"/>
    <w:rsid w:val="5F81C213"/>
    <w:rsid w:val="5FA1B8BF"/>
    <w:rsid w:val="5FAD36D9"/>
    <w:rsid w:val="5FBC3CF6"/>
    <w:rsid w:val="60158E76"/>
    <w:rsid w:val="62C45BA4"/>
    <w:rsid w:val="63052440"/>
    <w:rsid w:val="6330946B"/>
    <w:rsid w:val="63CFAC1B"/>
    <w:rsid w:val="64153DE7"/>
    <w:rsid w:val="643C7F69"/>
    <w:rsid w:val="6456AF28"/>
    <w:rsid w:val="645F530B"/>
    <w:rsid w:val="65CC84CC"/>
    <w:rsid w:val="65E66427"/>
    <w:rsid w:val="6604CF5F"/>
    <w:rsid w:val="661CF574"/>
    <w:rsid w:val="66A45D11"/>
    <w:rsid w:val="678876CC"/>
    <w:rsid w:val="68D20613"/>
    <w:rsid w:val="68F8E203"/>
    <w:rsid w:val="6A502326"/>
    <w:rsid w:val="6AAA9BFF"/>
    <w:rsid w:val="6AC0C0A3"/>
    <w:rsid w:val="6AD04341"/>
    <w:rsid w:val="6B699AF4"/>
    <w:rsid w:val="6C15C14A"/>
    <w:rsid w:val="6CCAD16D"/>
    <w:rsid w:val="6D2C0C8E"/>
    <w:rsid w:val="6D3FE5AF"/>
    <w:rsid w:val="6DCC3F98"/>
    <w:rsid w:val="6DE7D25D"/>
    <w:rsid w:val="6F5DEA58"/>
    <w:rsid w:val="6FFE9720"/>
    <w:rsid w:val="7050B785"/>
    <w:rsid w:val="7058D08E"/>
    <w:rsid w:val="7058F322"/>
    <w:rsid w:val="707968EC"/>
    <w:rsid w:val="70E8AA5E"/>
    <w:rsid w:val="70EE4B53"/>
    <w:rsid w:val="70EEE157"/>
    <w:rsid w:val="70F14C11"/>
    <w:rsid w:val="70F76CE5"/>
    <w:rsid w:val="70FE4FCD"/>
    <w:rsid w:val="715BABB6"/>
    <w:rsid w:val="7173EAE4"/>
    <w:rsid w:val="724022D8"/>
    <w:rsid w:val="7426405A"/>
    <w:rsid w:val="7486F62E"/>
    <w:rsid w:val="754B8C76"/>
    <w:rsid w:val="754F6714"/>
    <w:rsid w:val="756A2EE8"/>
    <w:rsid w:val="75AF5247"/>
    <w:rsid w:val="760F16DA"/>
    <w:rsid w:val="76E0110B"/>
    <w:rsid w:val="7707CF59"/>
    <w:rsid w:val="77982A7E"/>
    <w:rsid w:val="780A0CED"/>
    <w:rsid w:val="7887A1C3"/>
    <w:rsid w:val="79640210"/>
    <w:rsid w:val="7A361059"/>
    <w:rsid w:val="7A701814"/>
    <w:rsid w:val="7A7D23A2"/>
    <w:rsid w:val="7B8B3419"/>
    <w:rsid w:val="7BE582B0"/>
    <w:rsid w:val="7D38BE1E"/>
    <w:rsid w:val="7D5E3233"/>
    <w:rsid w:val="7D88A141"/>
    <w:rsid w:val="7DB68DFA"/>
    <w:rsid w:val="7DF84F41"/>
    <w:rsid w:val="7EE05732"/>
    <w:rsid w:val="7EEBFE80"/>
    <w:rsid w:val="7FA270AF"/>
    <w:rsid w:val="7FA4B7E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0874F8"/>
  <w15:chartTrackingRefBased/>
  <w15:docId w15:val="{BBC000C0-C61E-4402-80DC-B67AA2A5E6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9B30C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9B30C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9B30C1"/>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9B30C1"/>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9B30C1"/>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9B30C1"/>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9B30C1"/>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9B30C1"/>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9B30C1"/>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9B30C1"/>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9B30C1"/>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9B30C1"/>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9B30C1"/>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9B30C1"/>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9B30C1"/>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9B30C1"/>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9B30C1"/>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9B30C1"/>
    <w:rPr>
      <w:rFonts w:eastAsiaTheme="majorEastAsia" w:cstheme="majorBidi"/>
      <w:color w:val="272727" w:themeColor="text1" w:themeTint="D8"/>
    </w:rPr>
  </w:style>
  <w:style w:type="paragraph" w:styleId="Tytu">
    <w:name w:val="Title"/>
    <w:basedOn w:val="Normalny"/>
    <w:next w:val="Normalny"/>
    <w:link w:val="TytuZnak"/>
    <w:uiPriority w:val="10"/>
    <w:qFormat/>
    <w:rsid w:val="009B30C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9B30C1"/>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9B30C1"/>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9B30C1"/>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9B30C1"/>
    <w:pPr>
      <w:spacing w:before="160"/>
      <w:jc w:val="center"/>
    </w:pPr>
    <w:rPr>
      <w:i/>
      <w:iCs/>
      <w:color w:val="404040" w:themeColor="text1" w:themeTint="BF"/>
    </w:rPr>
  </w:style>
  <w:style w:type="character" w:customStyle="1" w:styleId="CytatZnak">
    <w:name w:val="Cytat Znak"/>
    <w:basedOn w:val="Domylnaczcionkaakapitu"/>
    <w:link w:val="Cytat"/>
    <w:uiPriority w:val="29"/>
    <w:rsid w:val="009B30C1"/>
    <w:rPr>
      <w:i/>
      <w:iCs/>
      <w:color w:val="404040" w:themeColor="text1" w:themeTint="BF"/>
    </w:rPr>
  </w:style>
  <w:style w:type="paragraph" w:styleId="Akapitzlist">
    <w:name w:val="List Paragraph"/>
    <w:basedOn w:val="Normalny"/>
    <w:uiPriority w:val="34"/>
    <w:qFormat/>
    <w:rsid w:val="009B30C1"/>
    <w:pPr>
      <w:ind w:left="720"/>
      <w:contextualSpacing/>
    </w:pPr>
  </w:style>
  <w:style w:type="character" w:styleId="Wyrnienieintensywne">
    <w:name w:val="Intense Emphasis"/>
    <w:basedOn w:val="Domylnaczcionkaakapitu"/>
    <w:uiPriority w:val="21"/>
    <w:qFormat/>
    <w:rsid w:val="009B30C1"/>
    <w:rPr>
      <w:i/>
      <w:iCs/>
      <w:color w:val="2F5496" w:themeColor="accent1" w:themeShade="BF"/>
    </w:rPr>
  </w:style>
  <w:style w:type="paragraph" w:styleId="Cytatintensywny">
    <w:name w:val="Intense Quote"/>
    <w:basedOn w:val="Normalny"/>
    <w:next w:val="Normalny"/>
    <w:link w:val="CytatintensywnyZnak"/>
    <w:uiPriority w:val="30"/>
    <w:qFormat/>
    <w:rsid w:val="009B30C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9B30C1"/>
    <w:rPr>
      <w:i/>
      <w:iCs/>
      <w:color w:val="2F5496" w:themeColor="accent1" w:themeShade="BF"/>
    </w:rPr>
  </w:style>
  <w:style w:type="character" w:styleId="Odwoanieintensywne">
    <w:name w:val="Intense Reference"/>
    <w:basedOn w:val="Domylnaczcionkaakapitu"/>
    <w:uiPriority w:val="32"/>
    <w:qFormat/>
    <w:rsid w:val="009B30C1"/>
    <w:rPr>
      <w:b/>
      <w:bCs/>
      <w:smallCaps/>
      <w:color w:val="2F5496" w:themeColor="accent1" w:themeShade="BF"/>
      <w:spacing w:val="5"/>
    </w:rPr>
  </w:style>
  <w:style w:type="table" w:styleId="Tabelasiatki1jasna">
    <w:name w:val="Grid Table 1 Light"/>
    <w:basedOn w:val="Standardowy"/>
    <w:uiPriority w:val="46"/>
    <w:rsid w:val="009B30C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Legenda">
    <w:name w:val="caption"/>
    <w:basedOn w:val="Normalny"/>
    <w:next w:val="Normalny"/>
    <w:uiPriority w:val="35"/>
    <w:unhideWhenUsed/>
    <w:qFormat/>
    <w:rsid w:val="00BC19CE"/>
    <w:pPr>
      <w:spacing w:after="200" w:line="240" w:lineRule="auto"/>
    </w:pPr>
    <w:rPr>
      <w:i/>
      <w:iCs/>
      <w:color w:val="44546A" w:themeColor="text2"/>
      <w:sz w:val="18"/>
      <w:szCs w:val="18"/>
    </w:rPr>
  </w:style>
  <w:style w:type="paragraph" w:styleId="Tekstprzypisudolnego">
    <w:name w:val="footnote text"/>
    <w:basedOn w:val="Normalny"/>
    <w:link w:val="TekstprzypisudolnegoZnak"/>
    <w:uiPriority w:val="99"/>
    <w:semiHidden/>
    <w:unhideWhenUsed/>
    <w:rsid w:val="002E2AE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2E2AE7"/>
    <w:rPr>
      <w:sz w:val="20"/>
      <w:szCs w:val="20"/>
    </w:rPr>
  </w:style>
  <w:style w:type="character" w:styleId="Odwoanieprzypisudolnego">
    <w:name w:val="footnote reference"/>
    <w:basedOn w:val="Domylnaczcionkaakapitu"/>
    <w:uiPriority w:val="99"/>
    <w:semiHidden/>
    <w:unhideWhenUsed/>
    <w:rsid w:val="002E2AE7"/>
    <w:rPr>
      <w:vertAlign w:val="superscript"/>
    </w:rPr>
  </w:style>
  <w:style w:type="paragraph" w:styleId="NormalnyWeb">
    <w:name w:val="Normal (Web)"/>
    <w:basedOn w:val="Normalny"/>
    <w:uiPriority w:val="99"/>
    <w:semiHidden/>
    <w:unhideWhenUsed/>
    <w:rsid w:val="006009D0"/>
    <w:rPr>
      <w:rFonts w:ascii="Times New Roman" w:hAnsi="Times New Roman" w:cs="Times New Roman"/>
      <w:sz w:val="24"/>
      <w:szCs w:val="24"/>
    </w:rPr>
  </w:style>
  <w:style w:type="paragraph" w:styleId="Spisilustracji">
    <w:name w:val="table of figures"/>
    <w:basedOn w:val="Normalny"/>
    <w:next w:val="Normalny"/>
    <w:uiPriority w:val="99"/>
    <w:unhideWhenUsed/>
    <w:rsid w:val="00C372D5"/>
    <w:pPr>
      <w:spacing w:after="0"/>
    </w:pPr>
  </w:style>
  <w:style w:type="character" w:styleId="Hipercze">
    <w:name w:val="Hyperlink"/>
    <w:basedOn w:val="Domylnaczcionkaakapitu"/>
    <w:uiPriority w:val="99"/>
    <w:unhideWhenUsed/>
    <w:rsid w:val="00C372D5"/>
    <w:rPr>
      <w:color w:val="0563C1" w:themeColor="hyperlink"/>
      <w:u w:val="single"/>
    </w:rPr>
  </w:style>
  <w:style w:type="paragraph" w:styleId="Nagwekspisutreci">
    <w:name w:val="TOC Heading"/>
    <w:basedOn w:val="Nagwek1"/>
    <w:next w:val="Normalny"/>
    <w:uiPriority w:val="39"/>
    <w:unhideWhenUsed/>
    <w:qFormat/>
    <w:rsid w:val="00BA6140"/>
    <w:pPr>
      <w:spacing w:before="240" w:after="0"/>
      <w:outlineLvl w:val="9"/>
    </w:pPr>
    <w:rPr>
      <w:kern w:val="0"/>
      <w:sz w:val="32"/>
      <w:szCs w:val="32"/>
      <w:lang w:eastAsia="pl-PL"/>
      <w14:ligatures w14:val="none"/>
    </w:rPr>
  </w:style>
  <w:style w:type="paragraph" w:styleId="Spistreci1">
    <w:name w:val="toc 1"/>
    <w:basedOn w:val="Normalny"/>
    <w:next w:val="Normalny"/>
    <w:autoRedefine/>
    <w:uiPriority w:val="39"/>
    <w:unhideWhenUsed/>
    <w:rsid w:val="00BA6140"/>
    <w:pPr>
      <w:spacing w:after="100"/>
    </w:pPr>
  </w:style>
  <w:style w:type="paragraph" w:styleId="Nagwek">
    <w:name w:val="header"/>
    <w:basedOn w:val="Normalny"/>
    <w:link w:val="NagwekZnak"/>
    <w:uiPriority w:val="99"/>
    <w:unhideWhenUsed/>
    <w:rsid w:val="0097255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72553"/>
  </w:style>
  <w:style w:type="paragraph" w:styleId="Stopka">
    <w:name w:val="footer"/>
    <w:basedOn w:val="Normalny"/>
    <w:link w:val="StopkaZnak"/>
    <w:uiPriority w:val="99"/>
    <w:unhideWhenUsed/>
    <w:rsid w:val="0097255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72553"/>
  </w:style>
  <w:style w:type="paragraph" w:styleId="Bezodstpw">
    <w:name w:val="No Spacing"/>
    <w:link w:val="BezodstpwZnak"/>
    <w:uiPriority w:val="1"/>
    <w:qFormat/>
    <w:rsid w:val="00F91AB2"/>
    <w:pPr>
      <w:spacing w:after="0" w:line="240" w:lineRule="auto"/>
    </w:pPr>
    <w:rPr>
      <w:rFonts w:eastAsiaTheme="minorEastAsia"/>
      <w:kern w:val="0"/>
      <w:lang w:eastAsia="pl-PL"/>
      <w14:ligatures w14:val="none"/>
    </w:rPr>
  </w:style>
  <w:style w:type="character" w:customStyle="1" w:styleId="BezodstpwZnak">
    <w:name w:val="Bez odstępów Znak"/>
    <w:basedOn w:val="Domylnaczcionkaakapitu"/>
    <w:link w:val="Bezodstpw"/>
    <w:uiPriority w:val="1"/>
    <w:rsid w:val="00F91AB2"/>
    <w:rPr>
      <w:rFonts w:eastAsiaTheme="minorEastAsia"/>
      <w:kern w:val="0"/>
      <w:lang w:eastAsia="pl-PL"/>
      <w14:ligatures w14:val="none"/>
    </w:rPr>
  </w:style>
  <w:style w:type="character" w:styleId="Odwoaniedokomentarza">
    <w:name w:val="annotation reference"/>
    <w:basedOn w:val="Domylnaczcionkaakapitu"/>
    <w:uiPriority w:val="99"/>
    <w:semiHidden/>
    <w:unhideWhenUsed/>
    <w:rsid w:val="007773BA"/>
    <w:rPr>
      <w:sz w:val="16"/>
      <w:szCs w:val="16"/>
    </w:rPr>
  </w:style>
  <w:style w:type="paragraph" w:styleId="Tekstkomentarza">
    <w:name w:val="annotation text"/>
    <w:basedOn w:val="Normalny"/>
    <w:link w:val="TekstkomentarzaZnak"/>
    <w:uiPriority w:val="99"/>
    <w:semiHidden/>
    <w:unhideWhenUsed/>
    <w:rsid w:val="007773BA"/>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7773BA"/>
    <w:rPr>
      <w:sz w:val="20"/>
      <w:szCs w:val="20"/>
    </w:rPr>
  </w:style>
  <w:style w:type="paragraph" w:styleId="Tematkomentarza">
    <w:name w:val="annotation subject"/>
    <w:basedOn w:val="Tekstkomentarza"/>
    <w:next w:val="Tekstkomentarza"/>
    <w:link w:val="TematkomentarzaZnak"/>
    <w:uiPriority w:val="99"/>
    <w:semiHidden/>
    <w:unhideWhenUsed/>
    <w:rsid w:val="007773BA"/>
    <w:rPr>
      <w:b/>
      <w:bCs/>
    </w:rPr>
  </w:style>
  <w:style w:type="character" w:customStyle="1" w:styleId="TematkomentarzaZnak">
    <w:name w:val="Temat komentarza Znak"/>
    <w:basedOn w:val="TekstkomentarzaZnak"/>
    <w:link w:val="Tematkomentarza"/>
    <w:uiPriority w:val="99"/>
    <w:semiHidden/>
    <w:rsid w:val="007773BA"/>
    <w:rPr>
      <w:b/>
      <w:bCs/>
      <w:sz w:val="20"/>
      <w:szCs w:val="20"/>
    </w:rPr>
  </w:style>
  <w:style w:type="paragraph" w:styleId="Poprawka">
    <w:name w:val="Revision"/>
    <w:hidden/>
    <w:uiPriority w:val="99"/>
    <w:semiHidden/>
    <w:rsid w:val="00F7024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chart" Target="charts/chart17.xml"/><Relationship Id="rId21" Type="http://schemas.openxmlformats.org/officeDocument/2006/relationships/chart" Target="charts/chart12.xml"/><Relationship Id="rId42" Type="http://schemas.openxmlformats.org/officeDocument/2006/relationships/chart" Target="charts/chart33.xml"/><Relationship Id="rId47" Type="http://schemas.openxmlformats.org/officeDocument/2006/relationships/chart" Target="charts/chart38.xml"/><Relationship Id="rId63" Type="http://schemas.openxmlformats.org/officeDocument/2006/relationships/chart" Target="charts/chart54.xml"/><Relationship Id="rId68" Type="http://schemas.openxmlformats.org/officeDocument/2006/relationships/chart" Target="charts/chart59.xml"/><Relationship Id="rId16" Type="http://schemas.openxmlformats.org/officeDocument/2006/relationships/chart" Target="charts/chart7.xml"/><Relationship Id="rId11" Type="http://schemas.openxmlformats.org/officeDocument/2006/relationships/chart" Target="charts/chart2.xml"/><Relationship Id="rId32" Type="http://schemas.openxmlformats.org/officeDocument/2006/relationships/chart" Target="charts/chart23.xml"/><Relationship Id="rId37" Type="http://schemas.openxmlformats.org/officeDocument/2006/relationships/chart" Target="charts/chart28.xml"/><Relationship Id="rId53" Type="http://schemas.openxmlformats.org/officeDocument/2006/relationships/chart" Target="charts/chart44.xml"/><Relationship Id="rId58" Type="http://schemas.openxmlformats.org/officeDocument/2006/relationships/chart" Target="charts/chart49.xml"/><Relationship Id="rId74" Type="http://schemas.openxmlformats.org/officeDocument/2006/relationships/chart" Target="charts/chart65.xml"/><Relationship Id="rId79" Type="http://schemas.openxmlformats.org/officeDocument/2006/relationships/header" Target="header1.xml"/><Relationship Id="rId5" Type="http://schemas.openxmlformats.org/officeDocument/2006/relationships/webSettings" Target="webSettings.xml"/><Relationship Id="rId61" Type="http://schemas.openxmlformats.org/officeDocument/2006/relationships/chart" Target="charts/chart52.xml"/><Relationship Id="rId19" Type="http://schemas.openxmlformats.org/officeDocument/2006/relationships/chart" Target="charts/chart10.xml"/><Relationship Id="rId14" Type="http://schemas.openxmlformats.org/officeDocument/2006/relationships/chart" Target="charts/chart5.xml"/><Relationship Id="rId22" Type="http://schemas.openxmlformats.org/officeDocument/2006/relationships/chart" Target="charts/chart13.xml"/><Relationship Id="rId27" Type="http://schemas.openxmlformats.org/officeDocument/2006/relationships/chart" Target="charts/chart18.xml"/><Relationship Id="rId30" Type="http://schemas.openxmlformats.org/officeDocument/2006/relationships/chart" Target="charts/chart21.xml"/><Relationship Id="rId35" Type="http://schemas.openxmlformats.org/officeDocument/2006/relationships/chart" Target="charts/chart26.xml"/><Relationship Id="rId43" Type="http://schemas.openxmlformats.org/officeDocument/2006/relationships/chart" Target="charts/chart34.xml"/><Relationship Id="rId48" Type="http://schemas.openxmlformats.org/officeDocument/2006/relationships/chart" Target="charts/chart39.xml"/><Relationship Id="rId56" Type="http://schemas.openxmlformats.org/officeDocument/2006/relationships/chart" Target="charts/chart47.xml"/><Relationship Id="rId64" Type="http://schemas.openxmlformats.org/officeDocument/2006/relationships/chart" Target="charts/chart55.xml"/><Relationship Id="rId69" Type="http://schemas.openxmlformats.org/officeDocument/2006/relationships/chart" Target="charts/chart60.xml"/><Relationship Id="rId77" Type="http://schemas.openxmlformats.org/officeDocument/2006/relationships/chart" Target="charts/chart68.xml"/><Relationship Id="rId8" Type="http://schemas.openxmlformats.org/officeDocument/2006/relationships/image" Target="media/image1.png"/><Relationship Id="rId51" Type="http://schemas.openxmlformats.org/officeDocument/2006/relationships/chart" Target="charts/chart42.xml"/><Relationship Id="rId72" Type="http://schemas.openxmlformats.org/officeDocument/2006/relationships/chart" Target="charts/chart63.xml"/><Relationship Id="rId80"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chart" Target="charts/chart3.xml"/><Relationship Id="rId17" Type="http://schemas.openxmlformats.org/officeDocument/2006/relationships/chart" Target="charts/chart8.xml"/><Relationship Id="rId25" Type="http://schemas.openxmlformats.org/officeDocument/2006/relationships/chart" Target="charts/chart16.xml"/><Relationship Id="rId33" Type="http://schemas.openxmlformats.org/officeDocument/2006/relationships/chart" Target="charts/chart24.xml"/><Relationship Id="rId38" Type="http://schemas.openxmlformats.org/officeDocument/2006/relationships/chart" Target="charts/chart29.xml"/><Relationship Id="rId46" Type="http://schemas.openxmlformats.org/officeDocument/2006/relationships/chart" Target="charts/chart37.xml"/><Relationship Id="rId59" Type="http://schemas.openxmlformats.org/officeDocument/2006/relationships/chart" Target="charts/chart50.xml"/><Relationship Id="rId67" Type="http://schemas.openxmlformats.org/officeDocument/2006/relationships/chart" Target="charts/chart58.xml"/><Relationship Id="rId20" Type="http://schemas.openxmlformats.org/officeDocument/2006/relationships/chart" Target="charts/chart11.xml"/><Relationship Id="rId41" Type="http://schemas.openxmlformats.org/officeDocument/2006/relationships/chart" Target="charts/chart32.xml"/><Relationship Id="rId54" Type="http://schemas.openxmlformats.org/officeDocument/2006/relationships/chart" Target="charts/chart45.xml"/><Relationship Id="rId62" Type="http://schemas.openxmlformats.org/officeDocument/2006/relationships/chart" Target="charts/chart53.xml"/><Relationship Id="rId70" Type="http://schemas.openxmlformats.org/officeDocument/2006/relationships/chart" Target="charts/chart61.xml"/><Relationship Id="rId75" Type="http://schemas.openxmlformats.org/officeDocument/2006/relationships/chart" Target="charts/chart66.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chart" Target="charts/chart6.xml"/><Relationship Id="rId23" Type="http://schemas.openxmlformats.org/officeDocument/2006/relationships/chart" Target="charts/chart14.xml"/><Relationship Id="rId28" Type="http://schemas.openxmlformats.org/officeDocument/2006/relationships/chart" Target="charts/chart19.xml"/><Relationship Id="rId36" Type="http://schemas.openxmlformats.org/officeDocument/2006/relationships/chart" Target="charts/chart27.xml"/><Relationship Id="rId49" Type="http://schemas.openxmlformats.org/officeDocument/2006/relationships/chart" Target="charts/chart40.xml"/><Relationship Id="rId57" Type="http://schemas.openxmlformats.org/officeDocument/2006/relationships/chart" Target="charts/chart48.xml"/><Relationship Id="rId10" Type="http://schemas.openxmlformats.org/officeDocument/2006/relationships/chart" Target="charts/chart1.xml"/><Relationship Id="rId31" Type="http://schemas.openxmlformats.org/officeDocument/2006/relationships/chart" Target="charts/chart22.xml"/><Relationship Id="rId44" Type="http://schemas.openxmlformats.org/officeDocument/2006/relationships/chart" Target="charts/chart35.xml"/><Relationship Id="rId52" Type="http://schemas.openxmlformats.org/officeDocument/2006/relationships/chart" Target="charts/chart43.xml"/><Relationship Id="rId60" Type="http://schemas.openxmlformats.org/officeDocument/2006/relationships/chart" Target="charts/chart51.xml"/><Relationship Id="rId65" Type="http://schemas.openxmlformats.org/officeDocument/2006/relationships/chart" Target="charts/chart56.xml"/><Relationship Id="rId73" Type="http://schemas.openxmlformats.org/officeDocument/2006/relationships/chart" Target="charts/chart64.xml"/><Relationship Id="rId78" Type="http://schemas.openxmlformats.org/officeDocument/2006/relationships/chart" Target="charts/chart69.xml"/><Relationship Id="rId8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chart" Target="charts/chart4.xml"/><Relationship Id="rId18" Type="http://schemas.openxmlformats.org/officeDocument/2006/relationships/chart" Target="charts/chart9.xml"/><Relationship Id="rId39" Type="http://schemas.openxmlformats.org/officeDocument/2006/relationships/chart" Target="charts/chart30.xml"/><Relationship Id="rId34" Type="http://schemas.openxmlformats.org/officeDocument/2006/relationships/chart" Target="charts/chart25.xml"/><Relationship Id="rId50" Type="http://schemas.openxmlformats.org/officeDocument/2006/relationships/chart" Target="charts/chart41.xml"/><Relationship Id="rId55" Type="http://schemas.openxmlformats.org/officeDocument/2006/relationships/chart" Target="charts/chart46.xml"/><Relationship Id="rId76" Type="http://schemas.openxmlformats.org/officeDocument/2006/relationships/chart" Target="charts/chart67.xml"/><Relationship Id="rId7" Type="http://schemas.openxmlformats.org/officeDocument/2006/relationships/endnotes" Target="endnotes.xml"/><Relationship Id="rId71" Type="http://schemas.openxmlformats.org/officeDocument/2006/relationships/chart" Target="charts/chart62.xml"/><Relationship Id="rId2" Type="http://schemas.openxmlformats.org/officeDocument/2006/relationships/numbering" Target="numbering.xml"/><Relationship Id="rId29" Type="http://schemas.openxmlformats.org/officeDocument/2006/relationships/chart" Target="charts/chart20.xml"/><Relationship Id="rId24" Type="http://schemas.openxmlformats.org/officeDocument/2006/relationships/chart" Target="charts/chart15.xml"/><Relationship Id="rId40" Type="http://schemas.openxmlformats.org/officeDocument/2006/relationships/chart" Target="charts/chart31.xml"/><Relationship Id="rId45" Type="http://schemas.openxmlformats.org/officeDocument/2006/relationships/chart" Target="charts/chart36.xml"/><Relationship Id="rId66" Type="http://schemas.openxmlformats.org/officeDocument/2006/relationships/chart" Target="charts/chart57.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9.xlsx"/><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package" Target="../embeddings/Microsoft_Excel_Worksheet10.xlsx"/><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package" Target="../embeddings/Microsoft_Excel_Worksheet11.xlsx"/><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package" Target="../embeddings/Microsoft_Excel_Worksheet12.xlsx"/><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package" Target="../embeddings/Microsoft_Excel_Worksheet13.xlsx"/><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package" Target="../embeddings/Microsoft_Excel_Worksheet14.xlsx"/><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package" Target="../embeddings/Microsoft_Excel_Worksheet15.xlsx"/><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package" Target="../embeddings/Microsoft_Excel_Worksheet16.xlsx"/><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package" Target="../embeddings/Microsoft_Excel_Worksheet17.xlsx"/><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package" Target="../embeddings/Microsoft_Excel_Worksheet18.xlsx"/><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package" Target="../embeddings/Microsoft_Excel_Worksheet19.xlsx"/><Relationship Id="rId2" Type="http://schemas.microsoft.com/office/2011/relationships/chartColorStyle" Target="colors20.xml"/><Relationship Id="rId1" Type="http://schemas.microsoft.com/office/2011/relationships/chartStyle" Target="style20.xml"/></Relationships>
</file>

<file path=word/charts/_rels/chart21.xml.rels><?xml version="1.0" encoding="UTF-8" standalone="yes"?>
<Relationships xmlns="http://schemas.openxmlformats.org/package/2006/relationships"><Relationship Id="rId3" Type="http://schemas.openxmlformats.org/officeDocument/2006/relationships/package" Target="../embeddings/Microsoft_Excel_Worksheet20.xlsx"/><Relationship Id="rId2" Type="http://schemas.microsoft.com/office/2011/relationships/chartColorStyle" Target="colors21.xml"/><Relationship Id="rId1" Type="http://schemas.microsoft.com/office/2011/relationships/chartStyle" Target="style21.xml"/></Relationships>
</file>

<file path=word/charts/_rels/chart22.xml.rels><?xml version="1.0" encoding="UTF-8" standalone="yes"?>
<Relationships xmlns="http://schemas.openxmlformats.org/package/2006/relationships"><Relationship Id="rId3" Type="http://schemas.openxmlformats.org/officeDocument/2006/relationships/package" Target="../embeddings/Microsoft_Excel_Worksheet21.xlsx"/><Relationship Id="rId2" Type="http://schemas.microsoft.com/office/2011/relationships/chartColorStyle" Target="colors22.xml"/><Relationship Id="rId1" Type="http://schemas.microsoft.com/office/2011/relationships/chartStyle" Target="style22.xml"/></Relationships>
</file>

<file path=word/charts/_rels/chart23.xml.rels><?xml version="1.0" encoding="UTF-8" standalone="yes"?>
<Relationships xmlns="http://schemas.openxmlformats.org/package/2006/relationships"><Relationship Id="rId3" Type="http://schemas.openxmlformats.org/officeDocument/2006/relationships/package" Target="../embeddings/Microsoft_Excel_Worksheet22.xlsx"/><Relationship Id="rId2" Type="http://schemas.microsoft.com/office/2011/relationships/chartColorStyle" Target="colors23.xml"/><Relationship Id="rId1" Type="http://schemas.microsoft.com/office/2011/relationships/chartStyle" Target="style23.xml"/></Relationships>
</file>

<file path=word/charts/_rels/chart24.xml.rels><?xml version="1.0" encoding="UTF-8" standalone="yes"?>
<Relationships xmlns="http://schemas.openxmlformats.org/package/2006/relationships"><Relationship Id="rId3" Type="http://schemas.openxmlformats.org/officeDocument/2006/relationships/package" Target="../embeddings/Microsoft_Excel_Worksheet23.xlsx"/><Relationship Id="rId2" Type="http://schemas.microsoft.com/office/2011/relationships/chartColorStyle" Target="colors24.xml"/><Relationship Id="rId1" Type="http://schemas.microsoft.com/office/2011/relationships/chartStyle" Target="style24.xml"/></Relationships>
</file>

<file path=word/charts/_rels/chart25.xml.rels><?xml version="1.0" encoding="UTF-8" standalone="yes"?>
<Relationships xmlns="http://schemas.openxmlformats.org/package/2006/relationships"><Relationship Id="rId3" Type="http://schemas.openxmlformats.org/officeDocument/2006/relationships/package" Target="../embeddings/Microsoft_Excel_Worksheet24.xlsx"/><Relationship Id="rId2" Type="http://schemas.microsoft.com/office/2011/relationships/chartColorStyle" Target="colors25.xml"/><Relationship Id="rId1" Type="http://schemas.microsoft.com/office/2011/relationships/chartStyle" Target="style25.xml"/></Relationships>
</file>

<file path=word/charts/_rels/chart26.xml.rels><?xml version="1.0" encoding="UTF-8" standalone="yes"?>
<Relationships xmlns="http://schemas.openxmlformats.org/package/2006/relationships"><Relationship Id="rId3" Type="http://schemas.openxmlformats.org/officeDocument/2006/relationships/package" Target="../embeddings/Microsoft_Excel_Worksheet25.xlsx"/><Relationship Id="rId2" Type="http://schemas.microsoft.com/office/2011/relationships/chartColorStyle" Target="colors26.xml"/><Relationship Id="rId1" Type="http://schemas.microsoft.com/office/2011/relationships/chartStyle" Target="style26.xml"/></Relationships>
</file>

<file path=word/charts/_rels/chart27.xml.rels><?xml version="1.0" encoding="UTF-8" standalone="yes"?>
<Relationships xmlns="http://schemas.openxmlformats.org/package/2006/relationships"><Relationship Id="rId3" Type="http://schemas.openxmlformats.org/officeDocument/2006/relationships/package" Target="../embeddings/Microsoft_Excel_Worksheet26.xlsx"/><Relationship Id="rId2" Type="http://schemas.microsoft.com/office/2011/relationships/chartColorStyle" Target="colors27.xml"/><Relationship Id="rId1" Type="http://schemas.microsoft.com/office/2011/relationships/chartStyle" Target="style27.xml"/></Relationships>
</file>

<file path=word/charts/_rels/chart28.xml.rels><?xml version="1.0" encoding="UTF-8" standalone="yes"?>
<Relationships xmlns="http://schemas.openxmlformats.org/package/2006/relationships"><Relationship Id="rId3" Type="http://schemas.openxmlformats.org/officeDocument/2006/relationships/package" Target="../embeddings/Microsoft_Excel_Worksheet27.xlsx"/><Relationship Id="rId2" Type="http://schemas.microsoft.com/office/2011/relationships/chartColorStyle" Target="colors28.xml"/><Relationship Id="rId1" Type="http://schemas.microsoft.com/office/2011/relationships/chartStyle" Target="style28.xml"/></Relationships>
</file>

<file path=word/charts/_rels/chart29.xml.rels><?xml version="1.0" encoding="UTF-8" standalone="yes"?>
<Relationships xmlns="http://schemas.openxmlformats.org/package/2006/relationships"><Relationship Id="rId3" Type="http://schemas.openxmlformats.org/officeDocument/2006/relationships/package" Target="../embeddings/Microsoft_Excel_Worksheet28.xlsx"/><Relationship Id="rId2" Type="http://schemas.microsoft.com/office/2011/relationships/chartColorStyle" Target="colors29.xml"/><Relationship Id="rId1" Type="http://schemas.microsoft.com/office/2011/relationships/chartStyle" Target="style29.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30.xml.rels><?xml version="1.0" encoding="UTF-8" standalone="yes"?>
<Relationships xmlns="http://schemas.openxmlformats.org/package/2006/relationships"><Relationship Id="rId3" Type="http://schemas.openxmlformats.org/officeDocument/2006/relationships/package" Target="../embeddings/Microsoft_Excel_Worksheet29.xlsx"/><Relationship Id="rId2" Type="http://schemas.microsoft.com/office/2011/relationships/chartColorStyle" Target="colors30.xml"/><Relationship Id="rId1" Type="http://schemas.microsoft.com/office/2011/relationships/chartStyle" Target="style30.xml"/></Relationships>
</file>

<file path=word/charts/_rels/chart31.xml.rels><?xml version="1.0" encoding="UTF-8" standalone="yes"?>
<Relationships xmlns="http://schemas.openxmlformats.org/package/2006/relationships"><Relationship Id="rId3" Type="http://schemas.openxmlformats.org/officeDocument/2006/relationships/package" Target="../embeddings/Microsoft_Excel_Worksheet30.xlsx"/><Relationship Id="rId2" Type="http://schemas.microsoft.com/office/2011/relationships/chartColorStyle" Target="colors31.xml"/><Relationship Id="rId1" Type="http://schemas.microsoft.com/office/2011/relationships/chartStyle" Target="style31.xml"/></Relationships>
</file>

<file path=word/charts/_rels/chart32.xml.rels><?xml version="1.0" encoding="UTF-8" standalone="yes"?>
<Relationships xmlns="http://schemas.openxmlformats.org/package/2006/relationships"><Relationship Id="rId3" Type="http://schemas.openxmlformats.org/officeDocument/2006/relationships/package" Target="../embeddings/Microsoft_Excel_Worksheet31.xlsx"/><Relationship Id="rId2" Type="http://schemas.microsoft.com/office/2011/relationships/chartColorStyle" Target="colors32.xml"/><Relationship Id="rId1" Type="http://schemas.microsoft.com/office/2011/relationships/chartStyle" Target="style32.xml"/></Relationships>
</file>

<file path=word/charts/_rels/chart33.xml.rels><?xml version="1.0" encoding="UTF-8" standalone="yes"?>
<Relationships xmlns="http://schemas.openxmlformats.org/package/2006/relationships"><Relationship Id="rId3" Type="http://schemas.openxmlformats.org/officeDocument/2006/relationships/package" Target="../embeddings/Microsoft_Excel_Worksheet32.xlsx"/><Relationship Id="rId2" Type="http://schemas.microsoft.com/office/2011/relationships/chartColorStyle" Target="colors33.xml"/><Relationship Id="rId1" Type="http://schemas.microsoft.com/office/2011/relationships/chartStyle" Target="style33.xml"/></Relationships>
</file>

<file path=word/charts/_rels/chart34.xml.rels><?xml version="1.0" encoding="UTF-8" standalone="yes"?>
<Relationships xmlns="http://schemas.openxmlformats.org/package/2006/relationships"><Relationship Id="rId3" Type="http://schemas.openxmlformats.org/officeDocument/2006/relationships/package" Target="../embeddings/Microsoft_Excel_Worksheet33.xlsx"/><Relationship Id="rId2" Type="http://schemas.microsoft.com/office/2011/relationships/chartColorStyle" Target="colors34.xml"/><Relationship Id="rId1" Type="http://schemas.microsoft.com/office/2011/relationships/chartStyle" Target="style34.xml"/></Relationships>
</file>

<file path=word/charts/_rels/chart35.xml.rels><?xml version="1.0" encoding="UTF-8" standalone="yes"?>
<Relationships xmlns="http://schemas.openxmlformats.org/package/2006/relationships"><Relationship Id="rId3" Type="http://schemas.openxmlformats.org/officeDocument/2006/relationships/package" Target="../embeddings/Microsoft_Excel_Worksheet34.xlsx"/><Relationship Id="rId2" Type="http://schemas.microsoft.com/office/2011/relationships/chartColorStyle" Target="colors35.xml"/><Relationship Id="rId1" Type="http://schemas.microsoft.com/office/2011/relationships/chartStyle" Target="style35.xml"/></Relationships>
</file>

<file path=word/charts/_rels/chart36.xml.rels><?xml version="1.0" encoding="UTF-8" standalone="yes"?>
<Relationships xmlns="http://schemas.openxmlformats.org/package/2006/relationships"><Relationship Id="rId3" Type="http://schemas.openxmlformats.org/officeDocument/2006/relationships/package" Target="../embeddings/Microsoft_Excel_Worksheet35.xlsx"/><Relationship Id="rId2" Type="http://schemas.microsoft.com/office/2011/relationships/chartColorStyle" Target="colors36.xml"/><Relationship Id="rId1" Type="http://schemas.microsoft.com/office/2011/relationships/chartStyle" Target="style36.xml"/></Relationships>
</file>

<file path=word/charts/_rels/chart37.xml.rels><?xml version="1.0" encoding="UTF-8" standalone="yes"?>
<Relationships xmlns="http://schemas.openxmlformats.org/package/2006/relationships"><Relationship Id="rId3" Type="http://schemas.openxmlformats.org/officeDocument/2006/relationships/package" Target="../embeddings/Microsoft_Excel_Worksheet36.xlsx"/><Relationship Id="rId2" Type="http://schemas.microsoft.com/office/2011/relationships/chartColorStyle" Target="colors37.xml"/><Relationship Id="rId1" Type="http://schemas.microsoft.com/office/2011/relationships/chartStyle" Target="style37.xml"/></Relationships>
</file>

<file path=word/charts/_rels/chart38.xml.rels><?xml version="1.0" encoding="UTF-8" standalone="yes"?>
<Relationships xmlns="http://schemas.openxmlformats.org/package/2006/relationships"><Relationship Id="rId3" Type="http://schemas.openxmlformats.org/officeDocument/2006/relationships/package" Target="../embeddings/Microsoft_Excel_Worksheet37.xlsx"/><Relationship Id="rId2" Type="http://schemas.microsoft.com/office/2011/relationships/chartColorStyle" Target="colors38.xml"/><Relationship Id="rId1" Type="http://schemas.microsoft.com/office/2011/relationships/chartStyle" Target="style38.xml"/></Relationships>
</file>

<file path=word/charts/_rels/chart39.xml.rels><?xml version="1.0" encoding="UTF-8" standalone="yes"?>
<Relationships xmlns="http://schemas.openxmlformats.org/package/2006/relationships"><Relationship Id="rId3" Type="http://schemas.openxmlformats.org/officeDocument/2006/relationships/package" Target="../embeddings/Microsoft_Excel_Worksheet38.xlsx"/><Relationship Id="rId2" Type="http://schemas.microsoft.com/office/2011/relationships/chartColorStyle" Target="colors39.xml"/><Relationship Id="rId1" Type="http://schemas.microsoft.com/office/2011/relationships/chartStyle" Target="style39.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40.xml.rels><?xml version="1.0" encoding="UTF-8" standalone="yes"?>
<Relationships xmlns="http://schemas.openxmlformats.org/package/2006/relationships"><Relationship Id="rId3" Type="http://schemas.openxmlformats.org/officeDocument/2006/relationships/package" Target="../embeddings/Microsoft_Excel_Worksheet39.xlsx"/><Relationship Id="rId2" Type="http://schemas.microsoft.com/office/2011/relationships/chartColorStyle" Target="colors40.xml"/><Relationship Id="rId1" Type="http://schemas.microsoft.com/office/2011/relationships/chartStyle" Target="style40.xml"/></Relationships>
</file>

<file path=word/charts/_rels/chart41.xml.rels><?xml version="1.0" encoding="UTF-8" standalone="yes"?>
<Relationships xmlns="http://schemas.openxmlformats.org/package/2006/relationships"><Relationship Id="rId3" Type="http://schemas.openxmlformats.org/officeDocument/2006/relationships/package" Target="../embeddings/Microsoft_Excel_Worksheet40.xlsx"/><Relationship Id="rId2" Type="http://schemas.microsoft.com/office/2011/relationships/chartColorStyle" Target="colors41.xml"/><Relationship Id="rId1" Type="http://schemas.microsoft.com/office/2011/relationships/chartStyle" Target="style41.xml"/></Relationships>
</file>

<file path=word/charts/_rels/chart42.xml.rels><?xml version="1.0" encoding="UTF-8" standalone="yes"?>
<Relationships xmlns="http://schemas.openxmlformats.org/package/2006/relationships"><Relationship Id="rId3" Type="http://schemas.openxmlformats.org/officeDocument/2006/relationships/package" Target="../embeddings/Microsoft_Excel_Worksheet41.xlsx"/><Relationship Id="rId2" Type="http://schemas.microsoft.com/office/2011/relationships/chartColorStyle" Target="colors42.xml"/><Relationship Id="rId1" Type="http://schemas.microsoft.com/office/2011/relationships/chartStyle" Target="style42.xml"/></Relationships>
</file>

<file path=word/charts/_rels/chart43.xml.rels><?xml version="1.0" encoding="UTF-8" standalone="yes"?>
<Relationships xmlns="http://schemas.openxmlformats.org/package/2006/relationships"><Relationship Id="rId3" Type="http://schemas.openxmlformats.org/officeDocument/2006/relationships/package" Target="../embeddings/Microsoft_Excel_Worksheet42.xlsx"/><Relationship Id="rId2" Type="http://schemas.microsoft.com/office/2011/relationships/chartColorStyle" Target="colors43.xml"/><Relationship Id="rId1" Type="http://schemas.microsoft.com/office/2011/relationships/chartStyle" Target="style43.xml"/></Relationships>
</file>

<file path=word/charts/_rels/chart44.xml.rels><?xml version="1.0" encoding="UTF-8" standalone="yes"?>
<Relationships xmlns="http://schemas.openxmlformats.org/package/2006/relationships"><Relationship Id="rId3" Type="http://schemas.openxmlformats.org/officeDocument/2006/relationships/package" Target="../embeddings/Microsoft_Excel_Worksheet43.xlsx"/><Relationship Id="rId2" Type="http://schemas.microsoft.com/office/2011/relationships/chartColorStyle" Target="colors44.xml"/><Relationship Id="rId1" Type="http://schemas.microsoft.com/office/2011/relationships/chartStyle" Target="style44.xml"/></Relationships>
</file>

<file path=word/charts/_rels/chart45.xml.rels><?xml version="1.0" encoding="UTF-8" standalone="yes"?>
<Relationships xmlns="http://schemas.openxmlformats.org/package/2006/relationships"><Relationship Id="rId3" Type="http://schemas.openxmlformats.org/officeDocument/2006/relationships/package" Target="../embeddings/Microsoft_Excel_Worksheet44.xlsx"/><Relationship Id="rId2" Type="http://schemas.microsoft.com/office/2011/relationships/chartColorStyle" Target="colors45.xml"/><Relationship Id="rId1" Type="http://schemas.microsoft.com/office/2011/relationships/chartStyle" Target="style45.xml"/></Relationships>
</file>

<file path=word/charts/_rels/chart46.xml.rels><?xml version="1.0" encoding="UTF-8" standalone="yes"?>
<Relationships xmlns="http://schemas.openxmlformats.org/package/2006/relationships"><Relationship Id="rId3" Type="http://schemas.openxmlformats.org/officeDocument/2006/relationships/package" Target="../embeddings/Microsoft_Excel_Worksheet45.xlsx"/><Relationship Id="rId2" Type="http://schemas.microsoft.com/office/2011/relationships/chartColorStyle" Target="colors46.xml"/><Relationship Id="rId1" Type="http://schemas.microsoft.com/office/2011/relationships/chartStyle" Target="style46.xml"/></Relationships>
</file>

<file path=word/charts/_rels/chart47.xml.rels><?xml version="1.0" encoding="UTF-8" standalone="yes"?>
<Relationships xmlns="http://schemas.openxmlformats.org/package/2006/relationships"><Relationship Id="rId3" Type="http://schemas.openxmlformats.org/officeDocument/2006/relationships/package" Target="../embeddings/Microsoft_Excel_Worksheet46.xlsx"/><Relationship Id="rId2" Type="http://schemas.microsoft.com/office/2011/relationships/chartColorStyle" Target="colors47.xml"/><Relationship Id="rId1" Type="http://schemas.microsoft.com/office/2011/relationships/chartStyle" Target="style47.xml"/></Relationships>
</file>

<file path=word/charts/_rels/chart48.xml.rels><?xml version="1.0" encoding="UTF-8" standalone="yes"?>
<Relationships xmlns="http://schemas.openxmlformats.org/package/2006/relationships"><Relationship Id="rId3" Type="http://schemas.openxmlformats.org/officeDocument/2006/relationships/package" Target="../embeddings/Microsoft_Excel_Worksheet47.xlsx"/><Relationship Id="rId2" Type="http://schemas.microsoft.com/office/2011/relationships/chartColorStyle" Target="colors48.xml"/><Relationship Id="rId1" Type="http://schemas.microsoft.com/office/2011/relationships/chartStyle" Target="style48.xml"/></Relationships>
</file>

<file path=word/charts/_rels/chart49.xml.rels><?xml version="1.0" encoding="UTF-8" standalone="yes"?>
<Relationships xmlns="http://schemas.openxmlformats.org/package/2006/relationships"><Relationship Id="rId3" Type="http://schemas.openxmlformats.org/officeDocument/2006/relationships/package" Target="../embeddings/Microsoft_Excel_Worksheet48.xlsx"/><Relationship Id="rId2" Type="http://schemas.microsoft.com/office/2011/relationships/chartColorStyle" Target="colors49.xml"/><Relationship Id="rId1" Type="http://schemas.microsoft.com/office/2011/relationships/chartStyle" Target="style49.xml"/><Relationship Id="rId4" Type="http://schemas.openxmlformats.org/officeDocument/2006/relationships/chartUserShapes" Target="../drawings/drawing1.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50.xml.rels><?xml version="1.0" encoding="UTF-8" standalone="yes"?>
<Relationships xmlns="http://schemas.openxmlformats.org/package/2006/relationships"><Relationship Id="rId3" Type="http://schemas.openxmlformats.org/officeDocument/2006/relationships/package" Target="../embeddings/Microsoft_Excel_Worksheet49.xlsx"/><Relationship Id="rId2" Type="http://schemas.microsoft.com/office/2011/relationships/chartColorStyle" Target="colors50.xml"/><Relationship Id="rId1" Type="http://schemas.microsoft.com/office/2011/relationships/chartStyle" Target="style50.xml"/></Relationships>
</file>

<file path=word/charts/_rels/chart51.xml.rels><?xml version="1.0" encoding="UTF-8" standalone="yes"?>
<Relationships xmlns="http://schemas.openxmlformats.org/package/2006/relationships"><Relationship Id="rId3" Type="http://schemas.openxmlformats.org/officeDocument/2006/relationships/package" Target="../embeddings/Microsoft_Excel_Worksheet50.xlsx"/><Relationship Id="rId2" Type="http://schemas.microsoft.com/office/2011/relationships/chartColorStyle" Target="colors51.xml"/><Relationship Id="rId1" Type="http://schemas.microsoft.com/office/2011/relationships/chartStyle" Target="style51.xml"/></Relationships>
</file>

<file path=word/charts/_rels/chart52.xml.rels><?xml version="1.0" encoding="UTF-8" standalone="yes"?>
<Relationships xmlns="http://schemas.openxmlformats.org/package/2006/relationships"><Relationship Id="rId3" Type="http://schemas.openxmlformats.org/officeDocument/2006/relationships/package" Target="../embeddings/Microsoft_Excel_Worksheet51.xlsx"/><Relationship Id="rId2" Type="http://schemas.microsoft.com/office/2011/relationships/chartColorStyle" Target="colors52.xml"/><Relationship Id="rId1" Type="http://schemas.microsoft.com/office/2011/relationships/chartStyle" Target="style52.xml"/></Relationships>
</file>

<file path=word/charts/_rels/chart53.xml.rels><?xml version="1.0" encoding="UTF-8" standalone="yes"?>
<Relationships xmlns="http://schemas.openxmlformats.org/package/2006/relationships"><Relationship Id="rId3" Type="http://schemas.openxmlformats.org/officeDocument/2006/relationships/package" Target="../embeddings/Microsoft_Excel_Worksheet52.xlsx"/><Relationship Id="rId2" Type="http://schemas.microsoft.com/office/2011/relationships/chartColorStyle" Target="colors53.xml"/><Relationship Id="rId1" Type="http://schemas.microsoft.com/office/2011/relationships/chartStyle" Target="style53.xml"/></Relationships>
</file>

<file path=word/charts/_rels/chart54.xml.rels><?xml version="1.0" encoding="UTF-8" standalone="yes"?>
<Relationships xmlns="http://schemas.openxmlformats.org/package/2006/relationships"><Relationship Id="rId3" Type="http://schemas.openxmlformats.org/officeDocument/2006/relationships/package" Target="../embeddings/Microsoft_Excel_Worksheet53.xlsx"/><Relationship Id="rId2" Type="http://schemas.microsoft.com/office/2011/relationships/chartColorStyle" Target="colors54.xml"/><Relationship Id="rId1" Type="http://schemas.microsoft.com/office/2011/relationships/chartStyle" Target="style54.xml"/></Relationships>
</file>

<file path=word/charts/_rels/chart55.xml.rels><?xml version="1.0" encoding="UTF-8" standalone="yes"?>
<Relationships xmlns="http://schemas.openxmlformats.org/package/2006/relationships"><Relationship Id="rId3" Type="http://schemas.openxmlformats.org/officeDocument/2006/relationships/package" Target="../embeddings/Microsoft_Excel_Worksheet54.xlsx"/><Relationship Id="rId2" Type="http://schemas.microsoft.com/office/2011/relationships/chartColorStyle" Target="colors55.xml"/><Relationship Id="rId1" Type="http://schemas.microsoft.com/office/2011/relationships/chartStyle" Target="style55.xml"/></Relationships>
</file>

<file path=word/charts/_rels/chart56.xml.rels><?xml version="1.0" encoding="UTF-8" standalone="yes"?>
<Relationships xmlns="http://schemas.openxmlformats.org/package/2006/relationships"><Relationship Id="rId3" Type="http://schemas.openxmlformats.org/officeDocument/2006/relationships/package" Target="../embeddings/Microsoft_Excel_Worksheet55.xlsx"/><Relationship Id="rId2" Type="http://schemas.microsoft.com/office/2011/relationships/chartColorStyle" Target="colors56.xml"/><Relationship Id="rId1" Type="http://schemas.microsoft.com/office/2011/relationships/chartStyle" Target="style56.xml"/></Relationships>
</file>

<file path=word/charts/_rels/chart57.xml.rels><?xml version="1.0" encoding="UTF-8" standalone="yes"?>
<Relationships xmlns="http://schemas.openxmlformats.org/package/2006/relationships"><Relationship Id="rId3" Type="http://schemas.openxmlformats.org/officeDocument/2006/relationships/package" Target="../embeddings/Microsoft_Excel_Worksheet56.xlsx"/><Relationship Id="rId2" Type="http://schemas.microsoft.com/office/2011/relationships/chartColorStyle" Target="colors57.xml"/><Relationship Id="rId1" Type="http://schemas.microsoft.com/office/2011/relationships/chartStyle" Target="style57.xml"/></Relationships>
</file>

<file path=word/charts/_rels/chart58.xml.rels><?xml version="1.0" encoding="UTF-8" standalone="yes"?>
<Relationships xmlns="http://schemas.openxmlformats.org/package/2006/relationships"><Relationship Id="rId3" Type="http://schemas.openxmlformats.org/officeDocument/2006/relationships/package" Target="../embeddings/Microsoft_Excel_Worksheet57.xlsx"/><Relationship Id="rId2" Type="http://schemas.microsoft.com/office/2011/relationships/chartColorStyle" Target="colors58.xml"/><Relationship Id="rId1" Type="http://schemas.microsoft.com/office/2011/relationships/chartStyle" Target="style58.xml"/></Relationships>
</file>

<file path=word/charts/_rels/chart59.xml.rels><?xml version="1.0" encoding="UTF-8" standalone="yes"?>
<Relationships xmlns="http://schemas.openxmlformats.org/package/2006/relationships"><Relationship Id="rId3" Type="http://schemas.openxmlformats.org/officeDocument/2006/relationships/package" Target="../embeddings/Microsoft_Excel_Worksheet58.xlsx"/><Relationship Id="rId2" Type="http://schemas.microsoft.com/office/2011/relationships/chartColorStyle" Target="colors59.xml"/><Relationship Id="rId1" Type="http://schemas.microsoft.com/office/2011/relationships/chartStyle" Target="style59.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_rels/chart60.xml.rels><?xml version="1.0" encoding="UTF-8" standalone="yes"?>
<Relationships xmlns="http://schemas.openxmlformats.org/package/2006/relationships"><Relationship Id="rId3" Type="http://schemas.openxmlformats.org/officeDocument/2006/relationships/package" Target="../embeddings/Microsoft_Excel_Worksheet59.xlsx"/><Relationship Id="rId2" Type="http://schemas.microsoft.com/office/2011/relationships/chartColorStyle" Target="colors60.xml"/><Relationship Id="rId1" Type="http://schemas.microsoft.com/office/2011/relationships/chartStyle" Target="style60.xml"/></Relationships>
</file>

<file path=word/charts/_rels/chart61.xml.rels><?xml version="1.0" encoding="UTF-8" standalone="yes"?>
<Relationships xmlns="http://schemas.openxmlformats.org/package/2006/relationships"><Relationship Id="rId3" Type="http://schemas.openxmlformats.org/officeDocument/2006/relationships/package" Target="../embeddings/Microsoft_Excel_Worksheet60.xlsx"/><Relationship Id="rId2" Type="http://schemas.microsoft.com/office/2011/relationships/chartColorStyle" Target="colors61.xml"/><Relationship Id="rId1" Type="http://schemas.microsoft.com/office/2011/relationships/chartStyle" Target="style61.xml"/></Relationships>
</file>

<file path=word/charts/_rels/chart62.xml.rels><?xml version="1.0" encoding="UTF-8" standalone="yes"?>
<Relationships xmlns="http://schemas.openxmlformats.org/package/2006/relationships"><Relationship Id="rId3" Type="http://schemas.openxmlformats.org/officeDocument/2006/relationships/package" Target="../embeddings/Microsoft_Excel_Worksheet61.xlsx"/><Relationship Id="rId2" Type="http://schemas.microsoft.com/office/2011/relationships/chartColorStyle" Target="colors62.xml"/><Relationship Id="rId1" Type="http://schemas.microsoft.com/office/2011/relationships/chartStyle" Target="style62.xml"/></Relationships>
</file>

<file path=word/charts/_rels/chart63.xml.rels><?xml version="1.0" encoding="UTF-8" standalone="yes"?>
<Relationships xmlns="http://schemas.openxmlformats.org/package/2006/relationships"><Relationship Id="rId3" Type="http://schemas.openxmlformats.org/officeDocument/2006/relationships/package" Target="../embeddings/Microsoft_Excel_Worksheet62.xlsx"/><Relationship Id="rId2" Type="http://schemas.microsoft.com/office/2011/relationships/chartColorStyle" Target="colors63.xml"/><Relationship Id="rId1" Type="http://schemas.microsoft.com/office/2011/relationships/chartStyle" Target="style63.xml"/></Relationships>
</file>

<file path=word/charts/_rels/chart64.xml.rels><?xml version="1.0" encoding="UTF-8" standalone="yes"?>
<Relationships xmlns="http://schemas.openxmlformats.org/package/2006/relationships"><Relationship Id="rId3" Type="http://schemas.openxmlformats.org/officeDocument/2006/relationships/package" Target="../embeddings/Microsoft_Excel_Worksheet63.xlsx"/><Relationship Id="rId2" Type="http://schemas.microsoft.com/office/2011/relationships/chartColorStyle" Target="colors64.xml"/><Relationship Id="rId1" Type="http://schemas.microsoft.com/office/2011/relationships/chartStyle" Target="style64.xml"/></Relationships>
</file>

<file path=word/charts/_rels/chart65.xml.rels><?xml version="1.0" encoding="UTF-8" standalone="yes"?>
<Relationships xmlns="http://schemas.openxmlformats.org/package/2006/relationships"><Relationship Id="rId3" Type="http://schemas.openxmlformats.org/officeDocument/2006/relationships/package" Target="../embeddings/Microsoft_Excel_Worksheet64.xlsx"/><Relationship Id="rId2" Type="http://schemas.microsoft.com/office/2011/relationships/chartColorStyle" Target="colors65.xml"/><Relationship Id="rId1" Type="http://schemas.microsoft.com/office/2011/relationships/chartStyle" Target="style65.xml"/></Relationships>
</file>

<file path=word/charts/_rels/chart66.xml.rels><?xml version="1.0" encoding="UTF-8" standalone="yes"?>
<Relationships xmlns="http://schemas.openxmlformats.org/package/2006/relationships"><Relationship Id="rId3" Type="http://schemas.openxmlformats.org/officeDocument/2006/relationships/package" Target="../embeddings/Microsoft_Excel_Worksheet65.xlsx"/><Relationship Id="rId2" Type="http://schemas.microsoft.com/office/2011/relationships/chartColorStyle" Target="colors66.xml"/><Relationship Id="rId1" Type="http://schemas.microsoft.com/office/2011/relationships/chartStyle" Target="style66.xml"/></Relationships>
</file>

<file path=word/charts/_rels/chart67.xml.rels><?xml version="1.0" encoding="UTF-8" standalone="yes"?>
<Relationships xmlns="http://schemas.openxmlformats.org/package/2006/relationships"><Relationship Id="rId3" Type="http://schemas.openxmlformats.org/officeDocument/2006/relationships/package" Target="../embeddings/Microsoft_Excel_Worksheet66.xlsx"/><Relationship Id="rId2" Type="http://schemas.microsoft.com/office/2011/relationships/chartColorStyle" Target="colors67.xml"/><Relationship Id="rId1" Type="http://schemas.microsoft.com/office/2011/relationships/chartStyle" Target="style67.xml"/></Relationships>
</file>

<file path=word/charts/_rels/chart68.xml.rels><?xml version="1.0" encoding="UTF-8" standalone="yes"?>
<Relationships xmlns="http://schemas.openxmlformats.org/package/2006/relationships"><Relationship Id="rId3" Type="http://schemas.openxmlformats.org/officeDocument/2006/relationships/package" Target="../embeddings/Microsoft_Excel_Worksheet67.xlsx"/><Relationship Id="rId2" Type="http://schemas.microsoft.com/office/2011/relationships/chartColorStyle" Target="colors68.xml"/><Relationship Id="rId1" Type="http://schemas.microsoft.com/office/2011/relationships/chartStyle" Target="style68.xml"/></Relationships>
</file>

<file path=word/charts/_rels/chart69.xml.rels><?xml version="1.0" encoding="UTF-8" standalone="yes"?>
<Relationships xmlns="http://schemas.openxmlformats.org/package/2006/relationships"><Relationship Id="rId3" Type="http://schemas.openxmlformats.org/officeDocument/2006/relationships/package" Target="../embeddings/Microsoft_Excel_Worksheet68.xlsx"/><Relationship Id="rId2" Type="http://schemas.microsoft.com/office/2011/relationships/chartColorStyle" Target="colors69.xml"/><Relationship Id="rId1" Type="http://schemas.microsoft.com/office/2011/relationships/chartStyle" Target="style69.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Arkusz1!$B$1</c:f>
              <c:strCache>
                <c:ptCount val="1"/>
                <c:pt idx="0">
                  <c:v>Seria 1</c:v>
                </c:pt>
              </c:strCache>
            </c:strRef>
          </c:tx>
          <c:spPr>
            <a:solidFill>
              <a:srgbClr val="061A3D"/>
            </a:solidFill>
            <a:ln>
              <a:noFill/>
            </a:ln>
            <a:effectLst/>
          </c:spPr>
          <c:invertIfNegative val="0"/>
          <c:dLbls>
            <c:numFmt formatCode="0%" sourceLinked="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Arkusz1!$A$2:$A$23</c:f>
              <c:strCache>
                <c:ptCount val="22"/>
                <c:pt idx="0">
                  <c:v>Kobieta</c:v>
                </c:pt>
                <c:pt idx="1">
                  <c:v>Mężczyzna</c:v>
                </c:pt>
                <c:pt idx="3">
                  <c:v>15–19</c:v>
                </c:pt>
                <c:pt idx="4">
                  <c:v>20–24</c:v>
                </c:pt>
                <c:pt idx="5">
                  <c:v>25–34</c:v>
                </c:pt>
                <c:pt idx="6">
                  <c:v>35–44</c:v>
                </c:pt>
                <c:pt idx="7">
                  <c:v>45–54</c:v>
                </c:pt>
                <c:pt idx="8">
                  <c:v>55–64</c:v>
                </c:pt>
                <c:pt idx="9">
                  <c:v>65 i więcej</c:v>
                </c:pt>
                <c:pt idx="11">
                  <c:v>Wyższe</c:v>
                </c:pt>
                <c:pt idx="12">
                  <c:v>Średnie</c:v>
                </c:pt>
                <c:pt idx="13">
                  <c:v>Zawodowe</c:v>
                </c:pt>
                <c:pt idx="14">
                  <c:v>Podstawowe</c:v>
                </c:pt>
                <c:pt idx="16">
                  <c:v>Wieś</c:v>
                </c:pt>
                <c:pt idx="17">
                  <c:v>Do 20 tys. mieszkańców</c:v>
                </c:pt>
                <c:pt idx="18">
                  <c:v>20–49 tys. mieszkańców</c:v>
                </c:pt>
                <c:pt idx="19">
                  <c:v>50–199 tys. mieszkańców</c:v>
                </c:pt>
                <c:pt idx="20">
                  <c:v>200–499 tys. mieszkańców</c:v>
                </c:pt>
                <c:pt idx="21">
                  <c:v>Powyżej 500 tys. mieszkańców</c:v>
                </c:pt>
              </c:strCache>
            </c:strRef>
          </c:cat>
          <c:val>
            <c:numRef>
              <c:f>Arkusz1!$B$2:$B$23</c:f>
              <c:numCache>
                <c:formatCode>0.00%</c:formatCode>
                <c:ptCount val="22"/>
                <c:pt idx="0">
                  <c:v>0.48199999999999998</c:v>
                </c:pt>
                <c:pt idx="1">
                  <c:v>0.51800000000000002</c:v>
                </c:pt>
                <c:pt idx="3">
                  <c:v>6.2E-2</c:v>
                </c:pt>
                <c:pt idx="4">
                  <c:v>6.0999999999999999E-2</c:v>
                </c:pt>
                <c:pt idx="5">
                  <c:v>0.154</c:v>
                </c:pt>
                <c:pt idx="6">
                  <c:v>0.20499999999999999</c:v>
                </c:pt>
                <c:pt idx="7">
                  <c:v>0.14599999999999999</c:v>
                </c:pt>
                <c:pt idx="8">
                  <c:v>0.13100000000000001</c:v>
                </c:pt>
                <c:pt idx="9">
                  <c:v>0.24099999999999999</c:v>
                </c:pt>
                <c:pt idx="11">
                  <c:v>0.27500000000000002</c:v>
                </c:pt>
                <c:pt idx="12">
                  <c:v>0.35399999999999998</c:v>
                </c:pt>
                <c:pt idx="13">
                  <c:v>0.248</c:v>
                </c:pt>
                <c:pt idx="14">
                  <c:v>0.123</c:v>
                </c:pt>
                <c:pt idx="16">
                  <c:v>0.39800000000000002</c:v>
                </c:pt>
                <c:pt idx="17">
                  <c:v>0.128</c:v>
                </c:pt>
                <c:pt idx="18">
                  <c:v>0.11700000000000001</c:v>
                </c:pt>
                <c:pt idx="19">
                  <c:v>0.15</c:v>
                </c:pt>
                <c:pt idx="20">
                  <c:v>8.5999999999999993E-2</c:v>
                </c:pt>
                <c:pt idx="21">
                  <c:v>0.121</c:v>
                </c:pt>
              </c:numCache>
            </c:numRef>
          </c:val>
          <c:extLst>
            <c:ext xmlns:c16="http://schemas.microsoft.com/office/drawing/2014/chart" uri="{C3380CC4-5D6E-409C-BE32-E72D297353CC}">
              <c16:uniqueId val="{00000000-F0E9-4D6A-AEF7-DA4EACB8E5F0}"/>
            </c:ext>
          </c:extLst>
        </c:ser>
        <c:dLbls>
          <c:showLegendKey val="0"/>
          <c:showVal val="0"/>
          <c:showCatName val="0"/>
          <c:showSerName val="0"/>
          <c:showPercent val="0"/>
          <c:showBubbleSize val="0"/>
        </c:dLbls>
        <c:gapWidth val="82"/>
        <c:axId val="432009056"/>
        <c:axId val="432009536"/>
      </c:barChart>
      <c:catAx>
        <c:axId val="432009056"/>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432009536"/>
        <c:crosses val="autoZero"/>
        <c:auto val="1"/>
        <c:lblAlgn val="ctr"/>
        <c:lblOffset val="100"/>
        <c:noMultiLvlLbl val="0"/>
      </c:catAx>
      <c:valAx>
        <c:axId val="432009536"/>
        <c:scaling>
          <c:orientation val="minMax"/>
        </c:scaling>
        <c:delete val="0"/>
        <c:axPos val="t"/>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432009056"/>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1100">
          <a:solidFill>
            <a:sysClr val="windowText" lastClr="000000"/>
          </a:solidFill>
          <a:latin typeface="Arial" panose="020B0604020202020204" pitchFamily="34" charset="0"/>
          <a:cs typeface="Arial" panose="020B0604020202020204" pitchFamily="34" charset="0"/>
        </a:defRPr>
      </a:pPr>
      <a:endParaRPr lang="pl-PL"/>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percentStacked"/>
        <c:varyColors val="0"/>
        <c:ser>
          <c:idx val="0"/>
          <c:order val="0"/>
          <c:tx>
            <c:strRef>
              <c:f>Arkusz1!$B$1</c:f>
              <c:strCache>
                <c:ptCount val="1"/>
                <c:pt idx="0">
                  <c:v>Tak</c:v>
                </c:pt>
              </c:strCache>
            </c:strRef>
          </c:tx>
          <c:spPr>
            <a:solidFill>
              <a:srgbClr val="061A3D"/>
            </a:solidFill>
            <a:ln>
              <a:noFill/>
            </a:ln>
            <a:effectLst/>
          </c:spPr>
          <c:invertIfNegative val="0"/>
          <c:dLbls>
            <c:numFmt formatCode="0%" sourceLinked="0"/>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bg1"/>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Arkusz1!$A$2:$A$25</c:f>
              <c:strCache>
                <c:ptCount val="24"/>
                <c:pt idx="0">
                  <c:v>Ogółem</c:v>
                </c:pt>
                <c:pt idx="2">
                  <c:v>Kobiety</c:v>
                </c:pt>
                <c:pt idx="3">
                  <c:v>Mężczyźni</c:v>
                </c:pt>
                <c:pt idx="5">
                  <c:v>15–19 lat</c:v>
                </c:pt>
                <c:pt idx="6">
                  <c:v>20–24 lata</c:v>
                </c:pt>
                <c:pt idx="7">
                  <c:v>25–34 lata</c:v>
                </c:pt>
                <c:pt idx="8">
                  <c:v>35–44 lata</c:v>
                </c:pt>
                <c:pt idx="9">
                  <c:v>45–54 lata</c:v>
                </c:pt>
                <c:pt idx="10">
                  <c:v>55–64 lata</c:v>
                </c:pt>
                <c:pt idx="11">
                  <c:v>65+</c:v>
                </c:pt>
                <c:pt idx="13">
                  <c:v>Wyższe</c:v>
                </c:pt>
                <c:pt idx="14">
                  <c:v>Średnie</c:v>
                </c:pt>
                <c:pt idx="15">
                  <c:v>Zawodowe</c:v>
                </c:pt>
                <c:pt idx="16">
                  <c:v>Podstawowe</c:v>
                </c:pt>
                <c:pt idx="18">
                  <c:v>Wieś</c:v>
                </c:pt>
                <c:pt idx="19">
                  <c:v>Do 20 tys.</c:v>
                </c:pt>
                <c:pt idx="20">
                  <c:v>20–49 tys.</c:v>
                </c:pt>
                <c:pt idx="21">
                  <c:v>50–199 tys.</c:v>
                </c:pt>
                <c:pt idx="22">
                  <c:v>200–499 tys.</c:v>
                </c:pt>
                <c:pt idx="23">
                  <c:v>500+ tys.</c:v>
                </c:pt>
              </c:strCache>
            </c:strRef>
          </c:cat>
          <c:val>
            <c:numRef>
              <c:f>Arkusz1!$B$2:$B$25</c:f>
              <c:numCache>
                <c:formatCode>General</c:formatCode>
                <c:ptCount val="24"/>
                <c:pt idx="0" formatCode="0.00%">
                  <c:v>0.79900000000000004</c:v>
                </c:pt>
                <c:pt idx="2" formatCode="0.00%">
                  <c:v>0.78600000000000003</c:v>
                </c:pt>
                <c:pt idx="3" formatCode="0.00%">
                  <c:v>0.81100000000000005</c:v>
                </c:pt>
                <c:pt idx="5" formatCode="0.00%">
                  <c:v>0.746</c:v>
                </c:pt>
                <c:pt idx="6" formatCode="0.00%">
                  <c:v>0.83599999999999997</c:v>
                </c:pt>
                <c:pt idx="7" formatCode="0.00%">
                  <c:v>0.81899999999999995</c:v>
                </c:pt>
                <c:pt idx="8" formatCode="0.00%">
                  <c:v>0.81799999999999995</c:v>
                </c:pt>
                <c:pt idx="9" formatCode="0.00%">
                  <c:v>0.76600000000000001</c:v>
                </c:pt>
                <c:pt idx="10" formatCode="0.00%">
                  <c:v>0.81899999999999995</c:v>
                </c:pt>
                <c:pt idx="11" formatCode="0.00%">
                  <c:v>0.78500000000000003</c:v>
                </c:pt>
                <c:pt idx="13" formatCode="0.00%">
                  <c:v>0.80700000000000005</c:v>
                </c:pt>
                <c:pt idx="14" formatCode="0.00%">
                  <c:v>0.79400000000000004</c:v>
                </c:pt>
                <c:pt idx="15" formatCode="0.00%">
                  <c:v>0.80800000000000005</c:v>
                </c:pt>
                <c:pt idx="16" formatCode="0.00%">
                  <c:v>0.78200000000000003</c:v>
                </c:pt>
                <c:pt idx="18" formatCode="0.00%">
                  <c:v>0.80600000000000005</c:v>
                </c:pt>
                <c:pt idx="19" formatCode="0.00%">
                  <c:v>0.77</c:v>
                </c:pt>
                <c:pt idx="20" formatCode="0.00%">
                  <c:v>0.79800000000000004</c:v>
                </c:pt>
                <c:pt idx="21" formatCode="0.00%">
                  <c:v>0.83899999999999997</c:v>
                </c:pt>
                <c:pt idx="22" formatCode="0.00%">
                  <c:v>0.72799999999999998</c:v>
                </c:pt>
                <c:pt idx="23" formatCode="0.00%">
                  <c:v>0.80900000000000005</c:v>
                </c:pt>
              </c:numCache>
            </c:numRef>
          </c:val>
          <c:extLst>
            <c:ext xmlns:c16="http://schemas.microsoft.com/office/drawing/2014/chart" uri="{C3380CC4-5D6E-409C-BE32-E72D297353CC}">
              <c16:uniqueId val="{00000000-014F-4DB0-A443-409D80218EEF}"/>
            </c:ext>
          </c:extLst>
        </c:ser>
        <c:ser>
          <c:idx val="1"/>
          <c:order val="1"/>
          <c:tx>
            <c:strRef>
              <c:f>Arkusz1!$C$1</c:f>
              <c:strCache>
                <c:ptCount val="1"/>
                <c:pt idx="0">
                  <c:v>Nie</c:v>
                </c:pt>
              </c:strCache>
            </c:strRef>
          </c:tx>
          <c:spPr>
            <a:solidFill>
              <a:schemeClr val="bg1">
                <a:lumMod val="85000"/>
              </a:schemeClr>
            </a:solidFill>
            <a:ln>
              <a:noFill/>
            </a:ln>
            <a:effectLst/>
          </c:spPr>
          <c:invertIfNegative val="0"/>
          <c:dLbls>
            <c:numFmt formatCode="0%" sourceLinked="0"/>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Arkusz1!$A$2:$A$25</c:f>
              <c:strCache>
                <c:ptCount val="24"/>
                <c:pt idx="0">
                  <c:v>Ogółem</c:v>
                </c:pt>
                <c:pt idx="2">
                  <c:v>Kobiety</c:v>
                </c:pt>
                <c:pt idx="3">
                  <c:v>Mężczyźni</c:v>
                </c:pt>
                <c:pt idx="5">
                  <c:v>15–19 lat</c:v>
                </c:pt>
                <c:pt idx="6">
                  <c:v>20–24 lata</c:v>
                </c:pt>
                <c:pt idx="7">
                  <c:v>25–34 lata</c:v>
                </c:pt>
                <c:pt idx="8">
                  <c:v>35–44 lata</c:v>
                </c:pt>
                <c:pt idx="9">
                  <c:v>45–54 lata</c:v>
                </c:pt>
                <c:pt idx="10">
                  <c:v>55–64 lata</c:v>
                </c:pt>
                <c:pt idx="11">
                  <c:v>65+</c:v>
                </c:pt>
                <c:pt idx="13">
                  <c:v>Wyższe</c:v>
                </c:pt>
                <c:pt idx="14">
                  <c:v>Średnie</c:v>
                </c:pt>
                <c:pt idx="15">
                  <c:v>Zawodowe</c:v>
                </c:pt>
                <c:pt idx="16">
                  <c:v>Podstawowe</c:v>
                </c:pt>
                <c:pt idx="18">
                  <c:v>Wieś</c:v>
                </c:pt>
                <c:pt idx="19">
                  <c:v>Do 20 tys.</c:v>
                </c:pt>
                <c:pt idx="20">
                  <c:v>20–49 tys.</c:v>
                </c:pt>
                <c:pt idx="21">
                  <c:v>50–199 tys.</c:v>
                </c:pt>
                <c:pt idx="22">
                  <c:v>200–499 tys.</c:v>
                </c:pt>
                <c:pt idx="23">
                  <c:v>500+ tys.</c:v>
                </c:pt>
              </c:strCache>
            </c:strRef>
          </c:cat>
          <c:val>
            <c:numRef>
              <c:f>Arkusz1!$C$2:$C$25</c:f>
              <c:numCache>
                <c:formatCode>General</c:formatCode>
                <c:ptCount val="24"/>
                <c:pt idx="0" formatCode="0.00%">
                  <c:v>0.20100000000000001</c:v>
                </c:pt>
                <c:pt idx="2" formatCode="0.00%">
                  <c:v>0.214</c:v>
                </c:pt>
                <c:pt idx="3" formatCode="0.00%">
                  <c:v>0.189</c:v>
                </c:pt>
                <c:pt idx="5" formatCode="0.00%">
                  <c:v>0.254</c:v>
                </c:pt>
                <c:pt idx="6" formatCode="0.00%">
                  <c:v>0.16400000000000001</c:v>
                </c:pt>
                <c:pt idx="7" formatCode="0.00%">
                  <c:v>0.18099999999999999</c:v>
                </c:pt>
                <c:pt idx="8" formatCode="0.00%">
                  <c:v>0.182</c:v>
                </c:pt>
                <c:pt idx="9" formatCode="0.00%">
                  <c:v>0.23400000000000001</c:v>
                </c:pt>
                <c:pt idx="10" formatCode="0.00%">
                  <c:v>0.18099999999999999</c:v>
                </c:pt>
                <c:pt idx="11" formatCode="0.00%">
                  <c:v>0.215</c:v>
                </c:pt>
                <c:pt idx="13" formatCode="0.00%">
                  <c:v>0.193</c:v>
                </c:pt>
                <c:pt idx="14" formatCode="0.00%">
                  <c:v>0.20599999999999999</c:v>
                </c:pt>
                <c:pt idx="15" formatCode="0.00%">
                  <c:v>0.192</c:v>
                </c:pt>
                <c:pt idx="16" formatCode="0.00%">
                  <c:v>0.218</c:v>
                </c:pt>
                <c:pt idx="18" formatCode="0.00%">
                  <c:v>0.19400000000000001</c:v>
                </c:pt>
                <c:pt idx="19" formatCode="0.00%">
                  <c:v>0.23</c:v>
                </c:pt>
                <c:pt idx="20" formatCode="0.00%">
                  <c:v>0.20200000000000001</c:v>
                </c:pt>
                <c:pt idx="21" formatCode="0.00%">
                  <c:v>0.161</c:v>
                </c:pt>
                <c:pt idx="22" formatCode="0.00%">
                  <c:v>0.27200000000000002</c:v>
                </c:pt>
                <c:pt idx="23" formatCode="0.00%">
                  <c:v>0.191</c:v>
                </c:pt>
              </c:numCache>
            </c:numRef>
          </c:val>
          <c:extLst>
            <c:ext xmlns:c16="http://schemas.microsoft.com/office/drawing/2014/chart" uri="{C3380CC4-5D6E-409C-BE32-E72D297353CC}">
              <c16:uniqueId val="{00000001-014F-4DB0-A443-409D80218EEF}"/>
            </c:ext>
          </c:extLst>
        </c:ser>
        <c:dLbls>
          <c:showLegendKey val="0"/>
          <c:showVal val="0"/>
          <c:showCatName val="0"/>
          <c:showSerName val="0"/>
          <c:showPercent val="0"/>
          <c:showBubbleSize val="0"/>
        </c:dLbls>
        <c:gapWidth val="40"/>
        <c:overlap val="100"/>
        <c:axId val="875697471"/>
        <c:axId val="875698911"/>
      </c:barChart>
      <c:catAx>
        <c:axId val="875697471"/>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crossAx val="875698911"/>
        <c:crosses val="autoZero"/>
        <c:auto val="1"/>
        <c:lblAlgn val="ctr"/>
        <c:lblOffset val="100"/>
        <c:noMultiLvlLbl val="0"/>
      </c:catAx>
      <c:valAx>
        <c:axId val="875698911"/>
        <c:scaling>
          <c:orientation val="minMax"/>
        </c:scaling>
        <c:delete val="0"/>
        <c:axPos val="t"/>
        <c:majorGridlines>
          <c:spPr>
            <a:ln w="9525" cap="flat" cmpd="sng" algn="ctr">
              <a:no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crossAx val="87569747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pl-P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pl-PL"/>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Arkusz1!$B$1</c:f>
              <c:strCache>
                <c:ptCount val="1"/>
                <c:pt idx="0">
                  <c:v>Wybrano (%)</c:v>
                </c:pt>
              </c:strCache>
            </c:strRef>
          </c:tx>
          <c:spPr>
            <a:solidFill>
              <a:srgbClr val="061A3D"/>
            </a:solidFill>
            <a:ln>
              <a:noFill/>
            </a:ln>
            <a:effectLst/>
          </c:spPr>
          <c:invertIfNegative val="0"/>
          <c:dLbls>
            <c:numFmt formatCode="0%" sourceLinked="0"/>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Arkusz1!$A$2:$A$17</c:f>
              <c:strCache>
                <c:ptCount val="16"/>
                <c:pt idx="0">
                  <c:v>Nie wiem / trudno powiedzieć</c:v>
                </c:pt>
                <c:pt idx="1">
                  <c:v>Wsparcie przedsiębiorczości</c:v>
                </c:pt>
                <c:pt idx="2">
                  <c:v>Dotacje na określony projekt, inwestycję</c:v>
                </c:pt>
                <c:pt idx="3">
                  <c:v>Środki na ochronę środowiska</c:v>
                </c:pt>
                <c:pt idx="4">
                  <c:v>Fundusze związane z budownictwem</c:v>
                </c:pt>
                <c:pt idx="5">
                  <c:v>Środki na rozwój regionów</c:v>
                </c:pt>
                <c:pt idx="6">
                  <c:v>Środki na rozwój w sferze społecznej</c:v>
                </c:pt>
                <c:pt idx="7">
                  <c:v>Środki na rozwój rolnictwa / dopłaty do rolnictwa</c:v>
                </c:pt>
                <c:pt idx="8">
                  <c:v>Pieniądze</c:v>
                </c:pt>
                <c:pt idx="9">
                  <c:v>Kto może ubiegać się o dofinansowanie</c:v>
                </c:pt>
                <c:pt idx="10">
                  <c:v>Wpływ Funduszy Europejskich na rozwój regionu</c:v>
                </c:pt>
                <c:pt idx="11">
                  <c:v>W jaki sposób można ubiegać się o środki</c:v>
                </c:pt>
                <c:pt idx="12">
                  <c:v>Sposób i efektywność wykorzystywania funduszy</c:v>
                </c:pt>
                <c:pt idx="13">
                  <c:v>Ogólnie pomoc finansowa, pomoc Unii Europejskiej, środki na rozwój kraju</c:v>
                </c:pt>
                <c:pt idx="14">
                  <c:v>Wpływ Funduszy Europejskich na rozwój kraju</c:v>
                </c:pt>
                <c:pt idx="15">
                  <c:v>Na co są przeznaczane środki europejskie</c:v>
                </c:pt>
              </c:strCache>
            </c:strRef>
          </c:cat>
          <c:val>
            <c:numRef>
              <c:f>Arkusz1!$B$2:$B$17</c:f>
              <c:numCache>
                <c:formatCode>0.00%</c:formatCode>
                <c:ptCount val="16"/>
                <c:pt idx="0">
                  <c:v>0.26300000000000001</c:v>
                </c:pt>
                <c:pt idx="1">
                  <c:v>4.2000000000000003E-2</c:v>
                </c:pt>
                <c:pt idx="2">
                  <c:v>4.7E-2</c:v>
                </c:pt>
                <c:pt idx="3">
                  <c:v>4.7E-2</c:v>
                </c:pt>
                <c:pt idx="4">
                  <c:v>5.3999999999999999E-2</c:v>
                </c:pt>
                <c:pt idx="5">
                  <c:v>5.3999999999999999E-2</c:v>
                </c:pt>
                <c:pt idx="6">
                  <c:v>7.2999999999999995E-2</c:v>
                </c:pt>
                <c:pt idx="7">
                  <c:v>7.8E-2</c:v>
                </c:pt>
                <c:pt idx="8">
                  <c:v>8.7999999999999995E-2</c:v>
                </c:pt>
                <c:pt idx="9">
                  <c:v>0.156</c:v>
                </c:pt>
                <c:pt idx="10">
                  <c:v>0.158</c:v>
                </c:pt>
                <c:pt idx="11">
                  <c:v>0.22</c:v>
                </c:pt>
                <c:pt idx="12">
                  <c:v>0.25900000000000001</c:v>
                </c:pt>
                <c:pt idx="13">
                  <c:v>0.313</c:v>
                </c:pt>
                <c:pt idx="14">
                  <c:v>0.33900000000000002</c:v>
                </c:pt>
                <c:pt idx="15">
                  <c:v>0.52400000000000002</c:v>
                </c:pt>
              </c:numCache>
            </c:numRef>
          </c:val>
          <c:extLst>
            <c:ext xmlns:c16="http://schemas.microsoft.com/office/drawing/2014/chart" uri="{C3380CC4-5D6E-409C-BE32-E72D297353CC}">
              <c16:uniqueId val="{00000000-5B29-441C-B469-DC8C85855D25}"/>
            </c:ext>
          </c:extLst>
        </c:ser>
        <c:dLbls>
          <c:showLegendKey val="0"/>
          <c:showVal val="0"/>
          <c:showCatName val="0"/>
          <c:showSerName val="0"/>
          <c:showPercent val="0"/>
          <c:showBubbleSize val="0"/>
        </c:dLbls>
        <c:gapWidth val="102"/>
        <c:axId val="1403088847"/>
        <c:axId val="1403089327"/>
      </c:barChart>
      <c:catAx>
        <c:axId val="1403088847"/>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crossAx val="1403089327"/>
        <c:crosses val="autoZero"/>
        <c:auto val="1"/>
        <c:lblAlgn val="ctr"/>
        <c:lblOffset val="100"/>
        <c:noMultiLvlLbl val="0"/>
      </c:catAx>
      <c:valAx>
        <c:axId val="1403089327"/>
        <c:scaling>
          <c:orientation val="minMax"/>
        </c:scaling>
        <c:delete val="0"/>
        <c:axPos val="b"/>
        <c:majorGridlines>
          <c:spPr>
            <a:ln w="9525" cap="flat" cmpd="sng" algn="ctr">
              <a:no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crossAx val="1403088847"/>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1100">
          <a:solidFill>
            <a:schemeClr val="tx1"/>
          </a:solidFill>
          <a:latin typeface="Arial" panose="020B0604020202020204" pitchFamily="34" charset="0"/>
          <a:cs typeface="Arial" panose="020B0604020202020204" pitchFamily="34" charset="0"/>
        </a:defRPr>
      </a:pPr>
      <a:endParaRPr lang="pl-PL"/>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Arkusz1!$B$1</c:f>
              <c:strCache>
                <c:ptCount val="1"/>
                <c:pt idx="0">
                  <c:v>%</c:v>
                </c:pt>
              </c:strCache>
            </c:strRef>
          </c:tx>
          <c:spPr>
            <a:solidFill>
              <a:srgbClr val="061A3D"/>
            </a:solidFill>
            <a:ln>
              <a:noFill/>
            </a:ln>
            <a:effectLst/>
          </c:spPr>
          <c:invertIfNegative val="0"/>
          <c:dLbls>
            <c:numFmt formatCode="0%" sourceLinked="0"/>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Arkusz1!$A$2:$A$10</c:f>
              <c:strCache>
                <c:ptCount val="9"/>
                <c:pt idx="0">
                  <c:v>Brak zainteresowania</c:v>
                </c:pt>
                <c:pt idx="1">
                  <c:v>Brak doświadczenia</c:v>
                </c:pt>
                <c:pt idx="2">
                  <c:v>Brak wiedzy</c:v>
                </c:pt>
                <c:pt idx="3">
                  <c:v>Brak potrzeby</c:v>
                </c:pt>
                <c:pt idx="4">
                  <c:v>Nie dotyczy mnie</c:v>
                </c:pt>
                <c:pt idx="5">
                  <c:v>Brak czasu / okazji</c:v>
                </c:pt>
                <c:pt idx="6">
                  <c:v>Inni powinni się tym zajmować</c:v>
                </c:pt>
                <c:pt idx="7">
                  <c:v>Brak korzystania z funduszy</c:v>
                </c:pt>
                <c:pt idx="8">
                  <c:v>Negatywne emocjonalnie</c:v>
                </c:pt>
              </c:strCache>
            </c:strRef>
          </c:cat>
          <c:val>
            <c:numRef>
              <c:f>Arkusz1!$B$2:$B$10</c:f>
              <c:numCache>
                <c:formatCode>0.00%</c:formatCode>
                <c:ptCount val="9"/>
                <c:pt idx="0">
                  <c:v>0.34300000000000003</c:v>
                </c:pt>
                <c:pt idx="1">
                  <c:v>0.214</c:v>
                </c:pt>
                <c:pt idx="2">
                  <c:v>0.14299999999999999</c:v>
                </c:pt>
                <c:pt idx="3">
                  <c:v>0.1</c:v>
                </c:pt>
                <c:pt idx="4">
                  <c:v>0.1</c:v>
                </c:pt>
                <c:pt idx="5">
                  <c:v>4.2999999999999997E-2</c:v>
                </c:pt>
                <c:pt idx="6">
                  <c:v>2.9000000000000001E-2</c:v>
                </c:pt>
                <c:pt idx="7">
                  <c:v>1.4E-2</c:v>
                </c:pt>
                <c:pt idx="8">
                  <c:v>1.4E-2</c:v>
                </c:pt>
              </c:numCache>
            </c:numRef>
          </c:val>
          <c:extLst>
            <c:ext xmlns:c16="http://schemas.microsoft.com/office/drawing/2014/chart" uri="{C3380CC4-5D6E-409C-BE32-E72D297353CC}">
              <c16:uniqueId val="{00000000-7377-4111-BA7D-00C192E629EC}"/>
            </c:ext>
          </c:extLst>
        </c:ser>
        <c:dLbls>
          <c:showLegendKey val="0"/>
          <c:showVal val="0"/>
          <c:showCatName val="0"/>
          <c:showSerName val="0"/>
          <c:showPercent val="0"/>
          <c:showBubbleSize val="0"/>
        </c:dLbls>
        <c:gapWidth val="112"/>
        <c:axId val="1238218943"/>
        <c:axId val="1832192143"/>
      </c:barChart>
      <c:catAx>
        <c:axId val="1238218943"/>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crossAx val="1832192143"/>
        <c:crosses val="autoZero"/>
        <c:auto val="1"/>
        <c:lblAlgn val="ctr"/>
        <c:lblOffset val="100"/>
        <c:noMultiLvlLbl val="0"/>
      </c:catAx>
      <c:valAx>
        <c:axId val="1832192143"/>
        <c:scaling>
          <c:orientation val="minMax"/>
        </c:scaling>
        <c:delete val="0"/>
        <c:axPos val="t"/>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crossAx val="123821894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pl-PL"/>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areaChart>
        <c:grouping val="stacked"/>
        <c:varyColors val="0"/>
        <c:ser>
          <c:idx val="0"/>
          <c:order val="0"/>
          <c:tx>
            <c:strRef>
              <c:f>Arkusz1!$B$1</c:f>
              <c:strCache>
                <c:ptCount val="1"/>
                <c:pt idx="0">
                  <c:v>1</c:v>
                </c:pt>
              </c:strCache>
            </c:strRef>
          </c:tx>
          <c:spPr>
            <a:solidFill>
              <a:schemeClr val="accent1"/>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Arkusz1!$A$2:$A$8</c:f>
              <c:strCache>
                <c:ptCount val="7"/>
                <c:pt idx="0">
                  <c:v>2018 N=5615</c:v>
                </c:pt>
                <c:pt idx="1">
                  <c:v>2019 N=905</c:v>
                </c:pt>
                <c:pt idx="2">
                  <c:v>2020 N=5514</c:v>
                </c:pt>
                <c:pt idx="3">
                  <c:v>2021 N=887</c:v>
                </c:pt>
                <c:pt idx="4">
                  <c:v>2022 N=5279</c:v>
                </c:pt>
                <c:pt idx="5">
                  <c:v>2023 N=888</c:v>
                </c:pt>
                <c:pt idx="6">
                  <c:v>2025 N=955</c:v>
                </c:pt>
              </c:strCache>
            </c:strRef>
          </c:cat>
          <c:val>
            <c:numRef>
              <c:f>Arkusz1!$B$2:$B$8</c:f>
              <c:numCache>
                <c:formatCode>0%</c:formatCode>
                <c:ptCount val="7"/>
                <c:pt idx="0">
                  <c:v>0.15</c:v>
                </c:pt>
                <c:pt idx="1">
                  <c:v>0.18</c:v>
                </c:pt>
                <c:pt idx="2">
                  <c:v>0.17</c:v>
                </c:pt>
                <c:pt idx="3">
                  <c:v>0.15</c:v>
                </c:pt>
                <c:pt idx="4">
                  <c:v>0.16</c:v>
                </c:pt>
                <c:pt idx="5">
                  <c:v>0.12</c:v>
                </c:pt>
                <c:pt idx="6">
                  <c:v>0.2</c:v>
                </c:pt>
              </c:numCache>
            </c:numRef>
          </c:val>
          <c:extLst>
            <c:ext xmlns:c16="http://schemas.microsoft.com/office/drawing/2014/chart" uri="{C3380CC4-5D6E-409C-BE32-E72D297353CC}">
              <c16:uniqueId val="{00000000-4FD1-4828-9155-79FFF7398582}"/>
            </c:ext>
          </c:extLst>
        </c:ser>
        <c:ser>
          <c:idx val="1"/>
          <c:order val="1"/>
          <c:tx>
            <c:strRef>
              <c:f>Arkusz1!$C$1</c:f>
              <c:strCache>
                <c:ptCount val="1"/>
                <c:pt idx="0">
                  <c:v>2</c:v>
                </c:pt>
              </c:strCache>
            </c:strRef>
          </c:tx>
          <c:spPr>
            <a:solidFill>
              <a:schemeClr val="accent2"/>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Arkusz1!$A$2:$A$8</c:f>
              <c:strCache>
                <c:ptCount val="7"/>
                <c:pt idx="0">
                  <c:v>2018 N=5615</c:v>
                </c:pt>
                <c:pt idx="1">
                  <c:v>2019 N=905</c:v>
                </c:pt>
                <c:pt idx="2">
                  <c:v>2020 N=5514</c:v>
                </c:pt>
                <c:pt idx="3">
                  <c:v>2021 N=887</c:v>
                </c:pt>
                <c:pt idx="4">
                  <c:v>2022 N=5279</c:v>
                </c:pt>
                <c:pt idx="5">
                  <c:v>2023 N=888</c:v>
                </c:pt>
                <c:pt idx="6">
                  <c:v>2025 N=955</c:v>
                </c:pt>
              </c:strCache>
            </c:strRef>
          </c:cat>
          <c:val>
            <c:numRef>
              <c:f>Arkusz1!$C$2:$C$8</c:f>
              <c:numCache>
                <c:formatCode>0%</c:formatCode>
                <c:ptCount val="7"/>
                <c:pt idx="0">
                  <c:v>0.26</c:v>
                </c:pt>
                <c:pt idx="1">
                  <c:v>0.26</c:v>
                </c:pt>
                <c:pt idx="2">
                  <c:v>0.27</c:v>
                </c:pt>
                <c:pt idx="3">
                  <c:v>0.32</c:v>
                </c:pt>
                <c:pt idx="4">
                  <c:v>0.25</c:v>
                </c:pt>
                <c:pt idx="5">
                  <c:v>0.22</c:v>
                </c:pt>
                <c:pt idx="6">
                  <c:v>0.35</c:v>
                </c:pt>
              </c:numCache>
            </c:numRef>
          </c:val>
          <c:extLst>
            <c:ext xmlns:c16="http://schemas.microsoft.com/office/drawing/2014/chart" uri="{C3380CC4-5D6E-409C-BE32-E72D297353CC}">
              <c16:uniqueId val="{00000001-4FD1-4828-9155-79FFF7398582}"/>
            </c:ext>
          </c:extLst>
        </c:ser>
        <c:ser>
          <c:idx val="2"/>
          <c:order val="2"/>
          <c:tx>
            <c:strRef>
              <c:f>Arkusz1!$D$1</c:f>
              <c:strCache>
                <c:ptCount val="1"/>
                <c:pt idx="0">
                  <c:v>3</c:v>
                </c:pt>
              </c:strCache>
            </c:strRef>
          </c:tx>
          <c:spPr>
            <a:solidFill>
              <a:schemeClr val="accent3"/>
            </a:solidFill>
            <a:ln w="25400">
              <a:noFill/>
            </a:ln>
            <a:effectLst/>
          </c:spP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Arkusz1!$A$2:$A$8</c:f>
              <c:strCache>
                <c:ptCount val="7"/>
                <c:pt idx="0">
                  <c:v>2018 N=5615</c:v>
                </c:pt>
                <c:pt idx="1">
                  <c:v>2019 N=905</c:v>
                </c:pt>
                <c:pt idx="2">
                  <c:v>2020 N=5514</c:v>
                </c:pt>
                <c:pt idx="3">
                  <c:v>2021 N=887</c:v>
                </c:pt>
                <c:pt idx="4">
                  <c:v>2022 N=5279</c:v>
                </c:pt>
                <c:pt idx="5">
                  <c:v>2023 N=888</c:v>
                </c:pt>
                <c:pt idx="6">
                  <c:v>2025 N=955</c:v>
                </c:pt>
              </c:strCache>
            </c:strRef>
          </c:cat>
          <c:val>
            <c:numRef>
              <c:f>Arkusz1!$D$2:$D$8</c:f>
              <c:numCache>
                <c:formatCode>0%</c:formatCode>
                <c:ptCount val="7"/>
                <c:pt idx="0">
                  <c:v>0.27</c:v>
                </c:pt>
                <c:pt idx="1">
                  <c:v>0.27</c:v>
                </c:pt>
                <c:pt idx="2">
                  <c:v>0.3</c:v>
                </c:pt>
                <c:pt idx="3">
                  <c:v>0.31</c:v>
                </c:pt>
                <c:pt idx="4">
                  <c:v>0.25</c:v>
                </c:pt>
                <c:pt idx="5">
                  <c:v>0.36</c:v>
                </c:pt>
                <c:pt idx="6">
                  <c:v>0.28999999999999998</c:v>
                </c:pt>
              </c:numCache>
            </c:numRef>
          </c:val>
          <c:extLst>
            <c:ext xmlns:c16="http://schemas.microsoft.com/office/drawing/2014/chart" uri="{C3380CC4-5D6E-409C-BE32-E72D297353CC}">
              <c16:uniqueId val="{00000002-4FD1-4828-9155-79FFF7398582}"/>
            </c:ext>
          </c:extLst>
        </c:ser>
        <c:ser>
          <c:idx val="3"/>
          <c:order val="3"/>
          <c:tx>
            <c:strRef>
              <c:f>Arkusz1!$E$1</c:f>
              <c:strCache>
                <c:ptCount val="1"/>
                <c:pt idx="0">
                  <c:v>4</c:v>
                </c:pt>
              </c:strCache>
            </c:strRef>
          </c:tx>
          <c:spPr>
            <a:solidFill>
              <a:schemeClr val="accent4"/>
            </a:solidFill>
            <a:ln w="25400">
              <a:noFill/>
            </a:ln>
            <a:effectLst/>
          </c:spP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Arkusz1!$A$2:$A$8</c:f>
              <c:strCache>
                <c:ptCount val="7"/>
                <c:pt idx="0">
                  <c:v>2018 N=5615</c:v>
                </c:pt>
                <c:pt idx="1">
                  <c:v>2019 N=905</c:v>
                </c:pt>
                <c:pt idx="2">
                  <c:v>2020 N=5514</c:v>
                </c:pt>
                <c:pt idx="3">
                  <c:v>2021 N=887</c:v>
                </c:pt>
                <c:pt idx="4">
                  <c:v>2022 N=5279</c:v>
                </c:pt>
                <c:pt idx="5">
                  <c:v>2023 N=888</c:v>
                </c:pt>
                <c:pt idx="6">
                  <c:v>2025 N=955</c:v>
                </c:pt>
              </c:strCache>
            </c:strRef>
          </c:cat>
          <c:val>
            <c:numRef>
              <c:f>Arkusz1!$E$2:$E$8</c:f>
              <c:numCache>
                <c:formatCode>0%</c:formatCode>
                <c:ptCount val="7"/>
                <c:pt idx="0">
                  <c:v>0.22</c:v>
                </c:pt>
                <c:pt idx="1">
                  <c:v>0.22</c:v>
                </c:pt>
                <c:pt idx="2">
                  <c:v>0.19</c:v>
                </c:pt>
                <c:pt idx="3">
                  <c:v>0.15</c:v>
                </c:pt>
                <c:pt idx="4">
                  <c:v>0.24</c:v>
                </c:pt>
                <c:pt idx="5">
                  <c:v>0.2</c:v>
                </c:pt>
                <c:pt idx="6">
                  <c:v>0.12</c:v>
                </c:pt>
              </c:numCache>
            </c:numRef>
          </c:val>
          <c:extLst>
            <c:ext xmlns:c16="http://schemas.microsoft.com/office/drawing/2014/chart" uri="{C3380CC4-5D6E-409C-BE32-E72D297353CC}">
              <c16:uniqueId val="{00000003-4FD1-4828-9155-79FFF7398582}"/>
            </c:ext>
          </c:extLst>
        </c:ser>
        <c:ser>
          <c:idx val="4"/>
          <c:order val="4"/>
          <c:tx>
            <c:strRef>
              <c:f>Arkusz1!$F$1</c:f>
              <c:strCache>
                <c:ptCount val="1"/>
                <c:pt idx="0">
                  <c:v>5</c:v>
                </c:pt>
              </c:strCache>
            </c:strRef>
          </c:tx>
          <c:spPr>
            <a:solidFill>
              <a:schemeClr val="accent5"/>
            </a:solidFill>
            <a:ln w="25400">
              <a:noFill/>
            </a:ln>
            <a:effectLst/>
          </c:spPr>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Arkusz1!$A$2:$A$8</c:f>
              <c:strCache>
                <c:ptCount val="7"/>
                <c:pt idx="0">
                  <c:v>2018 N=5615</c:v>
                </c:pt>
                <c:pt idx="1">
                  <c:v>2019 N=905</c:v>
                </c:pt>
                <c:pt idx="2">
                  <c:v>2020 N=5514</c:v>
                </c:pt>
                <c:pt idx="3">
                  <c:v>2021 N=887</c:v>
                </c:pt>
                <c:pt idx="4">
                  <c:v>2022 N=5279</c:v>
                </c:pt>
                <c:pt idx="5">
                  <c:v>2023 N=888</c:v>
                </c:pt>
                <c:pt idx="6">
                  <c:v>2025 N=955</c:v>
                </c:pt>
              </c:strCache>
            </c:strRef>
          </c:cat>
          <c:val>
            <c:numRef>
              <c:f>Arkusz1!$F$2:$F$8</c:f>
              <c:numCache>
                <c:formatCode>0%</c:formatCode>
                <c:ptCount val="7"/>
                <c:pt idx="0">
                  <c:v>7.0000000000000007E-2</c:v>
                </c:pt>
                <c:pt idx="1">
                  <c:v>0.05</c:v>
                </c:pt>
                <c:pt idx="2">
                  <c:v>0.05</c:v>
                </c:pt>
                <c:pt idx="3">
                  <c:v>0.05</c:v>
                </c:pt>
                <c:pt idx="4">
                  <c:v>7.0000000000000007E-2</c:v>
                </c:pt>
                <c:pt idx="5">
                  <c:v>0.05</c:v>
                </c:pt>
                <c:pt idx="6">
                  <c:v>0.02</c:v>
                </c:pt>
              </c:numCache>
            </c:numRef>
          </c:val>
          <c:extLst>
            <c:ext xmlns:c16="http://schemas.microsoft.com/office/drawing/2014/chart" uri="{C3380CC4-5D6E-409C-BE32-E72D297353CC}">
              <c16:uniqueId val="{00000004-4FD1-4828-9155-79FFF7398582}"/>
            </c:ext>
          </c:extLst>
        </c:ser>
        <c:ser>
          <c:idx val="5"/>
          <c:order val="5"/>
          <c:tx>
            <c:strRef>
              <c:f>Arkusz1!$G$1</c:f>
              <c:strCache>
                <c:ptCount val="1"/>
                <c:pt idx="0">
                  <c:v>6</c:v>
                </c:pt>
              </c:strCache>
            </c:strRef>
          </c:tx>
          <c:spPr>
            <a:solidFill>
              <a:schemeClr val="accent6"/>
            </a:solidFill>
            <a:ln w="25400">
              <a:noFill/>
            </a:ln>
            <a:effectLst/>
          </c:spPr>
          <c:cat>
            <c:strRef>
              <c:f>Arkusz1!$A$2:$A$8</c:f>
              <c:strCache>
                <c:ptCount val="7"/>
                <c:pt idx="0">
                  <c:v>2018 N=5615</c:v>
                </c:pt>
                <c:pt idx="1">
                  <c:v>2019 N=905</c:v>
                </c:pt>
                <c:pt idx="2">
                  <c:v>2020 N=5514</c:v>
                </c:pt>
                <c:pt idx="3">
                  <c:v>2021 N=887</c:v>
                </c:pt>
                <c:pt idx="4">
                  <c:v>2022 N=5279</c:v>
                </c:pt>
                <c:pt idx="5">
                  <c:v>2023 N=888</c:v>
                </c:pt>
                <c:pt idx="6">
                  <c:v>2025 N=955</c:v>
                </c:pt>
              </c:strCache>
            </c:strRef>
          </c:cat>
          <c:val>
            <c:numRef>
              <c:f>Arkusz1!$G$2:$G$8</c:f>
              <c:numCache>
                <c:formatCode>0%</c:formatCode>
                <c:ptCount val="7"/>
                <c:pt idx="0">
                  <c:v>0.01</c:v>
                </c:pt>
                <c:pt idx="1">
                  <c:v>0.01</c:v>
                </c:pt>
                <c:pt idx="2">
                  <c:v>0.01</c:v>
                </c:pt>
                <c:pt idx="3">
                  <c:v>0.01</c:v>
                </c:pt>
                <c:pt idx="4">
                  <c:v>0.01</c:v>
                </c:pt>
                <c:pt idx="5">
                  <c:v>0.02</c:v>
                </c:pt>
                <c:pt idx="6">
                  <c:v>0.01</c:v>
                </c:pt>
              </c:numCache>
            </c:numRef>
          </c:val>
          <c:extLst>
            <c:ext xmlns:c16="http://schemas.microsoft.com/office/drawing/2014/chart" uri="{C3380CC4-5D6E-409C-BE32-E72D297353CC}">
              <c16:uniqueId val="{00000005-4FD1-4828-9155-79FFF7398582}"/>
            </c:ext>
          </c:extLst>
        </c:ser>
        <c:ser>
          <c:idx val="6"/>
          <c:order val="6"/>
          <c:tx>
            <c:strRef>
              <c:f>Arkusz1!$H$1</c:f>
              <c:strCache>
                <c:ptCount val="1"/>
                <c:pt idx="0">
                  <c:v>Nie wiem / trudno powiedzieć</c:v>
                </c:pt>
              </c:strCache>
            </c:strRef>
          </c:tx>
          <c:spPr>
            <a:solidFill>
              <a:schemeClr val="accent1">
                <a:lumMod val="60000"/>
              </a:schemeClr>
            </a:solidFill>
            <a:ln w="25400">
              <a:noFill/>
            </a:ln>
            <a:effectLst/>
          </c:spPr>
          <c:cat>
            <c:strRef>
              <c:f>Arkusz1!$A$2:$A$8</c:f>
              <c:strCache>
                <c:ptCount val="7"/>
                <c:pt idx="0">
                  <c:v>2018 N=5615</c:v>
                </c:pt>
                <c:pt idx="1">
                  <c:v>2019 N=905</c:v>
                </c:pt>
                <c:pt idx="2">
                  <c:v>2020 N=5514</c:v>
                </c:pt>
                <c:pt idx="3">
                  <c:v>2021 N=887</c:v>
                </c:pt>
                <c:pt idx="4">
                  <c:v>2022 N=5279</c:v>
                </c:pt>
                <c:pt idx="5">
                  <c:v>2023 N=888</c:v>
                </c:pt>
                <c:pt idx="6">
                  <c:v>2025 N=955</c:v>
                </c:pt>
              </c:strCache>
            </c:strRef>
          </c:cat>
          <c:val>
            <c:numRef>
              <c:f>Arkusz1!$H$2:$H$8</c:f>
              <c:numCache>
                <c:formatCode>0%</c:formatCode>
                <c:ptCount val="7"/>
                <c:pt idx="0">
                  <c:v>0.02</c:v>
                </c:pt>
                <c:pt idx="1">
                  <c:v>0.02</c:v>
                </c:pt>
                <c:pt idx="2">
                  <c:v>0.01</c:v>
                </c:pt>
                <c:pt idx="3">
                  <c:v>0.01</c:v>
                </c:pt>
                <c:pt idx="4">
                  <c:v>0.02</c:v>
                </c:pt>
                <c:pt idx="5">
                  <c:v>0.03</c:v>
                </c:pt>
                <c:pt idx="6">
                  <c:v>0.02</c:v>
                </c:pt>
              </c:numCache>
            </c:numRef>
          </c:val>
          <c:extLst>
            <c:ext xmlns:c16="http://schemas.microsoft.com/office/drawing/2014/chart" uri="{C3380CC4-5D6E-409C-BE32-E72D297353CC}">
              <c16:uniqueId val="{00000007-4FD1-4828-9155-79FFF7398582}"/>
            </c:ext>
          </c:extLst>
        </c:ser>
        <c:dLbls>
          <c:showLegendKey val="0"/>
          <c:showVal val="0"/>
          <c:showCatName val="0"/>
          <c:showSerName val="0"/>
          <c:showPercent val="0"/>
          <c:showBubbleSize val="0"/>
        </c:dLbls>
        <c:axId val="673534400"/>
        <c:axId val="673537280"/>
      </c:areaChart>
      <c:catAx>
        <c:axId val="673534400"/>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crossAx val="673537280"/>
        <c:crosses val="autoZero"/>
        <c:auto val="1"/>
        <c:lblAlgn val="ctr"/>
        <c:lblOffset val="100"/>
        <c:noMultiLvlLbl val="0"/>
      </c:catAx>
      <c:valAx>
        <c:axId val="673537280"/>
        <c:scaling>
          <c:orientation val="minMax"/>
          <c:max val="1"/>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crossAx val="673534400"/>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pl-PL"/>
        </a:p>
      </c:txPr>
    </c:legend>
    <c:plotVisOnly val="1"/>
    <c:dispBlanksAs val="zero"/>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pl-PL"/>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percentStacked"/>
        <c:varyColors val="0"/>
        <c:ser>
          <c:idx val="0"/>
          <c:order val="0"/>
          <c:tx>
            <c:strRef>
              <c:f>Arkusz1!$B$1</c:f>
              <c:strCache>
                <c:ptCount val="1"/>
                <c:pt idx="0">
                  <c:v>1 - nie wiem prawie nic o FE</c:v>
                </c:pt>
              </c:strCache>
            </c:strRef>
          </c:tx>
          <c:spPr>
            <a:solidFill>
              <a:srgbClr val="061A3D"/>
            </a:solidFill>
            <a:ln>
              <a:noFill/>
            </a:ln>
            <a:effectLst/>
          </c:spPr>
          <c:invertIfNegative val="0"/>
          <c:dLbls>
            <c:dLbl>
              <c:idx val="10"/>
              <c:numFmt formatCode="0%" sourceLinked="0"/>
              <c:spPr>
                <a:solidFill>
                  <a:srgbClr val="EE0000"/>
                </a:solid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bg1"/>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extLst>
                <c:ext xmlns:c16="http://schemas.microsoft.com/office/drawing/2014/chart" uri="{C3380CC4-5D6E-409C-BE32-E72D297353CC}">
                  <c16:uniqueId val="{00000002-05B2-4EEE-80D2-7B5B8A85FF13}"/>
                </c:ext>
              </c:extLst>
            </c:dLbl>
            <c:numFmt formatCode="0%" sourceLinked="0"/>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bg1"/>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Arkusz1!$A$2:$A$25</c:f>
              <c:strCache>
                <c:ptCount val="24"/>
                <c:pt idx="0">
                  <c:v>Ogółem</c:v>
                </c:pt>
                <c:pt idx="2">
                  <c:v>Kobiety</c:v>
                </c:pt>
                <c:pt idx="3">
                  <c:v>Mężczyźni</c:v>
                </c:pt>
                <c:pt idx="5">
                  <c:v>15–19 lat</c:v>
                </c:pt>
                <c:pt idx="6">
                  <c:v>20–24 lata</c:v>
                </c:pt>
                <c:pt idx="7">
                  <c:v>25–34 lata</c:v>
                </c:pt>
                <c:pt idx="8">
                  <c:v>35–44 lata</c:v>
                </c:pt>
                <c:pt idx="9">
                  <c:v>45–54 lata</c:v>
                </c:pt>
                <c:pt idx="10">
                  <c:v>55–64 lata</c:v>
                </c:pt>
                <c:pt idx="11">
                  <c:v>65+</c:v>
                </c:pt>
                <c:pt idx="13">
                  <c:v>Wykształcenie wyższe</c:v>
                </c:pt>
                <c:pt idx="14">
                  <c:v>Średnie</c:v>
                </c:pt>
                <c:pt idx="15">
                  <c:v>Zawodowe</c:v>
                </c:pt>
                <c:pt idx="16">
                  <c:v>Podstawowe</c:v>
                </c:pt>
                <c:pt idx="18">
                  <c:v>Wieś</c:v>
                </c:pt>
                <c:pt idx="19">
                  <c:v>Do 20 tys.</c:v>
                </c:pt>
                <c:pt idx="20">
                  <c:v>20–49 tys.</c:v>
                </c:pt>
                <c:pt idx="21">
                  <c:v>50–199 tys.</c:v>
                </c:pt>
                <c:pt idx="22">
                  <c:v>200–499 tys.</c:v>
                </c:pt>
                <c:pt idx="23">
                  <c:v>500+ tys.</c:v>
                </c:pt>
              </c:strCache>
            </c:strRef>
          </c:cat>
          <c:val>
            <c:numRef>
              <c:f>Arkusz1!$B$2:$B$25</c:f>
              <c:numCache>
                <c:formatCode>General</c:formatCode>
                <c:ptCount val="24"/>
                <c:pt idx="0" formatCode="0.00%">
                  <c:v>0.184</c:v>
                </c:pt>
                <c:pt idx="2" formatCode="0.00%">
                  <c:v>0.183</c:v>
                </c:pt>
                <c:pt idx="3" formatCode="0.00%">
                  <c:v>0.185</c:v>
                </c:pt>
                <c:pt idx="5" formatCode="0.00%">
                  <c:v>0.153</c:v>
                </c:pt>
                <c:pt idx="6" formatCode="0.00%">
                  <c:v>0.21299999999999999</c:v>
                </c:pt>
                <c:pt idx="7" formatCode="0.00%">
                  <c:v>0.129</c:v>
                </c:pt>
                <c:pt idx="8" formatCode="0.00%">
                  <c:v>0.17199999999999999</c:v>
                </c:pt>
                <c:pt idx="9" formatCode="0.00%">
                  <c:v>0.17</c:v>
                </c:pt>
                <c:pt idx="10" formatCode="0.00%">
                  <c:v>0.24399999999999999</c:v>
                </c:pt>
                <c:pt idx="11" formatCode="0.00%">
                  <c:v>0.20599999999999999</c:v>
                </c:pt>
                <c:pt idx="13" formatCode="0.00%">
                  <c:v>0.224</c:v>
                </c:pt>
                <c:pt idx="14" formatCode="0.00%">
                  <c:v>0.14299999999999999</c:v>
                </c:pt>
                <c:pt idx="15" formatCode="0.00%">
                  <c:v>0.18</c:v>
                </c:pt>
                <c:pt idx="16" formatCode="0.00%">
                  <c:v>0.218</c:v>
                </c:pt>
                <c:pt idx="18" formatCode="0.00%">
                  <c:v>0.16</c:v>
                </c:pt>
                <c:pt idx="19" formatCode="0.00%">
                  <c:v>0.18</c:v>
                </c:pt>
                <c:pt idx="20" formatCode="0.00%">
                  <c:v>0.23</c:v>
                </c:pt>
                <c:pt idx="21" formatCode="0.00%">
                  <c:v>0.189</c:v>
                </c:pt>
                <c:pt idx="22" formatCode="0.00%">
                  <c:v>0.21</c:v>
                </c:pt>
                <c:pt idx="23" formatCode="0.00%">
                  <c:v>0.2</c:v>
                </c:pt>
              </c:numCache>
            </c:numRef>
          </c:val>
          <c:extLst>
            <c:ext xmlns:c16="http://schemas.microsoft.com/office/drawing/2014/chart" uri="{C3380CC4-5D6E-409C-BE32-E72D297353CC}">
              <c16:uniqueId val="{00000000-E81D-4E87-9D89-3F3C01001164}"/>
            </c:ext>
          </c:extLst>
        </c:ser>
        <c:ser>
          <c:idx val="1"/>
          <c:order val="1"/>
          <c:tx>
            <c:strRef>
              <c:f>Arkusz1!$C$1</c:f>
              <c:strCache>
                <c:ptCount val="1"/>
                <c:pt idx="0">
                  <c:v>2</c:v>
                </c:pt>
              </c:strCache>
            </c:strRef>
          </c:tx>
          <c:spPr>
            <a:solidFill>
              <a:schemeClr val="bg1">
                <a:lumMod val="85000"/>
              </a:schemeClr>
            </a:solidFill>
            <a:ln>
              <a:noFill/>
            </a:ln>
            <a:effectLst/>
          </c:spPr>
          <c:invertIfNegative val="0"/>
          <c:dLbls>
            <c:dLbl>
              <c:idx val="19"/>
              <c:numFmt formatCode="0%" sourceLinked="0"/>
              <c:spPr>
                <a:solidFill>
                  <a:srgbClr val="EE0000"/>
                </a:solid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bg1"/>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extLst>
                <c:ext xmlns:c16="http://schemas.microsoft.com/office/drawing/2014/chart" uri="{C3380CC4-5D6E-409C-BE32-E72D297353CC}">
                  <c16:uniqueId val="{00000000-05B2-4EEE-80D2-7B5B8A85FF13}"/>
                </c:ext>
              </c:extLst>
            </c:dLbl>
            <c:numFmt formatCode="0%" sourceLinked="0"/>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Arkusz1!$A$2:$A$25</c:f>
              <c:strCache>
                <c:ptCount val="24"/>
                <c:pt idx="0">
                  <c:v>Ogółem</c:v>
                </c:pt>
                <c:pt idx="2">
                  <c:v>Kobiety</c:v>
                </c:pt>
                <c:pt idx="3">
                  <c:v>Mężczyźni</c:v>
                </c:pt>
                <c:pt idx="5">
                  <c:v>15–19 lat</c:v>
                </c:pt>
                <c:pt idx="6">
                  <c:v>20–24 lata</c:v>
                </c:pt>
                <c:pt idx="7">
                  <c:v>25–34 lata</c:v>
                </c:pt>
                <c:pt idx="8">
                  <c:v>35–44 lata</c:v>
                </c:pt>
                <c:pt idx="9">
                  <c:v>45–54 lata</c:v>
                </c:pt>
                <c:pt idx="10">
                  <c:v>55–64 lata</c:v>
                </c:pt>
                <c:pt idx="11">
                  <c:v>65+</c:v>
                </c:pt>
                <c:pt idx="13">
                  <c:v>Wykształcenie wyższe</c:v>
                </c:pt>
                <c:pt idx="14">
                  <c:v>Średnie</c:v>
                </c:pt>
                <c:pt idx="15">
                  <c:v>Zawodowe</c:v>
                </c:pt>
                <c:pt idx="16">
                  <c:v>Podstawowe</c:v>
                </c:pt>
                <c:pt idx="18">
                  <c:v>Wieś</c:v>
                </c:pt>
                <c:pt idx="19">
                  <c:v>Do 20 tys.</c:v>
                </c:pt>
                <c:pt idx="20">
                  <c:v>20–49 tys.</c:v>
                </c:pt>
                <c:pt idx="21">
                  <c:v>50–199 tys.</c:v>
                </c:pt>
                <c:pt idx="22">
                  <c:v>200–499 tys.</c:v>
                </c:pt>
                <c:pt idx="23">
                  <c:v>500+ tys.</c:v>
                </c:pt>
              </c:strCache>
            </c:strRef>
          </c:cat>
          <c:val>
            <c:numRef>
              <c:f>Arkusz1!$C$2:$C$25</c:f>
              <c:numCache>
                <c:formatCode>General</c:formatCode>
                <c:ptCount val="24"/>
                <c:pt idx="0" formatCode="0.00%">
                  <c:v>0.34100000000000003</c:v>
                </c:pt>
                <c:pt idx="2" formatCode="0.00%">
                  <c:v>0.34699999999999998</c:v>
                </c:pt>
                <c:pt idx="3" formatCode="0.00%">
                  <c:v>0.33600000000000002</c:v>
                </c:pt>
                <c:pt idx="5" formatCode="0.00%">
                  <c:v>0.28799999999999998</c:v>
                </c:pt>
                <c:pt idx="6" formatCode="0.00%">
                  <c:v>0.39300000000000002</c:v>
                </c:pt>
                <c:pt idx="7" formatCode="0.00%">
                  <c:v>0.34</c:v>
                </c:pt>
                <c:pt idx="8" formatCode="0.00%">
                  <c:v>0.39100000000000001</c:v>
                </c:pt>
                <c:pt idx="9" formatCode="0.00%">
                  <c:v>0.32600000000000001</c:v>
                </c:pt>
                <c:pt idx="10" formatCode="0.00%">
                  <c:v>0.315</c:v>
                </c:pt>
                <c:pt idx="11" formatCode="0.00%">
                  <c:v>0.32500000000000001</c:v>
                </c:pt>
                <c:pt idx="13" formatCode="0.00%">
                  <c:v>0.34699999999999998</c:v>
                </c:pt>
                <c:pt idx="14" formatCode="0.00%">
                  <c:v>0.35299999999999998</c:v>
                </c:pt>
                <c:pt idx="15" formatCode="0.00%">
                  <c:v>0.33100000000000002</c:v>
                </c:pt>
                <c:pt idx="16" formatCode="0.00%">
                  <c:v>0.31900000000000001</c:v>
                </c:pt>
                <c:pt idx="18" formatCode="0.00%">
                  <c:v>0.373</c:v>
                </c:pt>
                <c:pt idx="19" formatCode="0.00%">
                  <c:v>0.38500000000000001</c:v>
                </c:pt>
                <c:pt idx="20" formatCode="0.00%">
                  <c:v>0.30099999999999999</c:v>
                </c:pt>
                <c:pt idx="21" formatCode="0.00%">
                  <c:v>0.315</c:v>
                </c:pt>
                <c:pt idx="22" formatCode="0.00%">
                  <c:v>0.27200000000000002</c:v>
                </c:pt>
                <c:pt idx="23" formatCode="0.00%">
                  <c:v>0.313</c:v>
                </c:pt>
              </c:numCache>
            </c:numRef>
          </c:val>
          <c:extLst>
            <c:ext xmlns:c16="http://schemas.microsoft.com/office/drawing/2014/chart" uri="{C3380CC4-5D6E-409C-BE32-E72D297353CC}">
              <c16:uniqueId val="{00000001-E81D-4E87-9D89-3F3C01001164}"/>
            </c:ext>
          </c:extLst>
        </c:ser>
        <c:ser>
          <c:idx val="2"/>
          <c:order val="2"/>
          <c:tx>
            <c:strRef>
              <c:f>Arkusz1!$D$1</c:f>
              <c:strCache>
                <c:ptCount val="1"/>
                <c:pt idx="0">
                  <c:v>3</c:v>
                </c:pt>
              </c:strCache>
            </c:strRef>
          </c:tx>
          <c:spPr>
            <a:solidFill>
              <a:schemeClr val="accent3"/>
            </a:solidFill>
            <a:ln>
              <a:noFill/>
            </a:ln>
            <a:effectLst/>
          </c:spPr>
          <c:invertIfNegative val="0"/>
          <c:dLbls>
            <c:dLbl>
              <c:idx val="5"/>
              <c:numFmt formatCode="0%" sourceLinked="0"/>
              <c:spPr>
                <a:solidFill>
                  <a:srgbClr val="EE0000"/>
                </a:solid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bg1"/>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extLst>
                <c:ext xmlns:c16="http://schemas.microsoft.com/office/drawing/2014/chart" uri="{C3380CC4-5D6E-409C-BE32-E72D297353CC}">
                  <c16:uniqueId val="{00000003-05B2-4EEE-80D2-7B5B8A85FF13}"/>
                </c:ext>
              </c:extLst>
            </c:dLbl>
            <c:dLbl>
              <c:idx val="19"/>
              <c:numFmt formatCode="0%" sourceLinked="0"/>
              <c:spPr>
                <a:solidFill>
                  <a:srgbClr val="00B0F0"/>
                </a:solid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bg1"/>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extLst>
                <c:ext xmlns:c16="http://schemas.microsoft.com/office/drawing/2014/chart" uri="{C3380CC4-5D6E-409C-BE32-E72D297353CC}">
                  <c16:uniqueId val="{00000001-05B2-4EEE-80D2-7B5B8A85FF13}"/>
                </c:ext>
              </c:extLst>
            </c:dLbl>
            <c:numFmt formatCode="0%" sourceLinked="0"/>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Arkusz1!$A$2:$A$25</c:f>
              <c:strCache>
                <c:ptCount val="24"/>
                <c:pt idx="0">
                  <c:v>Ogółem</c:v>
                </c:pt>
                <c:pt idx="2">
                  <c:v>Kobiety</c:v>
                </c:pt>
                <c:pt idx="3">
                  <c:v>Mężczyźni</c:v>
                </c:pt>
                <c:pt idx="5">
                  <c:v>15–19 lat</c:v>
                </c:pt>
                <c:pt idx="6">
                  <c:v>20–24 lata</c:v>
                </c:pt>
                <c:pt idx="7">
                  <c:v>25–34 lata</c:v>
                </c:pt>
                <c:pt idx="8">
                  <c:v>35–44 lata</c:v>
                </c:pt>
                <c:pt idx="9">
                  <c:v>45–54 lata</c:v>
                </c:pt>
                <c:pt idx="10">
                  <c:v>55–64 lata</c:v>
                </c:pt>
                <c:pt idx="11">
                  <c:v>65+</c:v>
                </c:pt>
                <c:pt idx="13">
                  <c:v>Wykształcenie wyższe</c:v>
                </c:pt>
                <c:pt idx="14">
                  <c:v>Średnie</c:v>
                </c:pt>
                <c:pt idx="15">
                  <c:v>Zawodowe</c:v>
                </c:pt>
                <c:pt idx="16">
                  <c:v>Podstawowe</c:v>
                </c:pt>
                <c:pt idx="18">
                  <c:v>Wieś</c:v>
                </c:pt>
                <c:pt idx="19">
                  <c:v>Do 20 tys.</c:v>
                </c:pt>
                <c:pt idx="20">
                  <c:v>20–49 tys.</c:v>
                </c:pt>
                <c:pt idx="21">
                  <c:v>50–199 tys.</c:v>
                </c:pt>
                <c:pt idx="22">
                  <c:v>200–499 tys.</c:v>
                </c:pt>
                <c:pt idx="23">
                  <c:v>500+ tys.</c:v>
                </c:pt>
              </c:strCache>
            </c:strRef>
          </c:cat>
          <c:val>
            <c:numRef>
              <c:f>Arkusz1!$D$2:$D$25</c:f>
              <c:numCache>
                <c:formatCode>General</c:formatCode>
                <c:ptCount val="24"/>
                <c:pt idx="0" formatCode="0.00%">
                  <c:v>0.29399999999999998</c:v>
                </c:pt>
                <c:pt idx="2" formatCode="0.00%">
                  <c:v>0.28999999999999998</c:v>
                </c:pt>
                <c:pt idx="3" formatCode="0.00%">
                  <c:v>0.29799999999999999</c:v>
                </c:pt>
                <c:pt idx="5" formatCode="0.00%">
                  <c:v>0.42399999999999999</c:v>
                </c:pt>
                <c:pt idx="6" formatCode="0.00%">
                  <c:v>0.27900000000000003</c:v>
                </c:pt>
                <c:pt idx="7" formatCode="0.00%">
                  <c:v>0.29899999999999999</c:v>
                </c:pt>
                <c:pt idx="8" formatCode="0.00%">
                  <c:v>0.28100000000000003</c:v>
                </c:pt>
                <c:pt idx="9" formatCode="0.00%">
                  <c:v>0.28399999999999997</c:v>
                </c:pt>
                <c:pt idx="10" formatCode="0.00%">
                  <c:v>0.252</c:v>
                </c:pt>
                <c:pt idx="11" formatCode="0.00%">
                  <c:v>0.30299999999999999</c:v>
                </c:pt>
                <c:pt idx="13" formatCode="0.00%">
                  <c:v>0.254</c:v>
                </c:pt>
                <c:pt idx="14" formatCode="0.00%">
                  <c:v>0.313</c:v>
                </c:pt>
                <c:pt idx="15" formatCode="0.00%">
                  <c:v>0.32600000000000001</c:v>
                </c:pt>
                <c:pt idx="16" formatCode="0.00%">
                  <c:v>0.26900000000000002</c:v>
                </c:pt>
                <c:pt idx="18" formatCode="0.00%">
                  <c:v>0.29099999999999998</c:v>
                </c:pt>
                <c:pt idx="19" formatCode="0.00%">
                  <c:v>0.246</c:v>
                </c:pt>
                <c:pt idx="20" formatCode="0.00%">
                  <c:v>0.25700000000000001</c:v>
                </c:pt>
                <c:pt idx="21" formatCode="0.00%">
                  <c:v>0.308</c:v>
                </c:pt>
                <c:pt idx="22" formatCode="0.00%">
                  <c:v>0.33300000000000002</c:v>
                </c:pt>
                <c:pt idx="23" formatCode="0.00%">
                  <c:v>0.34799999999999998</c:v>
                </c:pt>
              </c:numCache>
            </c:numRef>
          </c:val>
          <c:extLst>
            <c:ext xmlns:c16="http://schemas.microsoft.com/office/drawing/2014/chart" uri="{C3380CC4-5D6E-409C-BE32-E72D297353CC}">
              <c16:uniqueId val="{00000002-E81D-4E87-9D89-3F3C01001164}"/>
            </c:ext>
          </c:extLst>
        </c:ser>
        <c:ser>
          <c:idx val="3"/>
          <c:order val="3"/>
          <c:tx>
            <c:strRef>
              <c:f>Arkusz1!$E$1</c:f>
              <c:strCache>
                <c:ptCount val="1"/>
                <c:pt idx="0">
                  <c:v>4</c:v>
                </c:pt>
              </c:strCache>
            </c:strRef>
          </c:tx>
          <c:spPr>
            <a:solidFill>
              <a:schemeClr val="accent4"/>
            </a:solidFill>
            <a:ln>
              <a:noFill/>
            </a:ln>
            <a:effectLst/>
          </c:spPr>
          <c:invertIfNegative val="0"/>
          <c:dLbls>
            <c:dLbl>
              <c:idx val="5"/>
              <c:numFmt formatCode="0%" sourceLinked="0"/>
              <c:spPr>
                <a:solidFill>
                  <a:srgbClr val="00B0F0"/>
                </a:solid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bg1"/>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extLst>
                <c:ext xmlns:c16="http://schemas.microsoft.com/office/drawing/2014/chart" uri="{C3380CC4-5D6E-409C-BE32-E72D297353CC}">
                  <c16:uniqueId val="{00000004-05B2-4EEE-80D2-7B5B8A85FF13}"/>
                </c:ext>
              </c:extLst>
            </c:dLbl>
            <c:dLbl>
              <c:idx val="23"/>
              <c:numFmt formatCode="0%" sourceLinked="0"/>
              <c:spPr>
                <a:solidFill>
                  <a:srgbClr val="00B0F0"/>
                </a:solid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bg1"/>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extLst>
                <c:ext xmlns:c16="http://schemas.microsoft.com/office/drawing/2014/chart" uri="{C3380CC4-5D6E-409C-BE32-E72D297353CC}">
                  <c16:uniqueId val="{00000005-05B2-4EEE-80D2-7B5B8A85FF13}"/>
                </c:ext>
              </c:extLst>
            </c:dLbl>
            <c:numFmt formatCode="0%" sourceLinked="0"/>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Arkusz1!$A$2:$A$25</c:f>
              <c:strCache>
                <c:ptCount val="24"/>
                <c:pt idx="0">
                  <c:v>Ogółem</c:v>
                </c:pt>
                <c:pt idx="2">
                  <c:v>Kobiety</c:v>
                </c:pt>
                <c:pt idx="3">
                  <c:v>Mężczyźni</c:v>
                </c:pt>
                <c:pt idx="5">
                  <c:v>15–19 lat</c:v>
                </c:pt>
                <c:pt idx="6">
                  <c:v>20–24 lata</c:v>
                </c:pt>
                <c:pt idx="7">
                  <c:v>25–34 lata</c:v>
                </c:pt>
                <c:pt idx="8">
                  <c:v>35–44 lata</c:v>
                </c:pt>
                <c:pt idx="9">
                  <c:v>45–54 lata</c:v>
                </c:pt>
                <c:pt idx="10">
                  <c:v>55–64 lata</c:v>
                </c:pt>
                <c:pt idx="11">
                  <c:v>65+</c:v>
                </c:pt>
                <c:pt idx="13">
                  <c:v>Wykształcenie wyższe</c:v>
                </c:pt>
                <c:pt idx="14">
                  <c:v>Średnie</c:v>
                </c:pt>
                <c:pt idx="15">
                  <c:v>Zawodowe</c:v>
                </c:pt>
                <c:pt idx="16">
                  <c:v>Podstawowe</c:v>
                </c:pt>
                <c:pt idx="18">
                  <c:v>Wieś</c:v>
                </c:pt>
                <c:pt idx="19">
                  <c:v>Do 20 tys.</c:v>
                </c:pt>
                <c:pt idx="20">
                  <c:v>20–49 tys.</c:v>
                </c:pt>
                <c:pt idx="21">
                  <c:v>50–199 tys.</c:v>
                </c:pt>
                <c:pt idx="22">
                  <c:v>200–499 tys.</c:v>
                </c:pt>
                <c:pt idx="23">
                  <c:v>500+ tys.</c:v>
                </c:pt>
              </c:strCache>
            </c:strRef>
          </c:cat>
          <c:val>
            <c:numRef>
              <c:f>Arkusz1!$E$2:$E$25</c:f>
              <c:numCache>
                <c:formatCode>General</c:formatCode>
                <c:ptCount val="24"/>
                <c:pt idx="0" formatCode="0.00%">
                  <c:v>0.112</c:v>
                </c:pt>
                <c:pt idx="2" formatCode="0.00%">
                  <c:v>0.12</c:v>
                </c:pt>
                <c:pt idx="3" formatCode="0.00%">
                  <c:v>0.105</c:v>
                </c:pt>
                <c:pt idx="5" formatCode="0.00%">
                  <c:v>6.8000000000000005E-2</c:v>
                </c:pt>
                <c:pt idx="6" formatCode="0.00%">
                  <c:v>9.8000000000000004E-2</c:v>
                </c:pt>
                <c:pt idx="7" formatCode="0.00%">
                  <c:v>0.122</c:v>
                </c:pt>
                <c:pt idx="8" formatCode="0.00%">
                  <c:v>0.104</c:v>
                </c:pt>
                <c:pt idx="9" formatCode="0.00%">
                  <c:v>0.13500000000000001</c:v>
                </c:pt>
                <c:pt idx="10" formatCode="0.00%">
                  <c:v>0.14199999999999999</c:v>
                </c:pt>
                <c:pt idx="11" formatCode="0.00%">
                  <c:v>9.6000000000000002E-2</c:v>
                </c:pt>
                <c:pt idx="13" formatCode="0.00%">
                  <c:v>0.127</c:v>
                </c:pt>
                <c:pt idx="14" formatCode="0.00%">
                  <c:v>0.11600000000000001</c:v>
                </c:pt>
                <c:pt idx="15" formatCode="0.00%">
                  <c:v>8.4000000000000005E-2</c:v>
                </c:pt>
                <c:pt idx="16" formatCode="0.00%">
                  <c:v>0.126</c:v>
                </c:pt>
                <c:pt idx="18" formatCode="0.00%">
                  <c:v>0.11799999999999999</c:v>
                </c:pt>
                <c:pt idx="19" formatCode="0.00%">
                  <c:v>0.107</c:v>
                </c:pt>
                <c:pt idx="20" formatCode="0.00%">
                  <c:v>0.13300000000000001</c:v>
                </c:pt>
                <c:pt idx="21" formatCode="0.00%">
                  <c:v>0.112</c:v>
                </c:pt>
                <c:pt idx="22" formatCode="0.00%">
                  <c:v>0.111</c:v>
                </c:pt>
                <c:pt idx="23" formatCode="0.00%">
                  <c:v>7.8E-2</c:v>
                </c:pt>
              </c:numCache>
            </c:numRef>
          </c:val>
          <c:extLst>
            <c:ext xmlns:c16="http://schemas.microsoft.com/office/drawing/2014/chart" uri="{C3380CC4-5D6E-409C-BE32-E72D297353CC}">
              <c16:uniqueId val="{00000003-E81D-4E87-9D89-3F3C01001164}"/>
            </c:ext>
          </c:extLst>
        </c:ser>
        <c:ser>
          <c:idx val="4"/>
          <c:order val="4"/>
          <c:tx>
            <c:strRef>
              <c:f>Arkusz1!$F$1</c:f>
              <c:strCache>
                <c:ptCount val="1"/>
                <c:pt idx="0">
                  <c:v>5</c:v>
                </c:pt>
              </c:strCache>
            </c:strRef>
          </c:tx>
          <c:spPr>
            <a:solidFill>
              <a:schemeClr val="accent5"/>
            </a:solidFill>
            <a:ln>
              <a:noFill/>
            </a:ln>
            <a:effectLst/>
          </c:spPr>
          <c:invertIfNegative val="0"/>
          <c:cat>
            <c:strRef>
              <c:f>Arkusz1!$A$2:$A$25</c:f>
              <c:strCache>
                <c:ptCount val="24"/>
                <c:pt idx="0">
                  <c:v>Ogółem</c:v>
                </c:pt>
                <c:pt idx="2">
                  <c:v>Kobiety</c:v>
                </c:pt>
                <c:pt idx="3">
                  <c:v>Mężczyźni</c:v>
                </c:pt>
                <c:pt idx="5">
                  <c:v>15–19 lat</c:v>
                </c:pt>
                <c:pt idx="6">
                  <c:v>20–24 lata</c:v>
                </c:pt>
                <c:pt idx="7">
                  <c:v>25–34 lata</c:v>
                </c:pt>
                <c:pt idx="8">
                  <c:v>35–44 lata</c:v>
                </c:pt>
                <c:pt idx="9">
                  <c:v>45–54 lata</c:v>
                </c:pt>
                <c:pt idx="10">
                  <c:v>55–64 lata</c:v>
                </c:pt>
                <c:pt idx="11">
                  <c:v>65+</c:v>
                </c:pt>
                <c:pt idx="13">
                  <c:v>Wykształcenie wyższe</c:v>
                </c:pt>
                <c:pt idx="14">
                  <c:v>Średnie</c:v>
                </c:pt>
                <c:pt idx="15">
                  <c:v>Zawodowe</c:v>
                </c:pt>
                <c:pt idx="16">
                  <c:v>Podstawowe</c:v>
                </c:pt>
                <c:pt idx="18">
                  <c:v>Wieś</c:v>
                </c:pt>
                <c:pt idx="19">
                  <c:v>Do 20 tys.</c:v>
                </c:pt>
                <c:pt idx="20">
                  <c:v>20–49 tys.</c:v>
                </c:pt>
                <c:pt idx="21">
                  <c:v>50–199 tys.</c:v>
                </c:pt>
                <c:pt idx="22">
                  <c:v>200–499 tys.</c:v>
                </c:pt>
                <c:pt idx="23">
                  <c:v>500+ tys.</c:v>
                </c:pt>
              </c:strCache>
            </c:strRef>
          </c:cat>
          <c:val>
            <c:numRef>
              <c:f>Arkusz1!$F$2:$F$25</c:f>
              <c:numCache>
                <c:formatCode>General</c:formatCode>
                <c:ptCount val="24"/>
                <c:pt idx="0" formatCode="0.00%">
                  <c:v>0.02</c:v>
                </c:pt>
                <c:pt idx="2" formatCode="0.00%">
                  <c:v>0.02</c:v>
                </c:pt>
                <c:pt idx="3" formatCode="0.00%">
                  <c:v>0.02</c:v>
                </c:pt>
                <c:pt idx="5" formatCode="0%">
                  <c:v>0</c:v>
                </c:pt>
                <c:pt idx="6" formatCode="0%">
                  <c:v>0</c:v>
                </c:pt>
                <c:pt idx="7" formatCode="0.00%">
                  <c:v>0.02</c:v>
                </c:pt>
                <c:pt idx="8" formatCode="0.00%">
                  <c:v>2.1000000000000001E-2</c:v>
                </c:pt>
                <c:pt idx="9" formatCode="0.00%">
                  <c:v>4.2999999999999997E-2</c:v>
                </c:pt>
                <c:pt idx="10" formatCode="0.00%">
                  <c:v>1.6E-2</c:v>
                </c:pt>
                <c:pt idx="11" formatCode="0.00%">
                  <c:v>1.7999999999999999E-2</c:v>
                </c:pt>
                <c:pt idx="13" formatCode="0.00%">
                  <c:v>1.0999999999999999E-2</c:v>
                </c:pt>
                <c:pt idx="14" formatCode="0.00%">
                  <c:v>2.1000000000000001E-2</c:v>
                </c:pt>
                <c:pt idx="15" formatCode="0.00%">
                  <c:v>3.3000000000000002E-2</c:v>
                </c:pt>
                <c:pt idx="16" formatCode="0.00%">
                  <c:v>8.0000000000000002E-3</c:v>
                </c:pt>
                <c:pt idx="18" formatCode="0.00%">
                  <c:v>2.1000000000000001E-2</c:v>
                </c:pt>
                <c:pt idx="19" formatCode="0.00%">
                  <c:v>2.5000000000000001E-2</c:v>
                </c:pt>
                <c:pt idx="20" formatCode="0.00%">
                  <c:v>1.7999999999999999E-2</c:v>
                </c:pt>
                <c:pt idx="21" formatCode="0.00%">
                  <c:v>2.8000000000000001E-2</c:v>
                </c:pt>
                <c:pt idx="22" formatCode="0%">
                  <c:v>0</c:v>
                </c:pt>
                <c:pt idx="23" formatCode="0.00%">
                  <c:v>1.7000000000000001E-2</c:v>
                </c:pt>
              </c:numCache>
            </c:numRef>
          </c:val>
          <c:extLst>
            <c:ext xmlns:c16="http://schemas.microsoft.com/office/drawing/2014/chart" uri="{C3380CC4-5D6E-409C-BE32-E72D297353CC}">
              <c16:uniqueId val="{00000004-E81D-4E87-9D89-3F3C01001164}"/>
            </c:ext>
          </c:extLst>
        </c:ser>
        <c:ser>
          <c:idx val="5"/>
          <c:order val="5"/>
          <c:tx>
            <c:strRef>
              <c:f>Arkusz1!$G$1</c:f>
              <c:strCache>
                <c:ptCount val="1"/>
                <c:pt idx="0">
                  <c:v>6 - wiem prawie wszystko o FE</c:v>
                </c:pt>
              </c:strCache>
            </c:strRef>
          </c:tx>
          <c:spPr>
            <a:solidFill>
              <a:schemeClr val="accent6"/>
            </a:solidFill>
            <a:ln>
              <a:noFill/>
            </a:ln>
            <a:effectLst/>
          </c:spPr>
          <c:invertIfNegative val="0"/>
          <c:dLbls>
            <c:numFmt formatCode="0%" sourceLinked="0"/>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bg1"/>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Arkusz1!$A$2:$A$25</c:f>
              <c:strCache>
                <c:ptCount val="24"/>
                <c:pt idx="0">
                  <c:v>Ogółem</c:v>
                </c:pt>
                <c:pt idx="2">
                  <c:v>Kobiety</c:v>
                </c:pt>
                <c:pt idx="3">
                  <c:v>Mężczyźni</c:v>
                </c:pt>
                <c:pt idx="5">
                  <c:v>15–19 lat</c:v>
                </c:pt>
                <c:pt idx="6">
                  <c:v>20–24 lata</c:v>
                </c:pt>
                <c:pt idx="7">
                  <c:v>25–34 lata</c:v>
                </c:pt>
                <c:pt idx="8">
                  <c:v>35–44 lata</c:v>
                </c:pt>
                <c:pt idx="9">
                  <c:v>45–54 lata</c:v>
                </c:pt>
                <c:pt idx="10">
                  <c:v>55–64 lata</c:v>
                </c:pt>
                <c:pt idx="11">
                  <c:v>65+</c:v>
                </c:pt>
                <c:pt idx="13">
                  <c:v>Wykształcenie wyższe</c:v>
                </c:pt>
                <c:pt idx="14">
                  <c:v>Średnie</c:v>
                </c:pt>
                <c:pt idx="15">
                  <c:v>Zawodowe</c:v>
                </c:pt>
                <c:pt idx="16">
                  <c:v>Podstawowe</c:v>
                </c:pt>
                <c:pt idx="18">
                  <c:v>Wieś</c:v>
                </c:pt>
                <c:pt idx="19">
                  <c:v>Do 20 tys.</c:v>
                </c:pt>
                <c:pt idx="20">
                  <c:v>20–49 tys.</c:v>
                </c:pt>
                <c:pt idx="21">
                  <c:v>50–199 tys.</c:v>
                </c:pt>
                <c:pt idx="22">
                  <c:v>200–499 tys.</c:v>
                </c:pt>
                <c:pt idx="23">
                  <c:v>500+ tys.</c:v>
                </c:pt>
              </c:strCache>
            </c:strRef>
          </c:cat>
          <c:val>
            <c:numRef>
              <c:f>Arkusz1!$G$2:$G$25</c:f>
              <c:numCache>
                <c:formatCode>General</c:formatCode>
                <c:ptCount val="24"/>
                <c:pt idx="0" formatCode="0.00%">
                  <c:v>0.03</c:v>
                </c:pt>
                <c:pt idx="2" formatCode="0.00%">
                  <c:v>2.4E-2</c:v>
                </c:pt>
                <c:pt idx="3" formatCode="0.00%">
                  <c:v>3.5999999999999997E-2</c:v>
                </c:pt>
                <c:pt idx="5" formatCode="0.00%">
                  <c:v>5.0999999999999997E-2</c:v>
                </c:pt>
                <c:pt idx="6" formatCode="0.00%">
                  <c:v>1.6E-2</c:v>
                </c:pt>
                <c:pt idx="7" formatCode="0.00%">
                  <c:v>4.8000000000000001E-2</c:v>
                </c:pt>
                <c:pt idx="8" formatCode="0.00%">
                  <c:v>2.1000000000000001E-2</c:v>
                </c:pt>
                <c:pt idx="9" formatCode="0.00%">
                  <c:v>2.8000000000000001E-2</c:v>
                </c:pt>
                <c:pt idx="10" formatCode="0.00%">
                  <c:v>1.6E-2</c:v>
                </c:pt>
                <c:pt idx="11" formatCode="0.00%">
                  <c:v>3.5000000000000003E-2</c:v>
                </c:pt>
                <c:pt idx="13" formatCode="0.00%">
                  <c:v>0.03</c:v>
                </c:pt>
                <c:pt idx="14" formatCode="0.00%">
                  <c:v>3.3000000000000002E-2</c:v>
                </c:pt>
                <c:pt idx="15" formatCode="0.00%">
                  <c:v>2.9000000000000001E-2</c:v>
                </c:pt>
                <c:pt idx="16" formatCode="0.00%">
                  <c:v>2.5000000000000001E-2</c:v>
                </c:pt>
                <c:pt idx="18" formatCode="0.00%">
                  <c:v>2.1000000000000001E-2</c:v>
                </c:pt>
                <c:pt idx="19" formatCode="0.00%">
                  <c:v>4.1000000000000002E-2</c:v>
                </c:pt>
                <c:pt idx="20" formatCode="0.00%">
                  <c:v>2.7E-2</c:v>
                </c:pt>
                <c:pt idx="21" formatCode="0.00%">
                  <c:v>4.2000000000000003E-2</c:v>
                </c:pt>
                <c:pt idx="22" formatCode="0.00%">
                  <c:v>4.9000000000000002E-2</c:v>
                </c:pt>
                <c:pt idx="23" formatCode="0.00%">
                  <c:v>2.5999999999999999E-2</c:v>
                </c:pt>
              </c:numCache>
            </c:numRef>
          </c:val>
          <c:extLst>
            <c:ext xmlns:c16="http://schemas.microsoft.com/office/drawing/2014/chart" uri="{C3380CC4-5D6E-409C-BE32-E72D297353CC}">
              <c16:uniqueId val="{00000005-E81D-4E87-9D89-3F3C01001164}"/>
            </c:ext>
          </c:extLst>
        </c:ser>
        <c:ser>
          <c:idx val="6"/>
          <c:order val="6"/>
          <c:tx>
            <c:strRef>
              <c:f>Arkusz1!$H$1</c:f>
              <c:strCache>
                <c:ptCount val="1"/>
                <c:pt idx="0">
                  <c:v>nie wiem</c:v>
                </c:pt>
              </c:strCache>
            </c:strRef>
          </c:tx>
          <c:spPr>
            <a:solidFill>
              <a:schemeClr val="accent1">
                <a:lumMod val="60000"/>
              </a:schemeClr>
            </a:solidFill>
            <a:ln>
              <a:noFill/>
            </a:ln>
            <a:effectLst/>
          </c:spPr>
          <c:invertIfNegative val="0"/>
          <c:dLbls>
            <c:dLbl>
              <c:idx val="6"/>
              <c:delete val="1"/>
              <c:extLst>
                <c:ext xmlns:c15="http://schemas.microsoft.com/office/drawing/2012/chart" uri="{CE6537A1-D6FC-4f65-9D91-7224C49458BB}"/>
                <c:ext xmlns:c16="http://schemas.microsoft.com/office/drawing/2014/chart" uri="{C3380CC4-5D6E-409C-BE32-E72D297353CC}">
                  <c16:uniqueId val="{00000000-AB1E-4DBE-8645-8ECCE17AEDF0}"/>
                </c:ext>
              </c:extLst>
            </c:dLbl>
            <c:numFmt formatCode="0%" sourceLinked="0"/>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mn-lt"/>
                    <a:ea typeface="+mn-ea"/>
                    <a:cs typeface="+mn-cs"/>
                  </a:defRPr>
                </a:pPr>
                <a:endParaRPr lang="pl-PL"/>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Arkusz1!$A$2:$A$25</c:f>
              <c:strCache>
                <c:ptCount val="24"/>
                <c:pt idx="0">
                  <c:v>Ogółem</c:v>
                </c:pt>
                <c:pt idx="2">
                  <c:v>Kobiety</c:v>
                </c:pt>
                <c:pt idx="3">
                  <c:v>Mężczyźni</c:v>
                </c:pt>
                <c:pt idx="5">
                  <c:v>15–19 lat</c:v>
                </c:pt>
                <c:pt idx="6">
                  <c:v>20–24 lata</c:v>
                </c:pt>
                <c:pt idx="7">
                  <c:v>25–34 lata</c:v>
                </c:pt>
                <c:pt idx="8">
                  <c:v>35–44 lata</c:v>
                </c:pt>
                <c:pt idx="9">
                  <c:v>45–54 lata</c:v>
                </c:pt>
                <c:pt idx="10">
                  <c:v>55–64 lata</c:v>
                </c:pt>
                <c:pt idx="11">
                  <c:v>65+</c:v>
                </c:pt>
                <c:pt idx="13">
                  <c:v>Wykształcenie wyższe</c:v>
                </c:pt>
                <c:pt idx="14">
                  <c:v>Średnie</c:v>
                </c:pt>
                <c:pt idx="15">
                  <c:v>Zawodowe</c:v>
                </c:pt>
                <c:pt idx="16">
                  <c:v>Podstawowe</c:v>
                </c:pt>
                <c:pt idx="18">
                  <c:v>Wieś</c:v>
                </c:pt>
                <c:pt idx="19">
                  <c:v>Do 20 tys.</c:v>
                </c:pt>
                <c:pt idx="20">
                  <c:v>20–49 tys.</c:v>
                </c:pt>
                <c:pt idx="21">
                  <c:v>50–199 tys.</c:v>
                </c:pt>
                <c:pt idx="22">
                  <c:v>200–499 tys.</c:v>
                </c:pt>
                <c:pt idx="23">
                  <c:v>500+ tys.</c:v>
                </c:pt>
              </c:strCache>
            </c:strRef>
          </c:cat>
          <c:val>
            <c:numRef>
              <c:f>Arkusz1!$H$2:$H$25</c:f>
              <c:numCache>
                <c:formatCode>General</c:formatCode>
                <c:ptCount val="24"/>
                <c:pt idx="0" formatCode="0.00%">
                  <c:v>1.7999999999999999E-2</c:v>
                </c:pt>
                <c:pt idx="2" formatCode="0.00%">
                  <c:v>1.4999999999999999E-2</c:v>
                </c:pt>
                <c:pt idx="3" formatCode="0.00%">
                  <c:v>0.02</c:v>
                </c:pt>
                <c:pt idx="5" formatCode="0.00%">
                  <c:v>1.7000000000000001E-2</c:v>
                </c:pt>
                <c:pt idx="6" formatCode="0%">
                  <c:v>0</c:v>
                </c:pt>
                <c:pt idx="7" formatCode="0.00%">
                  <c:v>4.1000000000000002E-2</c:v>
                </c:pt>
                <c:pt idx="8" formatCode="0.00%">
                  <c:v>0.01</c:v>
                </c:pt>
                <c:pt idx="9" formatCode="0.00%">
                  <c:v>1.4E-2</c:v>
                </c:pt>
                <c:pt idx="10" formatCode="0.00%">
                  <c:v>1.6E-2</c:v>
                </c:pt>
                <c:pt idx="11" formatCode="0.00%">
                  <c:v>1.7999999999999999E-2</c:v>
                </c:pt>
                <c:pt idx="13" formatCode="0.00%">
                  <c:v>7.0000000000000001E-3</c:v>
                </c:pt>
                <c:pt idx="14" formatCode="0.00%">
                  <c:v>2.1000000000000001E-2</c:v>
                </c:pt>
                <c:pt idx="15" formatCode="0.00%">
                  <c:v>1.7000000000000001E-2</c:v>
                </c:pt>
                <c:pt idx="16" formatCode="0.00%">
                  <c:v>3.4000000000000002E-2</c:v>
                </c:pt>
                <c:pt idx="18" formatCode="0.00%">
                  <c:v>1.6E-2</c:v>
                </c:pt>
                <c:pt idx="19" formatCode="0.00%">
                  <c:v>1.6E-2</c:v>
                </c:pt>
                <c:pt idx="20" formatCode="0.00%">
                  <c:v>3.5000000000000003E-2</c:v>
                </c:pt>
                <c:pt idx="21" formatCode="0.00%">
                  <c:v>7.0000000000000001E-3</c:v>
                </c:pt>
                <c:pt idx="22" formatCode="0.00%">
                  <c:v>2.5000000000000001E-2</c:v>
                </c:pt>
                <c:pt idx="23" formatCode="0.00%">
                  <c:v>1.7000000000000001E-2</c:v>
                </c:pt>
              </c:numCache>
            </c:numRef>
          </c:val>
          <c:extLst>
            <c:ext xmlns:c16="http://schemas.microsoft.com/office/drawing/2014/chart" uri="{C3380CC4-5D6E-409C-BE32-E72D297353CC}">
              <c16:uniqueId val="{00000006-E81D-4E87-9D89-3F3C01001164}"/>
            </c:ext>
          </c:extLst>
        </c:ser>
        <c:dLbls>
          <c:showLegendKey val="0"/>
          <c:showVal val="0"/>
          <c:showCatName val="0"/>
          <c:showSerName val="0"/>
          <c:showPercent val="0"/>
          <c:showBubbleSize val="0"/>
        </c:dLbls>
        <c:gapWidth val="60"/>
        <c:overlap val="100"/>
        <c:axId val="875697471"/>
        <c:axId val="875698911"/>
      </c:barChart>
      <c:catAx>
        <c:axId val="875697471"/>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crossAx val="875698911"/>
        <c:crosses val="autoZero"/>
        <c:auto val="1"/>
        <c:lblAlgn val="ctr"/>
        <c:lblOffset val="100"/>
        <c:noMultiLvlLbl val="0"/>
      </c:catAx>
      <c:valAx>
        <c:axId val="875698911"/>
        <c:scaling>
          <c:orientation val="minMax"/>
        </c:scaling>
        <c:delete val="0"/>
        <c:axPos val="t"/>
        <c:majorGridlines>
          <c:spPr>
            <a:ln w="9525" cap="flat" cmpd="sng" algn="ctr">
              <a:no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crossAx val="87569747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pl-PL"/>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Arkusz1!$B$1</c:f>
              <c:strCache>
                <c:ptCount val="1"/>
                <c:pt idx="0">
                  <c:v>T2B (%)</c:v>
                </c:pt>
              </c:strCache>
            </c:strRef>
          </c:tx>
          <c:spPr>
            <a:ln w="28575" cap="rnd">
              <a:solidFill>
                <a:srgbClr val="061A3D"/>
              </a:solidFill>
              <a:round/>
            </a:ln>
            <a:effectLst/>
          </c:spPr>
          <c:marker>
            <c:symbol val="circle"/>
            <c:size val="5"/>
            <c:spPr>
              <a:solidFill>
                <a:srgbClr val="061A3D"/>
              </a:solidFill>
              <a:ln w="9525">
                <a:solidFill>
                  <a:srgbClr val="061A3D"/>
                </a:solidFill>
              </a:ln>
              <a:effectLst/>
            </c:spPr>
          </c:marker>
          <c:dLbls>
            <c:dLbl>
              <c:idx val="6"/>
              <c:spPr>
                <a:solidFill>
                  <a:srgbClr val="EE0000"/>
                </a:solid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bg1"/>
                      </a:solidFill>
                      <a:latin typeface="Arial" panose="020B0604020202020204" pitchFamily="34" charset="0"/>
                      <a:ea typeface="+mn-ea"/>
                      <a:cs typeface="Arial" panose="020B0604020202020204" pitchFamily="34" charset="0"/>
                    </a:defRPr>
                  </a:pPr>
                  <a:endParaRPr lang="pl-PL"/>
                </a:p>
              </c:txPr>
              <c:dLblPos val="t"/>
              <c:showLegendKey val="0"/>
              <c:showVal val="1"/>
              <c:showCatName val="0"/>
              <c:showSerName val="0"/>
              <c:showPercent val="0"/>
              <c:showBubbleSize val="0"/>
              <c:extLst>
                <c:ext xmlns:c16="http://schemas.microsoft.com/office/drawing/2014/chart" uri="{C3380CC4-5D6E-409C-BE32-E72D297353CC}">
                  <c16:uniqueId val="{00000000-B310-40BC-8EE5-8A076AFBAA87}"/>
                </c:ext>
              </c:extLst>
            </c:dLbl>
            <c:dLbl>
              <c:idx val="8"/>
              <c:tx>
                <c:rich>
                  <a:bodyPr rot="0" spcFirstLastPara="1" vertOverflow="ellipsis" vert="horz" wrap="square" lIns="38100" tIns="19050" rIns="38100" bIns="19050" anchor="ctr" anchorCtr="1">
                    <a:spAutoFit/>
                  </a:bodyPr>
                  <a:lstStyle/>
                  <a:p>
                    <a:pPr>
                      <a:defRPr sz="1100" b="0" i="0" u="none" strike="noStrike" kern="1200" baseline="0">
                        <a:solidFill>
                          <a:schemeClr val="tx1"/>
                        </a:solidFill>
                        <a:latin typeface="Arial" panose="020B0604020202020204" pitchFamily="34" charset="0"/>
                        <a:ea typeface="+mn-ea"/>
                        <a:cs typeface="Arial" panose="020B0604020202020204" pitchFamily="34" charset="0"/>
                      </a:defRPr>
                    </a:pPr>
                    <a:fld id="{FC3B3E19-ECA7-42A9-8846-67179F955EAD}" type="VALUE">
                      <a:rPr lang="en-US" sz="1100">
                        <a:solidFill>
                          <a:schemeClr val="bg1"/>
                        </a:solidFill>
                        <a:latin typeface="Arial" panose="020B0604020202020204" pitchFamily="34" charset="0"/>
                        <a:cs typeface="Arial" panose="020B0604020202020204" pitchFamily="34" charset="0"/>
                      </a:rPr>
                      <a:pPr>
                        <a:defRPr sz="1100">
                          <a:solidFill>
                            <a:schemeClr val="tx1"/>
                          </a:solidFill>
                          <a:latin typeface="Arial" panose="020B0604020202020204" pitchFamily="34" charset="0"/>
                          <a:cs typeface="Arial" panose="020B0604020202020204" pitchFamily="34" charset="0"/>
                        </a:defRPr>
                      </a:pPr>
                      <a:t>[WARTOŚĆ]</a:t>
                    </a:fld>
                    <a:endParaRPr lang="pl-PL"/>
                  </a:p>
                </c:rich>
              </c:tx>
              <c:spPr>
                <a:solidFill>
                  <a:srgbClr val="EE0000"/>
                </a:solid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dLblPos val="t"/>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0-C37A-4C7D-85F3-61F0D2DF1F46}"/>
                </c:ext>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Arkusz1!$A$2:$A$11</c:f>
              <c:strCache>
                <c:ptCount val="10"/>
                <c:pt idx="0">
                  <c:v>2016 N=5366</c:v>
                </c:pt>
                <c:pt idx="1">
                  <c:v>2017 N=919</c:v>
                </c:pt>
                <c:pt idx="2">
                  <c:v>2018 N=5615</c:v>
                </c:pt>
                <c:pt idx="3">
                  <c:v>2019 N=905</c:v>
                </c:pt>
                <c:pt idx="4">
                  <c:v>2020 N=5514</c:v>
                </c:pt>
                <c:pt idx="5">
                  <c:v>2021 N=887</c:v>
                </c:pt>
                <c:pt idx="6">
                  <c:v>2022 N=5279</c:v>
                </c:pt>
                <c:pt idx="7">
                  <c:v>2023 N=888</c:v>
                </c:pt>
                <c:pt idx="8">
                  <c:v>2024 N=5707</c:v>
                </c:pt>
                <c:pt idx="9">
                  <c:v>2025 N=955</c:v>
                </c:pt>
              </c:strCache>
            </c:strRef>
          </c:cat>
          <c:val>
            <c:numRef>
              <c:f>Arkusz1!$B$2:$B$11</c:f>
              <c:numCache>
                <c:formatCode>0%</c:formatCode>
                <c:ptCount val="10"/>
                <c:pt idx="0">
                  <c:v>0.21</c:v>
                </c:pt>
                <c:pt idx="1">
                  <c:v>0.19</c:v>
                </c:pt>
                <c:pt idx="2">
                  <c:v>0.25</c:v>
                </c:pt>
                <c:pt idx="3">
                  <c:v>0.2</c:v>
                </c:pt>
                <c:pt idx="4">
                  <c:v>0.28000000000000003</c:v>
                </c:pt>
                <c:pt idx="5">
                  <c:v>0.28999999999999998</c:v>
                </c:pt>
                <c:pt idx="6">
                  <c:v>0.39</c:v>
                </c:pt>
                <c:pt idx="7">
                  <c:v>0.31</c:v>
                </c:pt>
                <c:pt idx="8">
                  <c:v>0.47</c:v>
                </c:pt>
                <c:pt idx="9">
                  <c:v>0.35</c:v>
                </c:pt>
              </c:numCache>
            </c:numRef>
          </c:val>
          <c:smooth val="0"/>
          <c:extLst>
            <c:ext xmlns:c16="http://schemas.microsoft.com/office/drawing/2014/chart" uri="{C3380CC4-5D6E-409C-BE32-E72D297353CC}">
              <c16:uniqueId val="{00000000-8E72-43DF-B2CD-89BC9B8C7E0C}"/>
            </c:ext>
          </c:extLst>
        </c:ser>
        <c:dLbls>
          <c:showLegendKey val="0"/>
          <c:showVal val="0"/>
          <c:showCatName val="0"/>
          <c:showSerName val="0"/>
          <c:showPercent val="0"/>
          <c:showBubbleSize val="0"/>
        </c:dLbls>
        <c:marker val="1"/>
        <c:smooth val="0"/>
        <c:axId val="877883119"/>
        <c:axId val="877885519"/>
      </c:lineChart>
      <c:catAx>
        <c:axId val="87788311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crossAx val="877885519"/>
        <c:crosses val="autoZero"/>
        <c:auto val="1"/>
        <c:lblAlgn val="ctr"/>
        <c:lblOffset val="100"/>
        <c:noMultiLvlLbl val="0"/>
      </c:catAx>
      <c:valAx>
        <c:axId val="877885519"/>
        <c:scaling>
          <c:orientation val="minMax"/>
          <c:max val="1"/>
          <c:min val="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crossAx val="877883119"/>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pl-PL"/>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5386277730288126"/>
          <c:y val="1.8479630407391853E-2"/>
          <c:w val="0.41945793845495705"/>
          <c:h val="0.93319315975885209"/>
        </c:manualLayout>
      </c:layout>
      <c:barChart>
        <c:barDir val="bar"/>
        <c:grouping val="clustered"/>
        <c:varyColors val="0"/>
        <c:ser>
          <c:idx val="0"/>
          <c:order val="0"/>
          <c:tx>
            <c:strRef>
              <c:f>Arkusz1!$B$1</c:f>
              <c:strCache>
                <c:ptCount val="1"/>
                <c:pt idx="0">
                  <c:v>Procent</c:v>
                </c:pt>
              </c:strCache>
            </c:strRef>
          </c:tx>
          <c:spPr>
            <a:solidFill>
              <a:srgbClr val="061A3D"/>
            </a:solidFill>
            <a:ln>
              <a:noFill/>
            </a:ln>
            <a:effectLst/>
          </c:spPr>
          <c:invertIfNegative val="0"/>
          <c:dLbls>
            <c:numFmt formatCode="0%" sourceLinked="0"/>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Arkusz1!$A$2:$A$21</c:f>
              <c:strCache>
                <c:ptCount val="20"/>
                <c:pt idx="0">
                  <c:v>Infrastruktura bezpieczeństwa</c:v>
                </c:pt>
                <c:pt idx="1">
                  <c:v>Infrastruktura komunalna</c:v>
                </c:pt>
                <c:pt idx="2">
                  <c:v>Nowe miejsca pracy</c:v>
                </c:pt>
                <c:pt idx="3">
                  <c:v>Infrastruktura ekologiczna</c:v>
                </c:pt>
                <c:pt idx="4">
                  <c:v>Dopłaty dla rolników</c:v>
                </c:pt>
                <c:pt idx="5">
                  <c:v>Rozwój obszarów wiejskich</c:v>
                </c:pt>
                <c:pt idx="6">
                  <c:v>Infrastruktura edukacyjna</c:v>
                </c:pt>
                <c:pt idx="7">
                  <c:v>Wsparcie osób w trudnej sytuacji</c:v>
                </c:pt>
                <c:pt idx="8">
                  <c:v>Wsparcie dla młodych</c:v>
                </c:pt>
                <c:pt idx="9">
                  <c:v>Energetyka</c:v>
                </c:pt>
                <c:pt idx="10">
                  <c:v>Infrastruktura kulturalna</c:v>
                </c:pt>
                <c:pt idx="11">
                  <c:v>Infrastruktura miejska</c:v>
                </c:pt>
                <c:pt idx="12">
                  <c:v>Infrastruktura przemysłowa</c:v>
                </c:pt>
                <c:pt idx="13">
                  <c:v>Dopłaty i wsparcie dla firm / start-upów</c:v>
                </c:pt>
                <c:pt idx="14">
                  <c:v>Ochrona środowiska (niezależna od OZE)</c:v>
                </c:pt>
                <c:pt idx="15">
                  <c:v>Infrastruktura zdrowotna</c:v>
                </c:pt>
                <c:pt idx="16">
                  <c:v>Infrastruktura drogowa</c:v>
                </c:pt>
                <c:pt idx="17">
                  <c:v>Cyfryzacja / technologie</c:v>
                </c:pt>
                <c:pt idx="18">
                  <c:v>Szkolenia i edukacja</c:v>
                </c:pt>
                <c:pt idx="19">
                  <c:v>Poprawa jakości życia</c:v>
                </c:pt>
              </c:strCache>
            </c:strRef>
          </c:cat>
          <c:val>
            <c:numRef>
              <c:f>Arkusz1!$B$2:$B$21</c:f>
              <c:numCache>
                <c:formatCode>0.00%</c:formatCode>
                <c:ptCount val="20"/>
                <c:pt idx="0">
                  <c:v>1E-3</c:v>
                </c:pt>
                <c:pt idx="1">
                  <c:v>4.0000000000000001E-3</c:v>
                </c:pt>
                <c:pt idx="2">
                  <c:v>8.0000000000000002E-3</c:v>
                </c:pt>
                <c:pt idx="3">
                  <c:v>1.2E-2</c:v>
                </c:pt>
                <c:pt idx="4">
                  <c:v>1.4E-2</c:v>
                </c:pt>
                <c:pt idx="5">
                  <c:v>1.4E-2</c:v>
                </c:pt>
                <c:pt idx="6">
                  <c:v>1.7000000000000001E-2</c:v>
                </c:pt>
                <c:pt idx="7">
                  <c:v>1.9E-2</c:v>
                </c:pt>
                <c:pt idx="8">
                  <c:v>0.02</c:v>
                </c:pt>
                <c:pt idx="9">
                  <c:v>2.4E-2</c:v>
                </c:pt>
                <c:pt idx="10">
                  <c:v>2.5999999999999999E-2</c:v>
                </c:pt>
                <c:pt idx="11">
                  <c:v>2.7E-2</c:v>
                </c:pt>
                <c:pt idx="12">
                  <c:v>2.9000000000000001E-2</c:v>
                </c:pt>
                <c:pt idx="13">
                  <c:v>3.2000000000000001E-2</c:v>
                </c:pt>
                <c:pt idx="14">
                  <c:v>5.7000000000000002E-2</c:v>
                </c:pt>
                <c:pt idx="15">
                  <c:v>6.0999999999999999E-2</c:v>
                </c:pt>
                <c:pt idx="16">
                  <c:v>6.4000000000000001E-2</c:v>
                </c:pt>
                <c:pt idx="17">
                  <c:v>7.0999999999999994E-2</c:v>
                </c:pt>
                <c:pt idx="18">
                  <c:v>0.08</c:v>
                </c:pt>
                <c:pt idx="19">
                  <c:v>0.29799999999999999</c:v>
                </c:pt>
              </c:numCache>
            </c:numRef>
          </c:val>
          <c:extLst>
            <c:ext xmlns:c16="http://schemas.microsoft.com/office/drawing/2014/chart" uri="{C3380CC4-5D6E-409C-BE32-E72D297353CC}">
              <c16:uniqueId val="{00000000-6FC3-4B12-B54A-CA42F095622A}"/>
            </c:ext>
          </c:extLst>
        </c:ser>
        <c:dLbls>
          <c:showLegendKey val="0"/>
          <c:showVal val="0"/>
          <c:showCatName val="0"/>
          <c:showSerName val="0"/>
          <c:showPercent val="0"/>
          <c:showBubbleSize val="0"/>
        </c:dLbls>
        <c:gapWidth val="82"/>
        <c:axId val="432009056"/>
        <c:axId val="432009536"/>
      </c:barChart>
      <c:catAx>
        <c:axId val="43200905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crossAx val="432009536"/>
        <c:crosses val="autoZero"/>
        <c:auto val="1"/>
        <c:lblAlgn val="ctr"/>
        <c:lblOffset val="100"/>
        <c:noMultiLvlLbl val="0"/>
      </c:catAx>
      <c:valAx>
        <c:axId val="432009536"/>
        <c:scaling>
          <c:orientation val="minMax"/>
        </c:scaling>
        <c:delete val="0"/>
        <c:axPos val="b"/>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crossAx val="432009056"/>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pl-PL"/>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Arkusz1!$B$1</c:f>
              <c:strCache>
                <c:ptCount val="1"/>
                <c:pt idx="0">
                  <c:v>% tak</c:v>
                </c:pt>
              </c:strCache>
            </c:strRef>
          </c:tx>
          <c:spPr>
            <a:solidFill>
              <a:srgbClr val="061A3D"/>
            </a:solidFill>
            <a:ln>
              <a:noFill/>
            </a:ln>
            <a:effectLst/>
          </c:spPr>
          <c:invertIfNegative val="0"/>
          <c:dLbls>
            <c:numFmt formatCode="0%" sourceLinked="0"/>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Arkusz1!$A$2:$A$25</c:f>
              <c:strCache>
                <c:ptCount val="24"/>
                <c:pt idx="0">
                  <c:v>Cyfryzacja usług publicznych</c:v>
                </c:pt>
                <c:pt idx="1">
                  <c:v>Szybki internet</c:v>
                </c:pt>
                <c:pt idx="2">
                  <c:v>Rybactwo</c:v>
                </c:pt>
                <c:pt idx="3">
                  <c:v>Kultura</c:v>
                </c:pt>
                <c:pt idx="4">
                  <c:v>Nowe lub ulepszone produkty/usługi</c:v>
                </c:pt>
                <c:pt idx="5">
                  <c:v>Kompetencje cyfrowe</c:v>
                </c:pt>
                <c:pt idx="6">
                  <c:v>Wsparcie branży turystycznej</c:v>
                </c:pt>
                <c:pt idx="7">
                  <c:v>Rozwój cyfrowy przedsiębiorstw</c:v>
                </c:pt>
                <c:pt idx="8">
                  <c:v>Cyfrowy dostęp do zasobów nauki, kultury</c:v>
                </c:pt>
                <c:pt idx="9">
                  <c:v>Opieka nad najmłodszymi dziećmi</c:v>
                </c:pt>
                <c:pt idx="10">
                  <c:v>Rozwój szkolnictwa wyższego</c:v>
                </c:pt>
                <c:pt idx="11">
                  <c:v>Pomoc dla osób z niepełnosprawnościami</c:v>
                </c:pt>
                <c:pt idx="12">
                  <c:v>Cyberbezpieczeństwo</c:v>
                </c:pt>
                <c:pt idx="13">
                  <c:v>Prace badawczo-rozwojowe</c:v>
                </c:pt>
                <c:pt idx="14">
                  <c:v>Przystosowanie do zmian klimatu</c:v>
                </c:pt>
                <c:pt idx="15">
                  <c:v>Rozwój kompetencji pracowników</c:v>
                </c:pt>
                <c:pt idx="16">
                  <c:v>Wsparcie na rynku pracy</c:v>
                </c:pt>
                <c:pt idx="17">
                  <c:v>Ochrona zdrowia</c:v>
                </c:pt>
                <c:pt idx="18">
                  <c:v>Innowacyjne przedsiębiorstwa</c:v>
                </c:pt>
                <c:pt idx="19">
                  <c:v>Ochrona środowiska</c:v>
                </c:pt>
                <c:pt idx="20">
                  <c:v>Transformacja energetyczna</c:v>
                </c:pt>
                <c:pt idx="21">
                  <c:v>Zielone technologie i ekoinnowacje</c:v>
                </c:pt>
                <c:pt idx="22">
                  <c:v>Rolnictwo</c:v>
                </c:pt>
                <c:pt idx="23">
                  <c:v>Transport</c:v>
                </c:pt>
              </c:strCache>
            </c:strRef>
          </c:cat>
          <c:val>
            <c:numRef>
              <c:f>Arkusz1!$B$2:$B$25</c:f>
              <c:numCache>
                <c:formatCode>0.00%</c:formatCode>
                <c:ptCount val="24"/>
                <c:pt idx="0">
                  <c:v>0.57999999999999996</c:v>
                </c:pt>
                <c:pt idx="1">
                  <c:v>0.6</c:v>
                </c:pt>
                <c:pt idx="2">
                  <c:v>0.61</c:v>
                </c:pt>
                <c:pt idx="3">
                  <c:v>0.64</c:v>
                </c:pt>
                <c:pt idx="4">
                  <c:v>0.65</c:v>
                </c:pt>
                <c:pt idx="5">
                  <c:v>0.64</c:v>
                </c:pt>
                <c:pt idx="6">
                  <c:v>0.65</c:v>
                </c:pt>
                <c:pt idx="7">
                  <c:v>0.67</c:v>
                </c:pt>
                <c:pt idx="8">
                  <c:v>0.67</c:v>
                </c:pt>
                <c:pt idx="9">
                  <c:v>0.68</c:v>
                </c:pt>
                <c:pt idx="10">
                  <c:v>0.68</c:v>
                </c:pt>
                <c:pt idx="11">
                  <c:v>0.68</c:v>
                </c:pt>
                <c:pt idx="12">
                  <c:v>0.68</c:v>
                </c:pt>
                <c:pt idx="13">
                  <c:v>0.7</c:v>
                </c:pt>
                <c:pt idx="14">
                  <c:v>0.7</c:v>
                </c:pt>
                <c:pt idx="15">
                  <c:v>0.71</c:v>
                </c:pt>
                <c:pt idx="16">
                  <c:v>0.75</c:v>
                </c:pt>
                <c:pt idx="17">
                  <c:v>0.75</c:v>
                </c:pt>
                <c:pt idx="18">
                  <c:v>0.77</c:v>
                </c:pt>
                <c:pt idx="19">
                  <c:v>0.77</c:v>
                </c:pt>
                <c:pt idx="20">
                  <c:v>0.8</c:v>
                </c:pt>
                <c:pt idx="21">
                  <c:v>0.81</c:v>
                </c:pt>
                <c:pt idx="22">
                  <c:v>0.84</c:v>
                </c:pt>
                <c:pt idx="23">
                  <c:v>0.9</c:v>
                </c:pt>
              </c:numCache>
            </c:numRef>
          </c:val>
          <c:extLst>
            <c:ext xmlns:c16="http://schemas.microsoft.com/office/drawing/2014/chart" uri="{C3380CC4-5D6E-409C-BE32-E72D297353CC}">
              <c16:uniqueId val="{00000000-34E1-40DF-B199-71672245BC10}"/>
            </c:ext>
          </c:extLst>
        </c:ser>
        <c:dLbls>
          <c:showLegendKey val="0"/>
          <c:showVal val="0"/>
          <c:showCatName val="0"/>
          <c:showSerName val="0"/>
          <c:showPercent val="0"/>
          <c:showBubbleSize val="0"/>
        </c:dLbls>
        <c:gapWidth val="82"/>
        <c:axId val="432009056"/>
        <c:axId val="432009536"/>
      </c:barChart>
      <c:catAx>
        <c:axId val="43200905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crossAx val="432009536"/>
        <c:crosses val="autoZero"/>
        <c:auto val="1"/>
        <c:lblAlgn val="ctr"/>
        <c:lblOffset val="100"/>
        <c:noMultiLvlLbl val="0"/>
      </c:catAx>
      <c:valAx>
        <c:axId val="432009536"/>
        <c:scaling>
          <c:orientation val="minMax"/>
        </c:scaling>
        <c:delete val="0"/>
        <c:axPos val="b"/>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crossAx val="432009056"/>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Arkusz1!$B$1</c:f>
              <c:strCache>
                <c:ptCount val="1"/>
                <c:pt idx="0">
                  <c:v>%</c:v>
                </c:pt>
              </c:strCache>
            </c:strRef>
          </c:tx>
          <c:spPr>
            <a:solidFill>
              <a:srgbClr val="061A3D"/>
            </a:solidFill>
            <a:ln>
              <a:noFill/>
            </a:ln>
            <a:effectLst/>
          </c:spPr>
          <c:invertIfNegative val="0"/>
          <c:dLbls>
            <c:numFmt formatCode="0%" sourceLinked="0"/>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Arkusz1!$A$2:$A$12</c:f>
              <c:strCache>
                <c:ptCount val="11"/>
                <c:pt idx="0">
                  <c:v>Rolnictwo</c:v>
                </c:pt>
                <c:pt idx="1">
                  <c:v>Rynek pracy i bezrobotni</c:v>
                </c:pt>
                <c:pt idx="2">
                  <c:v>Mieszkania / budownictwo / termomodernizacja</c:v>
                </c:pt>
                <c:pt idx="3">
                  <c:v>Środowisko i klimat</c:v>
                </c:pt>
                <c:pt idx="4">
                  <c:v>Edukacja i szkolenia</c:v>
                </c:pt>
                <c:pt idx="5">
                  <c:v>Transport i rozwój lokalny</c:v>
                </c:pt>
                <c:pt idx="6">
                  <c:v>Pomoc społeczna / grupy wrażliwe</c:v>
                </c:pt>
                <c:pt idx="7">
                  <c:v>Przedsiębiorczość i gospodarka</c:v>
                </c:pt>
                <c:pt idx="8">
                  <c:v>Zdrowie</c:v>
                </c:pt>
                <c:pt idx="9">
                  <c:v>Młodzi i rodziny</c:v>
                </c:pt>
                <c:pt idx="10">
                  <c:v>Bezpieczeństwo i obronność</c:v>
                </c:pt>
              </c:strCache>
            </c:strRef>
          </c:cat>
          <c:val>
            <c:numRef>
              <c:f>Arkusz1!$B$2:$B$12</c:f>
              <c:numCache>
                <c:formatCode>0.00%</c:formatCode>
                <c:ptCount val="11"/>
                <c:pt idx="0">
                  <c:v>2E-3</c:v>
                </c:pt>
                <c:pt idx="1">
                  <c:v>2.5000000000000001E-2</c:v>
                </c:pt>
                <c:pt idx="2">
                  <c:v>2.5000000000000001E-2</c:v>
                </c:pt>
                <c:pt idx="3">
                  <c:v>4.7E-2</c:v>
                </c:pt>
                <c:pt idx="4">
                  <c:v>5.0999999999999997E-2</c:v>
                </c:pt>
                <c:pt idx="5">
                  <c:v>0.11</c:v>
                </c:pt>
                <c:pt idx="6">
                  <c:v>0.112</c:v>
                </c:pt>
                <c:pt idx="7">
                  <c:v>0.121</c:v>
                </c:pt>
                <c:pt idx="8">
                  <c:v>0.14299999999999999</c:v>
                </c:pt>
                <c:pt idx="9">
                  <c:v>0.16400000000000001</c:v>
                </c:pt>
                <c:pt idx="10">
                  <c:v>0.2</c:v>
                </c:pt>
              </c:numCache>
            </c:numRef>
          </c:val>
          <c:extLst>
            <c:ext xmlns:c16="http://schemas.microsoft.com/office/drawing/2014/chart" uri="{C3380CC4-5D6E-409C-BE32-E72D297353CC}">
              <c16:uniqueId val="{00000000-8F66-4830-99DB-55DBAF8916D1}"/>
            </c:ext>
          </c:extLst>
        </c:ser>
        <c:dLbls>
          <c:showLegendKey val="0"/>
          <c:showVal val="0"/>
          <c:showCatName val="0"/>
          <c:showSerName val="0"/>
          <c:showPercent val="0"/>
          <c:showBubbleSize val="0"/>
        </c:dLbls>
        <c:gapWidth val="82"/>
        <c:axId val="432009056"/>
        <c:axId val="432009536"/>
      </c:barChart>
      <c:catAx>
        <c:axId val="43200905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crossAx val="432009536"/>
        <c:crosses val="autoZero"/>
        <c:auto val="1"/>
        <c:lblAlgn val="ctr"/>
        <c:lblOffset val="100"/>
        <c:noMultiLvlLbl val="0"/>
      </c:catAx>
      <c:valAx>
        <c:axId val="432009536"/>
        <c:scaling>
          <c:orientation val="minMax"/>
        </c:scaling>
        <c:delete val="0"/>
        <c:axPos val="b"/>
        <c:majorGridlines>
          <c:spPr>
            <a:ln w="9525" cap="flat" cmpd="sng" algn="ctr">
              <a:no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crossAx val="432009056"/>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percentStacked"/>
        <c:varyColors val="0"/>
        <c:ser>
          <c:idx val="0"/>
          <c:order val="0"/>
          <c:tx>
            <c:strRef>
              <c:f>Arkusz1!$B$1</c:f>
              <c:strCache>
                <c:ptCount val="1"/>
                <c:pt idx="0">
                  <c:v>zdecydowanie tak</c:v>
                </c:pt>
              </c:strCache>
            </c:strRef>
          </c:tx>
          <c:spPr>
            <a:solidFill>
              <a:srgbClr val="061A3D"/>
            </a:solidFill>
            <a:ln>
              <a:noFill/>
            </a:ln>
            <a:effectLst/>
          </c:spPr>
          <c:invertIfNegative val="0"/>
          <c:dLbls>
            <c:dLbl>
              <c:idx val="1"/>
              <c:numFmt formatCode="0%" sourceLinked="0"/>
              <c:spPr>
                <a:solidFill>
                  <a:srgbClr val="00B0F0"/>
                </a:solid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bg1"/>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extLst>
                <c:ext xmlns:c16="http://schemas.microsoft.com/office/drawing/2014/chart" uri="{C3380CC4-5D6E-409C-BE32-E72D297353CC}">
                  <c16:uniqueId val="{00000003-DC6E-4B0F-BCB6-3A2C8CD20BAB}"/>
                </c:ext>
              </c:extLst>
            </c:dLbl>
            <c:dLbl>
              <c:idx val="7"/>
              <c:numFmt formatCode="0%" sourceLinked="0"/>
              <c:spPr>
                <a:solidFill>
                  <a:srgbClr val="EE0000"/>
                </a:solid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bg1"/>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extLst>
                <c:ext xmlns:c16="http://schemas.microsoft.com/office/drawing/2014/chart" uri="{C3380CC4-5D6E-409C-BE32-E72D297353CC}">
                  <c16:uniqueId val="{00000000-DC6E-4B0F-BCB6-3A2C8CD20BAB}"/>
                </c:ext>
              </c:extLst>
            </c:dLbl>
            <c:numFmt formatCode="0%" sourceLinked="0"/>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bg1"/>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Arkusz1!$A$2:$A$9</c:f>
              <c:strCache>
                <c:ptCount val="8"/>
                <c:pt idx="0">
                  <c:v>2018 N=5615</c:v>
                </c:pt>
                <c:pt idx="1">
                  <c:v>2019 N=905</c:v>
                </c:pt>
                <c:pt idx="2">
                  <c:v>2020 N=5514</c:v>
                </c:pt>
                <c:pt idx="3">
                  <c:v>2021 N=887</c:v>
                </c:pt>
                <c:pt idx="4">
                  <c:v>2022 N=5279</c:v>
                </c:pt>
                <c:pt idx="5">
                  <c:v>2023 N=888</c:v>
                </c:pt>
                <c:pt idx="6">
                  <c:v>2024 N= 5707</c:v>
                </c:pt>
                <c:pt idx="7">
                  <c:v>2025 N=955</c:v>
                </c:pt>
              </c:strCache>
            </c:strRef>
          </c:cat>
          <c:val>
            <c:numRef>
              <c:f>Arkusz1!$B$2:$B$9</c:f>
              <c:numCache>
                <c:formatCode>0%</c:formatCode>
                <c:ptCount val="8"/>
                <c:pt idx="0">
                  <c:v>0.14000000000000001</c:v>
                </c:pt>
                <c:pt idx="1">
                  <c:v>0.09</c:v>
                </c:pt>
                <c:pt idx="2">
                  <c:v>0.13</c:v>
                </c:pt>
                <c:pt idx="3">
                  <c:v>0.17899999999999999</c:v>
                </c:pt>
                <c:pt idx="4">
                  <c:v>0.16</c:v>
                </c:pt>
                <c:pt idx="5">
                  <c:v>0.13</c:v>
                </c:pt>
                <c:pt idx="6" formatCode="0.00%">
                  <c:v>0.17</c:v>
                </c:pt>
                <c:pt idx="7" formatCode="0.00%">
                  <c:v>0.23899999999999999</c:v>
                </c:pt>
              </c:numCache>
            </c:numRef>
          </c:val>
          <c:extLst>
            <c:ext xmlns:c16="http://schemas.microsoft.com/office/drawing/2014/chart" uri="{C3380CC4-5D6E-409C-BE32-E72D297353CC}">
              <c16:uniqueId val="{00000000-6A9F-4E23-89B2-247A33E1CEF0}"/>
            </c:ext>
          </c:extLst>
        </c:ser>
        <c:ser>
          <c:idx val="1"/>
          <c:order val="1"/>
          <c:tx>
            <c:strRef>
              <c:f>Arkusz1!$C$1</c:f>
              <c:strCache>
                <c:ptCount val="1"/>
                <c:pt idx="0">
                  <c:v>raczej tak</c:v>
                </c:pt>
              </c:strCache>
            </c:strRef>
          </c:tx>
          <c:spPr>
            <a:solidFill>
              <a:schemeClr val="accent5">
                <a:lumMod val="50000"/>
              </a:schemeClr>
            </a:solidFill>
            <a:ln>
              <a:noFill/>
            </a:ln>
            <a:effectLst/>
          </c:spPr>
          <c:invertIfNegative val="0"/>
          <c:dLbls>
            <c:numFmt formatCode="0%" sourceLinked="0"/>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bg1"/>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Arkusz1!$A$2:$A$9</c:f>
              <c:strCache>
                <c:ptCount val="8"/>
                <c:pt idx="0">
                  <c:v>2018 N=5615</c:v>
                </c:pt>
                <c:pt idx="1">
                  <c:v>2019 N=905</c:v>
                </c:pt>
                <c:pt idx="2">
                  <c:v>2020 N=5514</c:v>
                </c:pt>
                <c:pt idx="3">
                  <c:v>2021 N=887</c:v>
                </c:pt>
                <c:pt idx="4">
                  <c:v>2022 N=5279</c:v>
                </c:pt>
                <c:pt idx="5">
                  <c:v>2023 N=888</c:v>
                </c:pt>
                <c:pt idx="6">
                  <c:v>2024 N= 5707</c:v>
                </c:pt>
                <c:pt idx="7">
                  <c:v>2025 N=955</c:v>
                </c:pt>
              </c:strCache>
            </c:strRef>
          </c:cat>
          <c:val>
            <c:numRef>
              <c:f>Arkusz1!$C$2:$C$9</c:f>
              <c:numCache>
                <c:formatCode>0%</c:formatCode>
                <c:ptCount val="8"/>
                <c:pt idx="0">
                  <c:v>0.38</c:v>
                </c:pt>
                <c:pt idx="1">
                  <c:v>0.28999999999999998</c:v>
                </c:pt>
                <c:pt idx="2">
                  <c:v>0.34</c:v>
                </c:pt>
                <c:pt idx="3">
                  <c:v>0.36899999999999999</c:v>
                </c:pt>
                <c:pt idx="4">
                  <c:v>0.37</c:v>
                </c:pt>
                <c:pt idx="5">
                  <c:v>0.4</c:v>
                </c:pt>
                <c:pt idx="6" formatCode="0.00%">
                  <c:v>0.41099999999999998</c:v>
                </c:pt>
                <c:pt idx="7" formatCode="0.00%">
                  <c:v>0.40200000000000002</c:v>
                </c:pt>
              </c:numCache>
            </c:numRef>
          </c:val>
          <c:extLst>
            <c:ext xmlns:c16="http://schemas.microsoft.com/office/drawing/2014/chart" uri="{C3380CC4-5D6E-409C-BE32-E72D297353CC}">
              <c16:uniqueId val="{00000001-6A9F-4E23-89B2-247A33E1CEF0}"/>
            </c:ext>
          </c:extLst>
        </c:ser>
        <c:ser>
          <c:idx val="2"/>
          <c:order val="2"/>
          <c:tx>
            <c:strRef>
              <c:f>Arkusz1!$D$1</c:f>
              <c:strCache>
                <c:ptCount val="1"/>
                <c:pt idx="0">
                  <c:v>ani tak, ani nie</c:v>
                </c:pt>
              </c:strCache>
            </c:strRef>
          </c:tx>
          <c:spPr>
            <a:solidFill>
              <a:schemeClr val="accent3"/>
            </a:solidFill>
            <a:ln>
              <a:noFill/>
            </a:ln>
            <a:effectLst/>
          </c:spPr>
          <c:invertIfNegative val="0"/>
          <c:dLbls>
            <c:dLbl>
              <c:idx val="3"/>
              <c:numFmt formatCode="0%" sourceLinked="0"/>
              <c:spPr>
                <a:solidFill>
                  <a:srgbClr val="EE0000"/>
                </a:solid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bg1"/>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extLst>
                <c:ext xmlns:c16="http://schemas.microsoft.com/office/drawing/2014/chart" uri="{C3380CC4-5D6E-409C-BE32-E72D297353CC}">
                  <c16:uniqueId val="{00000001-DC6E-4B0F-BCB6-3A2C8CD20BAB}"/>
                </c:ext>
              </c:extLst>
            </c:dLbl>
            <c:numFmt formatCode="0%" sourceLinked="0"/>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Arkusz1!$A$2:$A$9</c:f>
              <c:strCache>
                <c:ptCount val="8"/>
                <c:pt idx="0">
                  <c:v>2018 N=5615</c:v>
                </c:pt>
                <c:pt idx="1">
                  <c:v>2019 N=905</c:v>
                </c:pt>
                <c:pt idx="2">
                  <c:v>2020 N=5514</c:v>
                </c:pt>
                <c:pt idx="3">
                  <c:v>2021 N=887</c:v>
                </c:pt>
                <c:pt idx="4">
                  <c:v>2022 N=5279</c:v>
                </c:pt>
                <c:pt idx="5">
                  <c:v>2023 N=888</c:v>
                </c:pt>
                <c:pt idx="6">
                  <c:v>2024 N= 5707</c:v>
                </c:pt>
                <c:pt idx="7">
                  <c:v>2025 N=955</c:v>
                </c:pt>
              </c:strCache>
            </c:strRef>
          </c:cat>
          <c:val>
            <c:numRef>
              <c:f>Arkusz1!$D$2:$D$9</c:f>
              <c:numCache>
                <c:formatCode>0%</c:formatCode>
                <c:ptCount val="8"/>
                <c:pt idx="0">
                  <c:v>0.09</c:v>
                </c:pt>
                <c:pt idx="1">
                  <c:v>0.16</c:v>
                </c:pt>
                <c:pt idx="2">
                  <c:v>0.11</c:v>
                </c:pt>
                <c:pt idx="3">
                  <c:v>0</c:v>
                </c:pt>
                <c:pt idx="4">
                  <c:v>0.11</c:v>
                </c:pt>
                <c:pt idx="5">
                  <c:v>0.09</c:v>
                </c:pt>
                <c:pt idx="6" formatCode="0.00%">
                  <c:v>8.5000000000000006E-2</c:v>
                </c:pt>
                <c:pt idx="7" formatCode="0.00%">
                  <c:v>9.2999999999999999E-2</c:v>
                </c:pt>
              </c:numCache>
            </c:numRef>
          </c:val>
          <c:extLst>
            <c:ext xmlns:c16="http://schemas.microsoft.com/office/drawing/2014/chart" uri="{C3380CC4-5D6E-409C-BE32-E72D297353CC}">
              <c16:uniqueId val="{00000003-6A9F-4E23-89B2-247A33E1CEF0}"/>
            </c:ext>
          </c:extLst>
        </c:ser>
        <c:ser>
          <c:idx val="3"/>
          <c:order val="3"/>
          <c:tx>
            <c:strRef>
              <c:f>Arkusz1!$E$1</c:f>
              <c:strCache>
                <c:ptCount val="1"/>
                <c:pt idx="0">
                  <c:v>raczej nie</c:v>
                </c:pt>
              </c:strCache>
            </c:strRef>
          </c:tx>
          <c:spPr>
            <a:solidFill>
              <a:schemeClr val="accent2">
                <a:lumMod val="75000"/>
              </a:schemeClr>
            </a:solidFill>
            <a:ln>
              <a:noFill/>
            </a:ln>
            <a:effectLst/>
          </c:spPr>
          <c:invertIfNegative val="0"/>
          <c:dLbls>
            <c:dLbl>
              <c:idx val="3"/>
              <c:numFmt formatCode="0%" sourceLinked="0"/>
              <c:spPr>
                <a:solidFill>
                  <a:srgbClr val="00B0F0"/>
                </a:solid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bg1"/>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extLst>
                <c:ext xmlns:c16="http://schemas.microsoft.com/office/drawing/2014/chart" uri="{C3380CC4-5D6E-409C-BE32-E72D297353CC}">
                  <c16:uniqueId val="{00000002-DC6E-4B0F-BCB6-3A2C8CD20BAB}"/>
                </c:ext>
              </c:extLst>
            </c:dLbl>
            <c:dLbl>
              <c:idx val="7"/>
              <c:numFmt formatCode="0%" sourceLinked="0"/>
              <c:spPr>
                <a:solidFill>
                  <a:srgbClr val="00B0F0"/>
                </a:solid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bg1"/>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extLst>
                <c:ext xmlns:c16="http://schemas.microsoft.com/office/drawing/2014/chart" uri="{C3380CC4-5D6E-409C-BE32-E72D297353CC}">
                  <c16:uniqueId val="{00000004-DC6E-4B0F-BCB6-3A2C8CD20BAB}"/>
                </c:ext>
              </c:extLst>
            </c:dLbl>
            <c:numFmt formatCode="0%" sourceLinked="0"/>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bg1"/>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Arkusz1!$A$2:$A$9</c:f>
              <c:strCache>
                <c:ptCount val="8"/>
                <c:pt idx="0">
                  <c:v>2018 N=5615</c:v>
                </c:pt>
                <c:pt idx="1">
                  <c:v>2019 N=905</c:v>
                </c:pt>
                <c:pt idx="2">
                  <c:v>2020 N=5514</c:v>
                </c:pt>
                <c:pt idx="3">
                  <c:v>2021 N=887</c:v>
                </c:pt>
                <c:pt idx="4">
                  <c:v>2022 N=5279</c:v>
                </c:pt>
                <c:pt idx="5">
                  <c:v>2023 N=888</c:v>
                </c:pt>
                <c:pt idx="6">
                  <c:v>2024 N= 5707</c:v>
                </c:pt>
                <c:pt idx="7">
                  <c:v>2025 N=955</c:v>
                </c:pt>
              </c:strCache>
            </c:strRef>
          </c:cat>
          <c:val>
            <c:numRef>
              <c:f>Arkusz1!$E$2:$E$9</c:f>
              <c:numCache>
                <c:formatCode>0%</c:formatCode>
                <c:ptCount val="8"/>
                <c:pt idx="0">
                  <c:v>0.18</c:v>
                </c:pt>
                <c:pt idx="1">
                  <c:v>0.2</c:v>
                </c:pt>
                <c:pt idx="2">
                  <c:v>0.17</c:v>
                </c:pt>
                <c:pt idx="3">
                  <c:v>0.247</c:v>
                </c:pt>
                <c:pt idx="4">
                  <c:v>0.14000000000000001</c:v>
                </c:pt>
                <c:pt idx="5">
                  <c:v>0.18</c:v>
                </c:pt>
                <c:pt idx="6" formatCode="0.00%">
                  <c:v>0.128</c:v>
                </c:pt>
                <c:pt idx="7" formatCode="0.00%">
                  <c:v>0.106</c:v>
                </c:pt>
              </c:numCache>
            </c:numRef>
          </c:val>
          <c:extLst>
            <c:ext xmlns:c16="http://schemas.microsoft.com/office/drawing/2014/chart" uri="{C3380CC4-5D6E-409C-BE32-E72D297353CC}">
              <c16:uniqueId val="{00000004-6A9F-4E23-89B2-247A33E1CEF0}"/>
            </c:ext>
          </c:extLst>
        </c:ser>
        <c:ser>
          <c:idx val="4"/>
          <c:order val="4"/>
          <c:tx>
            <c:strRef>
              <c:f>Arkusz1!$F$1</c:f>
              <c:strCache>
                <c:ptCount val="1"/>
                <c:pt idx="0">
                  <c:v>zdecydowanie nie</c:v>
                </c:pt>
              </c:strCache>
            </c:strRef>
          </c:tx>
          <c:spPr>
            <a:solidFill>
              <a:schemeClr val="accent6">
                <a:lumMod val="75000"/>
              </a:schemeClr>
            </a:solidFill>
            <a:ln>
              <a:noFill/>
            </a:ln>
            <a:effectLst/>
          </c:spPr>
          <c:invertIfNegative val="0"/>
          <c:dLbls>
            <c:numFmt formatCode="0%" sourceLinked="0"/>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bg1"/>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Arkusz1!$A$2:$A$9</c:f>
              <c:strCache>
                <c:ptCount val="8"/>
                <c:pt idx="0">
                  <c:v>2018 N=5615</c:v>
                </c:pt>
                <c:pt idx="1">
                  <c:v>2019 N=905</c:v>
                </c:pt>
                <c:pt idx="2">
                  <c:v>2020 N=5514</c:v>
                </c:pt>
                <c:pt idx="3">
                  <c:v>2021 N=887</c:v>
                </c:pt>
                <c:pt idx="4">
                  <c:v>2022 N=5279</c:v>
                </c:pt>
                <c:pt idx="5">
                  <c:v>2023 N=888</c:v>
                </c:pt>
                <c:pt idx="6">
                  <c:v>2024 N= 5707</c:v>
                </c:pt>
                <c:pt idx="7">
                  <c:v>2025 N=955</c:v>
                </c:pt>
              </c:strCache>
            </c:strRef>
          </c:cat>
          <c:val>
            <c:numRef>
              <c:f>Arkusz1!$F$2:$F$9</c:f>
              <c:numCache>
                <c:formatCode>0%</c:formatCode>
                <c:ptCount val="8"/>
                <c:pt idx="0">
                  <c:v>0.08</c:v>
                </c:pt>
                <c:pt idx="1">
                  <c:v>0.09</c:v>
                </c:pt>
                <c:pt idx="2">
                  <c:v>0.14000000000000001</c:v>
                </c:pt>
                <c:pt idx="3">
                  <c:v>5.8999999999999997E-2</c:v>
                </c:pt>
                <c:pt idx="4">
                  <c:v>0.1</c:v>
                </c:pt>
                <c:pt idx="5">
                  <c:v>0.08</c:v>
                </c:pt>
                <c:pt idx="6" formatCode="0.00%">
                  <c:v>0.06</c:v>
                </c:pt>
                <c:pt idx="7" formatCode="0.00%">
                  <c:v>5.5E-2</c:v>
                </c:pt>
              </c:numCache>
            </c:numRef>
          </c:val>
          <c:extLst>
            <c:ext xmlns:c16="http://schemas.microsoft.com/office/drawing/2014/chart" uri="{C3380CC4-5D6E-409C-BE32-E72D297353CC}">
              <c16:uniqueId val="{00000005-6A9F-4E23-89B2-247A33E1CEF0}"/>
            </c:ext>
          </c:extLst>
        </c:ser>
        <c:ser>
          <c:idx val="5"/>
          <c:order val="5"/>
          <c:tx>
            <c:strRef>
              <c:f>Arkusz1!$G$1</c:f>
              <c:strCache>
                <c:ptCount val="1"/>
                <c:pt idx="0">
                  <c:v>nie wiem / trudno powiedzieć</c:v>
                </c:pt>
              </c:strCache>
            </c:strRef>
          </c:tx>
          <c:spPr>
            <a:solidFill>
              <a:schemeClr val="accent4"/>
            </a:solidFill>
            <a:ln>
              <a:noFill/>
            </a:ln>
            <a:effectLst/>
          </c:spPr>
          <c:invertIfNegative val="0"/>
          <c:dLbls>
            <c:numFmt formatCode="0%" sourceLinked="0"/>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Arkusz1!$A$2:$A$9</c:f>
              <c:strCache>
                <c:ptCount val="8"/>
                <c:pt idx="0">
                  <c:v>2018 N=5615</c:v>
                </c:pt>
                <c:pt idx="1">
                  <c:v>2019 N=905</c:v>
                </c:pt>
                <c:pt idx="2">
                  <c:v>2020 N=5514</c:v>
                </c:pt>
                <c:pt idx="3">
                  <c:v>2021 N=887</c:v>
                </c:pt>
                <c:pt idx="4">
                  <c:v>2022 N=5279</c:v>
                </c:pt>
                <c:pt idx="5">
                  <c:v>2023 N=888</c:v>
                </c:pt>
                <c:pt idx="6">
                  <c:v>2024 N= 5707</c:v>
                </c:pt>
                <c:pt idx="7">
                  <c:v>2025 N=955</c:v>
                </c:pt>
              </c:strCache>
            </c:strRef>
          </c:cat>
          <c:val>
            <c:numRef>
              <c:f>Arkusz1!$G$2:$G$9</c:f>
              <c:numCache>
                <c:formatCode>0%</c:formatCode>
                <c:ptCount val="8"/>
                <c:pt idx="0">
                  <c:v>0.13</c:v>
                </c:pt>
                <c:pt idx="1">
                  <c:v>0.17</c:v>
                </c:pt>
                <c:pt idx="2">
                  <c:v>0.11</c:v>
                </c:pt>
                <c:pt idx="3">
                  <c:v>0.14599999999999999</c:v>
                </c:pt>
                <c:pt idx="4">
                  <c:v>0.12</c:v>
                </c:pt>
                <c:pt idx="5">
                  <c:v>0.14000000000000001</c:v>
                </c:pt>
                <c:pt idx="6" formatCode="0.00%">
                  <c:v>0.14599999999999999</c:v>
                </c:pt>
                <c:pt idx="7" formatCode="0.00%">
                  <c:v>0.105</c:v>
                </c:pt>
              </c:numCache>
            </c:numRef>
          </c:val>
          <c:extLst>
            <c:ext xmlns:c16="http://schemas.microsoft.com/office/drawing/2014/chart" uri="{C3380CC4-5D6E-409C-BE32-E72D297353CC}">
              <c16:uniqueId val="{00000006-6A9F-4E23-89B2-247A33E1CEF0}"/>
            </c:ext>
          </c:extLst>
        </c:ser>
        <c:dLbls>
          <c:showLegendKey val="0"/>
          <c:showVal val="0"/>
          <c:showCatName val="0"/>
          <c:showSerName val="0"/>
          <c:showPercent val="0"/>
          <c:showBubbleSize val="0"/>
        </c:dLbls>
        <c:gapWidth val="60"/>
        <c:overlap val="100"/>
        <c:axId val="875697471"/>
        <c:axId val="875698911"/>
      </c:barChart>
      <c:catAx>
        <c:axId val="875697471"/>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crossAx val="875698911"/>
        <c:crosses val="autoZero"/>
        <c:auto val="1"/>
        <c:lblAlgn val="ctr"/>
        <c:lblOffset val="100"/>
        <c:noMultiLvlLbl val="0"/>
      </c:catAx>
      <c:valAx>
        <c:axId val="875698911"/>
        <c:scaling>
          <c:orientation val="minMax"/>
        </c:scaling>
        <c:delete val="0"/>
        <c:axPos val="b"/>
        <c:majorGridlines>
          <c:spPr>
            <a:ln w="9525" cap="flat" cmpd="sng" algn="ctr">
              <a:no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pl-PL"/>
          </a:p>
        </c:txPr>
        <c:crossAx val="875697471"/>
        <c:crosses val="autoZero"/>
        <c:crossBetween val="between"/>
      </c:valAx>
      <c:spPr>
        <a:noFill/>
        <a:ln>
          <a:noFill/>
        </a:ln>
        <a:effectLst/>
      </c:spPr>
    </c:plotArea>
    <c:legend>
      <c:legendPos val="b"/>
      <c:layout>
        <c:manualLayout>
          <c:xMode val="edge"/>
          <c:yMode val="edge"/>
          <c:x val="0"/>
          <c:y val="0.83676896656463939"/>
          <c:w val="1"/>
          <c:h val="0.14839423818313513"/>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pl-PL"/>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plotArea>
      <c:layout>
        <c:manualLayout>
          <c:layoutTarget val="inner"/>
          <c:xMode val="edge"/>
          <c:yMode val="edge"/>
          <c:x val="0.16786041393263343"/>
          <c:y val="7.3876628650118292E-2"/>
          <c:w val="0.76967222358923881"/>
          <c:h val="0.77415321963678307"/>
        </c:manualLayout>
      </c:layout>
      <c:barChart>
        <c:barDir val="bar"/>
        <c:grouping val="percentStacked"/>
        <c:varyColors val="0"/>
        <c:ser>
          <c:idx val="0"/>
          <c:order val="0"/>
          <c:tx>
            <c:strRef>
              <c:f>Arkusz1!$B$1</c:f>
              <c:strCache>
                <c:ptCount val="1"/>
                <c:pt idx="0">
                  <c:v>Zdecydowanie popieram</c:v>
                </c:pt>
              </c:strCache>
            </c:strRef>
          </c:tx>
          <c:spPr>
            <a:solidFill>
              <a:srgbClr val="061A3D"/>
            </a:solidFill>
            <a:ln>
              <a:noFill/>
            </a:ln>
            <a:effectLst/>
          </c:spPr>
          <c:invertIfNegative val="0"/>
          <c:dLbls>
            <c:dLbl>
              <c:idx val="2"/>
              <c:numFmt formatCode="0%" sourceLinked="0"/>
              <c:spPr>
                <a:solidFill>
                  <a:srgbClr val="EE0000"/>
                </a:solid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bg1"/>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extLst>
                <c:ext xmlns:c16="http://schemas.microsoft.com/office/drawing/2014/chart" uri="{C3380CC4-5D6E-409C-BE32-E72D297353CC}">
                  <c16:uniqueId val="{00000000-F8AD-4D61-8E2A-A4C475BFF223}"/>
                </c:ext>
              </c:extLst>
            </c:dLbl>
            <c:numFmt formatCode="0%" sourceLinked="0"/>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bg1"/>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Arkusz1!$A$2:$A$9</c:f>
              <c:strCache>
                <c:ptCount val="8"/>
                <c:pt idx="0">
                  <c:v>2025 N=1000</c:v>
                </c:pt>
                <c:pt idx="1">
                  <c:v>2024 N=6160</c:v>
                </c:pt>
                <c:pt idx="2">
                  <c:v>2023 N=1078</c:v>
                </c:pt>
                <c:pt idx="3">
                  <c:v>2022 N=6160</c:v>
                </c:pt>
                <c:pt idx="4">
                  <c:v>2021 N=1101</c:v>
                </c:pt>
                <c:pt idx="5">
                  <c:v>2020 N=6160</c:v>
                </c:pt>
                <c:pt idx="6">
                  <c:v>2018 N=6193</c:v>
                </c:pt>
                <c:pt idx="7">
                  <c:v>2016 N=6160</c:v>
                </c:pt>
              </c:strCache>
            </c:strRef>
          </c:cat>
          <c:val>
            <c:numRef>
              <c:f>Arkusz1!$B$2:$B$9</c:f>
              <c:numCache>
                <c:formatCode>0%</c:formatCode>
                <c:ptCount val="8"/>
                <c:pt idx="0" formatCode="0.00%">
                  <c:v>0.254</c:v>
                </c:pt>
                <c:pt idx="1">
                  <c:v>0.28000000000000003</c:v>
                </c:pt>
                <c:pt idx="2">
                  <c:v>0.47</c:v>
                </c:pt>
                <c:pt idx="3">
                  <c:v>0.38</c:v>
                </c:pt>
                <c:pt idx="4">
                  <c:v>0.37</c:v>
                </c:pt>
                <c:pt idx="5">
                  <c:v>0.31</c:v>
                </c:pt>
                <c:pt idx="6">
                  <c:v>0.34</c:v>
                </c:pt>
                <c:pt idx="7">
                  <c:v>0.28000000000000003</c:v>
                </c:pt>
              </c:numCache>
            </c:numRef>
          </c:val>
          <c:extLst>
            <c:ext xmlns:c16="http://schemas.microsoft.com/office/drawing/2014/chart" uri="{C3380CC4-5D6E-409C-BE32-E72D297353CC}">
              <c16:uniqueId val="{00000000-07FF-48A2-9E7D-EAC45E618343}"/>
            </c:ext>
          </c:extLst>
        </c:ser>
        <c:ser>
          <c:idx val="1"/>
          <c:order val="1"/>
          <c:tx>
            <c:strRef>
              <c:f>Arkusz1!$C$1</c:f>
              <c:strCache>
                <c:ptCount val="1"/>
                <c:pt idx="0">
                  <c:v>Raczej popieram</c:v>
                </c:pt>
              </c:strCache>
            </c:strRef>
          </c:tx>
          <c:spPr>
            <a:solidFill>
              <a:schemeClr val="accent5">
                <a:lumMod val="50000"/>
              </a:schemeClr>
            </a:solidFill>
            <a:ln>
              <a:noFill/>
            </a:ln>
            <a:effectLst/>
          </c:spPr>
          <c:invertIfNegative val="0"/>
          <c:dLbls>
            <c:dLbl>
              <c:idx val="2"/>
              <c:numFmt formatCode="0%" sourceLinked="0"/>
              <c:spPr>
                <a:solidFill>
                  <a:srgbClr val="00B0F0"/>
                </a:solid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bg1"/>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extLst>
                <c:ext xmlns:c16="http://schemas.microsoft.com/office/drawing/2014/chart" uri="{C3380CC4-5D6E-409C-BE32-E72D297353CC}">
                  <c16:uniqueId val="{00000003-F8AD-4D61-8E2A-A4C475BFF223}"/>
                </c:ext>
              </c:extLst>
            </c:dLbl>
            <c:dLbl>
              <c:idx val="4"/>
              <c:numFmt formatCode="0%" sourceLinked="0"/>
              <c:spPr>
                <a:solidFill>
                  <a:srgbClr val="00B0F0"/>
                </a:solid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bg1"/>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extLst>
                <c:ext xmlns:c16="http://schemas.microsoft.com/office/drawing/2014/chart" uri="{C3380CC4-5D6E-409C-BE32-E72D297353CC}">
                  <c16:uniqueId val="{00000002-F8AD-4D61-8E2A-A4C475BFF223}"/>
                </c:ext>
              </c:extLst>
            </c:dLbl>
            <c:numFmt formatCode="0%" sourceLinked="0"/>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bg1"/>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Arkusz1!$A$2:$A$9</c:f>
              <c:strCache>
                <c:ptCount val="8"/>
                <c:pt idx="0">
                  <c:v>2025 N=1000</c:v>
                </c:pt>
                <c:pt idx="1">
                  <c:v>2024 N=6160</c:v>
                </c:pt>
                <c:pt idx="2">
                  <c:v>2023 N=1078</c:v>
                </c:pt>
                <c:pt idx="3">
                  <c:v>2022 N=6160</c:v>
                </c:pt>
                <c:pt idx="4">
                  <c:v>2021 N=1101</c:v>
                </c:pt>
                <c:pt idx="5">
                  <c:v>2020 N=6160</c:v>
                </c:pt>
                <c:pt idx="6">
                  <c:v>2018 N=6193</c:v>
                </c:pt>
                <c:pt idx="7">
                  <c:v>2016 N=6160</c:v>
                </c:pt>
              </c:strCache>
            </c:strRef>
          </c:cat>
          <c:val>
            <c:numRef>
              <c:f>Arkusz1!$C$2:$C$9</c:f>
              <c:numCache>
                <c:formatCode>0%</c:formatCode>
                <c:ptCount val="8"/>
                <c:pt idx="0" formatCode="0.00%">
                  <c:v>0.47599999999999998</c:v>
                </c:pt>
                <c:pt idx="1">
                  <c:v>0.47</c:v>
                </c:pt>
                <c:pt idx="2">
                  <c:v>0.28999999999999998</c:v>
                </c:pt>
                <c:pt idx="3">
                  <c:v>0.4</c:v>
                </c:pt>
                <c:pt idx="4">
                  <c:v>0.28999999999999998</c:v>
                </c:pt>
                <c:pt idx="5">
                  <c:v>0.43</c:v>
                </c:pt>
                <c:pt idx="6">
                  <c:v>0.43</c:v>
                </c:pt>
                <c:pt idx="7">
                  <c:v>0.45</c:v>
                </c:pt>
              </c:numCache>
            </c:numRef>
          </c:val>
          <c:extLst>
            <c:ext xmlns:c16="http://schemas.microsoft.com/office/drawing/2014/chart" uri="{C3380CC4-5D6E-409C-BE32-E72D297353CC}">
              <c16:uniqueId val="{00000001-07FF-48A2-9E7D-EAC45E618343}"/>
            </c:ext>
          </c:extLst>
        </c:ser>
        <c:ser>
          <c:idx val="2"/>
          <c:order val="2"/>
          <c:tx>
            <c:strRef>
              <c:f>Arkusz1!$D$1</c:f>
              <c:strCache>
                <c:ptCount val="1"/>
                <c:pt idx="0">
                  <c:v>Ani popieram, ani nie</c:v>
                </c:pt>
              </c:strCache>
            </c:strRef>
          </c:tx>
          <c:spPr>
            <a:solidFill>
              <a:schemeClr val="accent5">
                <a:lumMod val="75000"/>
              </a:schemeClr>
            </a:solidFill>
            <a:ln>
              <a:noFill/>
            </a:ln>
            <a:effectLst/>
          </c:spPr>
          <c:invertIfNegative val="0"/>
          <c:dLbls>
            <c:numFmt formatCode="0%" sourceLinked="0"/>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bg1"/>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Arkusz1!$A$2:$A$9</c:f>
              <c:strCache>
                <c:ptCount val="8"/>
                <c:pt idx="0">
                  <c:v>2025 N=1000</c:v>
                </c:pt>
                <c:pt idx="1">
                  <c:v>2024 N=6160</c:v>
                </c:pt>
                <c:pt idx="2">
                  <c:v>2023 N=1078</c:v>
                </c:pt>
                <c:pt idx="3">
                  <c:v>2022 N=6160</c:v>
                </c:pt>
                <c:pt idx="4">
                  <c:v>2021 N=1101</c:v>
                </c:pt>
                <c:pt idx="5">
                  <c:v>2020 N=6160</c:v>
                </c:pt>
                <c:pt idx="6">
                  <c:v>2018 N=6193</c:v>
                </c:pt>
                <c:pt idx="7">
                  <c:v>2016 N=6160</c:v>
                </c:pt>
              </c:strCache>
            </c:strRef>
          </c:cat>
          <c:val>
            <c:numRef>
              <c:f>Arkusz1!$D$2:$D$9</c:f>
              <c:numCache>
                <c:formatCode>0%</c:formatCode>
                <c:ptCount val="8"/>
                <c:pt idx="0" formatCode="0.00%">
                  <c:v>0.151</c:v>
                </c:pt>
                <c:pt idx="1">
                  <c:v>0.15</c:v>
                </c:pt>
                <c:pt idx="2">
                  <c:v>0.13</c:v>
                </c:pt>
                <c:pt idx="3">
                  <c:v>0.11</c:v>
                </c:pt>
                <c:pt idx="4">
                  <c:v>0.14000000000000001</c:v>
                </c:pt>
                <c:pt idx="5">
                  <c:v>0.14000000000000001</c:v>
                </c:pt>
                <c:pt idx="6">
                  <c:v>0.14000000000000001</c:v>
                </c:pt>
                <c:pt idx="7">
                  <c:v>0.14000000000000001</c:v>
                </c:pt>
              </c:numCache>
            </c:numRef>
          </c:val>
          <c:extLst>
            <c:ext xmlns:c16="http://schemas.microsoft.com/office/drawing/2014/chart" uri="{C3380CC4-5D6E-409C-BE32-E72D297353CC}">
              <c16:uniqueId val="{00000002-07FF-48A2-9E7D-EAC45E618343}"/>
            </c:ext>
          </c:extLst>
        </c:ser>
        <c:ser>
          <c:idx val="3"/>
          <c:order val="3"/>
          <c:tx>
            <c:strRef>
              <c:f>Arkusz1!$E$1</c:f>
              <c:strCache>
                <c:ptCount val="1"/>
                <c:pt idx="0">
                  <c:v>Raczej nie</c:v>
                </c:pt>
              </c:strCache>
            </c:strRef>
          </c:tx>
          <c:spPr>
            <a:solidFill>
              <a:schemeClr val="accent5">
                <a:tint val="90000"/>
              </a:schemeClr>
            </a:solidFill>
            <a:ln>
              <a:noFill/>
            </a:ln>
            <a:effectLst/>
          </c:spPr>
          <c:invertIfNegative val="0"/>
          <c:dLbls>
            <c:numFmt formatCode="0%" sourceLinked="0"/>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Arkusz1!$A$2:$A$9</c:f>
              <c:strCache>
                <c:ptCount val="8"/>
                <c:pt idx="0">
                  <c:v>2025 N=1000</c:v>
                </c:pt>
                <c:pt idx="1">
                  <c:v>2024 N=6160</c:v>
                </c:pt>
                <c:pt idx="2">
                  <c:v>2023 N=1078</c:v>
                </c:pt>
                <c:pt idx="3">
                  <c:v>2022 N=6160</c:v>
                </c:pt>
                <c:pt idx="4">
                  <c:v>2021 N=1101</c:v>
                </c:pt>
                <c:pt idx="5">
                  <c:v>2020 N=6160</c:v>
                </c:pt>
                <c:pt idx="6">
                  <c:v>2018 N=6193</c:v>
                </c:pt>
                <c:pt idx="7">
                  <c:v>2016 N=6160</c:v>
                </c:pt>
              </c:strCache>
            </c:strRef>
          </c:cat>
          <c:val>
            <c:numRef>
              <c:f>Arkusz1!$E$2:$E$9</c:f>
              <c:numCache>
                <c:formatCode>0%</c:formatCode>
                <c:ptCount val="8"/>
                <c:pt idx="0" formatCode="0.00%">
                  <c:v>5.1999999999999998E-2</c:v>
                </c:pt>
                <c:pt idx="1">
                  <c:v>0.06</c:v>
                </c:pt>
                <c:pt idx="2">
                  <c:v>0.05</c:v>
                </c:pt>
                <c:pt idx="3">
                  <c:v>0.04</c:v>
                </c:pt>
                <c:pt idx="4">
                  <c:v>7.0000000000000007E-2</c:v>
                </c:pt>
                <c:pt idx="5">
                  <c:v>0.05</c:v>
                </c:pt>
                <c:pt idx="6">
                  <c:v>0.04</c:v>
                </c:pt>
                <c:pt idx="7">
                  <c:v>0.05</c:v>
                </c:pt>
              </c:numCache>
            </c:numRef>
          </c:val>
          <c:extLst>
            <c:ext xmlns:c16="http://schemas.microsoft.com/office/drawing/2014/chart" uri="{C3380CC4-5D6E-409C-BE32-E72D297353CC}">
              <c16:uniqueId val="{00000006-07FF-48A2-9E7D-EAC45E618343}"/>
            </c:ext>
          </c:extLst>
        </c:ser>
        <c:ser>
          <c:idx val="4"/>
          <c:order val="4"/>
          <c:tx>
            <c:strRef>
              <c:f>Arkusz1!$F$1</c:f>
              <c:strCache>
                <c:ptCount val="1"/>
                <c:pt idx="0">
                  <c:v>Zdecydowanie nie</c:v>
                </c:pt>
              </c:strCache>
            </c:strRef>
          </c:tx>
          <c:spPr>
            <a:solidFill>
              <a:schemeClr val="accent5">
                <a:tint val="70000"/>
              </a:schemeClr>
            </a:solidFill>
            <a:ln>
              <a:noFill/>
            </a:ln>
            <a:effectLst/>
          </c:spPr>
          <c:invertIfNegative val="0"/>
          <c:dLbls>
            <c:dLbl>
              <c:idx val="6"/>
              <c:layout>
                <c:manualLayout>
                  <c:x val="8.6805555555553963E-3"/>
                  <c:y val="2.3539658439556042E-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6C1-4D00-AB11-92BF479CAC49}"/>
                </c:ext>
              </c:extLst>
            </c:dLbl>
            <c:numFmt formatCode="0%" sourceLinked="0"/>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Arkusz1!$A$2:$A$9</c:f>
              <c:strCache>
                <c:ptCount val="8"/>
                <c:pt idx="0">
                  <c:v>2025 N=1000</c:v>
                </c:pt>
                <c:pt idx="1">
                  <c:v>2024 N=6160</c:v>
                </c:pt>
                <c:pt idx="2">
                  <c:v>2023 N=1078</c:v>
                </c:pt>
                <c:pt idx="3">
                  <c:v>2022 N=6160</c:v>
                </c:pt>
                <c:pt idx="4">
                  <c:v>2021 N=1101</c:v>
                </c:pt>
                <c:pt idx="5">
                  <c:v>2020 N=6160</c:v>
                </c:pt>
                <c:pt idx="6">
                  <c:v>2018 N=6193</c:v>
                </c:pt>
                <c:pt idx="7">
                  <c:v>2016 N=6160</c:v>
                </c:pt>
              </c:strCache>
            </c:strRef>
          </c:cat>
          <c:val>
            <c:numRef>
              <c:f>Arkusz1!$F$2:$F$9</c:f>
              <c:numCache>
                <c:formatCode>0%</c:formatCode>
                <c:ptCount val="8"/>
                <c:pt idx="0" formatCode="0.00%">
                  <c:v>4.3999999999999997E-2</c:v>
                </c:pt>
                <c:pt idx="1">
                  <c:v>0.03</c:v>
                </c:pt>
                <c:pt idx="2">
                  <c:v>0.04</c:v>
                </c:pt>
                <c:pt idx="3">
                  <c:v>0.04</c:v>
                </c:pt>
                <c:pt idx="4">
                  <c:v>0.05</c:v>
                </c:pt>
                <c:pt idx="5">
                  <c:v>0.04</c:v>
                </c:pt>
                <c:pt idx="6">
                  <c:v>0.03</c:v>
                </c:pt>
                <c:pt idx="7">
                  <c:v>0.04</c:v>
                </c:pt>
              </c:numCache>
            </c:numRef>
          </c:val>
          <c:extLst>
            <c:ext xmlns:c16="http://schemas.microsoft.com/office/drawing/2014/chart" uri="{C3380CC4-5D6E-409C-BE32-E72D297353CC}">
              <c16:uniqueId val="{00000007-07FF-48A2-9E7D-EAC45E618343}"/>
            </c:ext>
          </c:extLst>
        </c:ser>
        <c:ser>
          <c:idx val="5"/>
          <c:order val="5"/>
          <c:tx>
            <c:strRef>
              <c:f>Arkusz1!$G$1</c:f>
              <c:strCache>
                <c:ptCount val="1"/>
                <c:pt idx="0">
                  <c:v>Nie wiem</c:v>
                </c:pt>
              </c:strCache>
            </c:strRef>
          </c:tx>
          <c:spPr>
            <a:solidFill>
              <a:schemeClr val="accent5">
                <a:tint val="50000"/>
              </a:schemeClr>
            </a:solidFill>
            <a:ln>
              <a:noFill/>
            </a:ln>
            <a:effectLst/>
          </c:spPr>
          <c:invertIfNegative val="0"/>
          <c:dLbls>
            <c:numFmt formatCode="0%" sourceLinked="0"/>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Arkusz1!$A$2:$A$9</c:f>
              <c:strCache>
                <c:ptCount val="8"/>
                <c:pt idx="0">
                  <c:v>2025 N=1000</c:v>
                </c:pt>
                <c:pt idx="1">
                  <c:v>2024 N=6160</c:v>
                </c:pt>
                <c:pt idx="2">
                  <c:v>2023 N=1078</c:v>
                </c:pt>
                <c:pt idx="3">
                  <c:v>2022 N=6160</c:v>
                </c:pt>
                <c:pt idx="4">
                  <c:v>2021 N=1101</c:v>
                </c:pt>
                <c:pt idx="5">
                  <c:v>2020 N=6160</c:v>
                </c:pt>
                <c:pt idx="6">
                  <c:v>2018 N=6193</c:v>
                </c:pt>
                <c:pt idx="7">
                  <c:v>2016 N=6160</c:v>
                </c:pt>
              </c:strCache>
            </c:strRef>
          </c:cat>
          <c:val>
            <c:numRef>
              <c:f>Arkusz1!$G$2:$G$9</c:f>
              <c:numCache>
                <c:formatCode>0%</c:formatCode>
                <c:ptCount val="8"/>
                <c:pt idx="0" formatCode="0.00%">
                  <c:v>2.3E-2</c:v>
                </c:pt>
                <c:pt idx="1">
                  <c:v>0.02</c:v>
                </c:pt>
                <c:pt idx="2">
                  <c:v>0.03</c:v>
                </c:pt>
                <c:pt idx="3">
                  <c:v>0.03</c:v>
                </c:pt>
                <c:pt idx="4">
                  <c:v>0.08</c:v>
                </c:pt>
                <c:pt idx="5">
                  <c:v>0.03</c:v>
                </c:pt>
                <c:pt idx="6">
                  <c:v>0.02</c:v>
                </c:pt>
                <c:pt idx="7">
                  <c:v>0.03</c:v>
                </c:pt>
              </c:numCache>
            </c:numRef>
          </c:val>
          <c:extLst>
            <c:ext xmlns:c16="http://schemas.microsoft.com/office/drawing/2014/chart" uri="{C3380CC4-5D6E-409C-BE32-E72D297353CC}">
              <c16:uniqueId val="{00000008-07FF-48A2-9E7D-EAC45E618343}"/>
            </c:ext>
          </c:extLst>
        </c:ser>
        <c:dLbls>
          <c:showLegendKey val="0"/>
          <c:showVal val="0"/>
          <c:showCatName val="0"/>
          <c:showSerName val="0"/>
          <c:showPercent val="0"/>
          <c:showBubbleSize val="0"/>
        </c:dLbls>
        <c:gapWidth val="90"/>
        <c:overlap val="100"/>
        <c:axId val="673559840"/>
        <c:axId val="673560320"/>
      </c:barChart>
      <c:catAx>
        <c:axId val="673559840"/>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crossAx val="673560320"/>
        <c:crosses val="autoZero"/>
        <c:auto val="1"/>
        <c:lblAlgn val="ctr"/>
        <c:lblOffset val="100"/>
        <c:noMultiLvlLbl val="0"/>
      </c:catAx>
      <c:valAx>
        <c:axId val="673560320"/>
        <c:scaling>
          <c:orientation val="minMax"/>
        </c:scaling>
        <c:delete val="0"/>
        <c:axPos val="t"/>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crossAx val="673559840"/>
        <c:crosses val="autoZero"/>
        <c:crossBetween val="between"/>
      </c:valAx>
      <c:spPr>
        <a:noFill/>
        <a:ln>
          <a:noFill/>
        </a:ln>
        <a:effectLst/>
      </c:spPr>
    </c:plotArea>
    <c:legend>
      <c:legendPos val="b"/>
      <c:layout>
        <c:manualLayout>
          <c:xMode val="edge"/>
          <c:yMode val="edge"/>
          <c:x val="1.645016540901138E-2"/>
          <c:y val="0.87943881454280093"/>
          <c:w val="0.96058925251531058"/>
          <c:h val="0.10262396572625732"/>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pl-PL"/>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Arkusz1!$B$1</c:f>
              <c:strCache>
                <c:ptCount val="1"/>
                <c:pt idx="0">
                  <c:v>T2B (%)</c:v>
                </c:pt>
              </c:strCache>
            </c:strRef>
          </c:tx>
          <c:spPr>
            <a:ln w="28575" cap="rnd">
              <a:solidFill>
                <a:srgbClr val="061A3D"/>
              </a:solidFill>
              <a:round/>
            </a:ln>
            <a:effectLst/>
          </c:spPr>
          <c:marker>
            <c:symbol val="circle"/>
            <c:size val="5"/>
            <c:spPr>
              <a:solidFill>
                <a:srgbClr val="061A3D"/>
              </a:solidFill>
              <a:ln w="9525">
                <a:solidFill>
                  <a:srgbClr val="061A3D"/>
                </a:solidFill>
              </a:ln>
              <a:effectLst/>
            </c:spPr>
          </c:marker>
          <c:dLbls>
            <c:dLbl>
              <c:idx val="0"/>
              <c:spPr>
                <a:solidFill>
                  <a:srgbClr val="00B0F0"/>
                </a:solid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bg1"/>
                      </a:solidFill>
                      <a:latin typeface="Arial" panose="020B0604020202020204" pitchFamily="34" charset="0"/>
                      <a:ea typeface="+mn-ea"/>
                      <a:cs typeface="Arial" panose="020B0604020202020204" pitchFamily="34" charset="0"/>
                    </a:defRPr>
                  </a:pPr>
                  <a:endParaRPr lang="pl-PL"/>
                </a:p>
              </c:txPr>
              <c:dLblPos val="t"/>
              <c:showLegendKey val="0"/>
              <c:showVal val="1"/>
              <c:showCatName val="0"/>
              <c:showSerName val="0"/>
              <c:showPercent val="0"/>
              <c:showBubbleSize val="0"/>
              <c:extLst>
                <c:ext xmlns:c16="http://schemas.microsoft.com/office/drawing/2014/chart" uri="{C3380CC4-5D6E-409C-BE32-E72D297353CC}">
                  <c16:uniqueId val="{00000000-B103-4149-AF33-6CACBDD4EDD9}"/>
                </c:ext>
              </c:extLst>
            </c:dLbl>
            <c:dLbl>
              <c:idx val="2"/>
              <c:spPr>
                <a:solidFill>
                  <a:srgbClr val="00B0F0"/>
                </a:solid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bg1"/>
                      </a:solidFill>
                      <a:latin typeface="Arial" panose="020B0604020202020204" pitchFamily="34" charset="0"/>
                      <a:ea typeface="+mn-ea"/>
                      <a:cs typeface="Arial" panose="020B0604020202020204" pitchFamily="34" charset="0"/>
                    </a:defRPr>
                  </a:pPr>
                  <a:endParaRPr lang="pl-PL"/>
                </a:p>
              </c:txPr>
              <c:dLblPos val="t"/>
              <c:showLegendKey val="0"/>
              <c:showVal val="1"/>
              <c:showCatName val="0"/>
              <c:showSerName val="0"/>
              <c:showPercent val="0"/>
              <c:showBubbleSize val="0"/>
              <c:extLst>
                <c:ext xmlns:c16="http://schemas.microsoft.com/office/drawing/2014/chart" uri="{C3380CC4-5D6E-409C-BE32-E72D297353CC}">
                  <c16:uniqueId val="{00000000-6912-4E26-839A-F8FCB8B06308}"/>
                </c:ext>
              </c:extLst>
            </c:dLbl>
            <c:dLbl>
              <c:idx val="3"/>
              <c:spPr>
                <a:solidFill>
                  <a:srgbClr val="00B0F0"/>
                </a:solid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bg1"/>
                      </a:solidFill>
                      <a:latin typeface="Arial" panose="020B0604020202020204" pitchFamily="34" charset="0"/>
                      <a:ea typeface="+mn-ea"/>
                      <a:cs typeface="Arial" panose="020B0604020202020204" pitchFamily="34" charset="0"/>
                    </a:defRPr>
                  </a:pPr>
                  <a:endParaRPr lang="pl-PL"/>
                </a:p>
              </c:txPr>
              <c:dLblPos val="t"/>
              <c:showLegendKey val="0"/>
              <c:showVal val="1"/>
              <c:showCatName val="0"/>
              <c:showSerName val="0"/>
              <c:showPercent val="0"/>
              <c:showBubbleSize val="0"/>
              <c:extLst>
                <c:ext xmlns:c16="http://schemas.microsoft.com/office/drawing/2014/chart" uri="{C3380CC4-5D6E-409C-BE32-E72D297353CC}">
                  <c16:uniqueId val="{00000001-B103-4149-AF33-6CACBDD4EDD9}"/>
                </c:ext>
              </c:extLst>
            </c:dLbl>
            <c:dLbl>
              <c:idx val="5"/>
              <c:spPr>
                <a:solidFill>
                  <a:srgbClr val="EE0000"/>
                </a:solid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bg1"/>
                      </a:solidFill>
                      <a:latin typeface="Arial" panose="020B0604020202020204" pitchFamily="34" charset="0"/>
                      <a:ea typeface="+mn-ea"/>
                      <a:cs typeface="Arial" panose="020B0604020202020204" pitchFamily="34" charset="0"/>
                    </a:defRPr>
                  </a:pPr>
                  <a:endParaRPr lang="pl-PL"/>
                </a:p>
              </c:txPr>
              <c:dLblPos val="t"/>
              <c:showLegendKey val="0"/>
              <c:showVal val="1"/>
              <c:showCatName val="0"/>
              <c:showSerName val="0"/>
              <c:showPercent val="0"/>
              <c:showBubbleSize val="0"/>
              <c:extLst>
                <c:ext xmlns:c16="http://schemas.microsoft.com/office/drawing/2014/chart" uri="{C3380CC4-5D6E-409C-BE32-E72D297353CC}">
                  <c16:uniqueId val="{00000003-B103-4149-AF33-6CACBDD4EDD9}"/>
                </c:ext>
              </c:extLst>
            </c:dLbl>
            <c:dLbl>
              <c:idx val="9"/>
              <c:spPr>
                <a:solidFill>
                  <a:srgbClr val="EE0000"/>
                </a:solid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bg1"/>
                      </a:solidFill>
                      <a:latin typeface="Arial" panose="020B0604020202020204" pitchFamily="34" charset="0"/>
                      <a:ea typeface="+mn-ea"/>
                      <a:cs typeface="Arial" panose="020B0604020202020204" pitchFamily="34" charset="0"/>
                    </a:defRPr>
                  </a:pPr>
                  <a:endParaRPr lang="pl-PL"/>
                </a:p>
              </c:txPr>
              <c:dLblPos val="t"/>
              <c:showLegendKey val="0"/>
              <c:showVal val="1"/>
              <c:showCatName val="0"/>
              <c:showSerName val="0"/>
              <c:showPercent val="0"/>
              <c:showBubbleSize val="0"/>
              <c:extLst>
                <c:ext xmlns:c16="http://schemas.microsoft.com/office/drawing/2014/chart" uri="{C3380CC4-5D6E-409C-BE32-E72D297353CC}">
                  <c16:uniqueId val="{00000002-B103-4149-AF33-6CACBDD4EDD9}"/>
                </c:ext>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Arkusz1!$A$2:$A$11</c:f>
              <c:strCache>
                <c:ptCount val="10"/>
                <c:pt idx="0">
                  <c:v>2016 N=5366</c:v>
                </c:pt>
                <c:pt idx="1">
                  <c:v>2017 N=919</c:v>
                </c:pt>
                <c:pt idx="2">
                  <c:v>2018 N=5615</c:v>
                </c:pt>
                <c:pt idx="3">
                  <c:v>2019 N=905</c:v>
                </c:pt>
                <c:pt idx="4">
                  <c:v>2020 N=5514</c:v>
                </c:pt>
                <c:pt idx="5">
                  <c:v>2021 N=887</c:v>
                </c:pt>
                <c:pt idx="6">
                  <c:v>2022 N=5279</c:v>
                </c:pt>
                <c:pt idx="7">
                  <c:v>2023 N=888</c:v>
                </c:pt>
                <c:pt idx="8">
                  <c:v>2024 N=5707</c:v>
                </c:pt>
                <c:pt idx="9">
                  <c:v>2025 N=955</c:v>
                </c:pt>
              </c:strCache>
            </c:strRef>
          </c:cat>
          <c:val>
            <c:numRef>
              <c:f>Arkusz1!$B$2:$B$11</c:f>
              <c:numCache>
                <c:formatCode>0%</c:formatCode>
                <c:ptCount val="10"/>
                <c:pt idx="0">
                  <c:v>0.28999999999999998</c:v>
                </c:pt>
                <c:pt idx="1">
                  <c:v>0.65</c:v>
                </c:pt>
                <c:pt idx="2">
                  <c:v>0.56999999999999995</c:v>
                </c:pt>
                <c:pt idx="3">
                  <c:v>0.49</c:v>
                </c:pt>
                <c:pt idx="4">
                  <c:v>0.6</c:v>
                </c:pt>
                <c:pt idx="5">
                  <c:v>0.71</c:v>
                </c:pt>
                <c:pt idx="6">
                  <c:v>0.66</c:v>
                </c:pt>
                <c:pt idx="7">
                  <c:v>0.69</c:v>
                </c:pt>
                <c:pt idx="8">
                  <c:v>0.72</c:v>
                </c:pt>
                <c:pt idx="9">
                  <c:v>0.78</c:v>
                </c:pt>
              </c:numCache>
            </c:numRef>
          </c:val>
          <c:smooth val="0"/>
          <c:extLst>
            <c:ext xmlns:c16="http://schemas.microsoft.com/office/drawing/2014/chart" uri="{C3380CC4-5D6E-409C-BE32-E72D297353CC}">
              <c16:uniqueId val="{00000000-672C-41BE-AC63-9CD7A5435654}"/>
            </c:ext>
          </c:extLst>
        </c:ser>
        <c:dLbls>
          <c:showLegendKey val="0"/>
          <c:showVal val="0"/>
          <c:showCatName val="0"/>
          <c:showSerName val="0"/>
          <c:showPercent val="0"/>
          <c:showBubbleSize val="0"/>
        </c:dLbls>
        <c:marker val="1"/>
        <c:smooth val="0"/>
        <c:axId val="877883119"/>
        <c:axId val="877885519"/>
      </c:lineChart>
      <c:catAx>
        <c:axId val="87788311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crossAx val="877885519"/>
        <c:crosses val="autoZero"/>
        <c:auto val="1"/>
        <c:lblAlgn val="ctr"/>
        <c:lblOffset val="100"/>
        <c:noMultiLvlLbl val="0"/>
      </c:catAx>
      <c:valAx>
        <c:axId val="877885519"/>
        <c:scaling>
          <c:orientation val="minMax"/>
          <c:max val="1"/>
          <c:min val="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crossAx val="877883119"/>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pl-PL"/>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Arkusz1!$B$1</c:f>
              <c:strCache>
                <c:ptCount val="1"/>
                <c:pt idx="0">
                  <c:v>Wybrano (%)</c:v>
                </c:pt>
              </c:strCache>
            </c:strRef>
          </c:tx>
          <c:spPr>
            <a:solidFill>
              <a:srgbClr val="061A3D"/>
            </a:solidFill>
            <a:ln>
              <a:noFill/>
            </a:ln>
            <a:effectLst/>
          </c:spPr>
          <c:invertIfNegative val="0"/>
          <c:dLbls>
            <c:numFmt formatCode="0%" sourceLinked="0"/>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Arkusz1!$A$2:$A$13</c:f>
              <c:strCache>
                <c:ptCount val="12"/>
                <c:pt idx="0">
                  <c:v>Nie wiem, trudno powiedzieć</c:v>
                </c:pt>
                <c:pt idx="1">
                  <c:v>Osoby z niepełnosprawnością</c:v>
                </c:pt>
                <c:pt idx="2">
                  <c:v>Osoby młode</c:v>
                </c:pt>
                <c:pt idx="3">
                  <c:v>Osoby bezrobotne</c:v>
                </c:pt>
                <c:pt idx="4">
                  <c:v>Osoby planujące rozpocząć działalność gospodarczą</c:v>
                </c:pt>
                <c:pt idx="5">
                  <c:v>Rolnicy</c:v>
                </c:pt>
                <c:pt idx="6">
                  <c:v>Ja sam(a) jako mieszkaniec Polski</c:v>
                </c:pt>
                <c:pt idx="7">
                  <c:v>Organizacje pozarządowe (fundacje, stowarzyszenia)</c:v>
                </c:pt>
                <c:pt idx="8">
                  <c:v>Władze samorządowe (gminy, powiaty)</c:v>
                </c:pt>
                <c:pt idx="9">
                  <c:v>Placówki edukacyjne (przedszkola, szkoły, uczelnie)</c:v>
                </c:pt>
                <c:pt idx="10">
                  <c:v>Placówki służby zdrowia (przychodnie, szpitale)</c:v>
                </c:pt>
                <c:pt idx="11">
                  <c:v>Firmy, przedsiębiorstwa prywatne lub państwowe</c:v>
                </c:pt>
              </c:strCache>
            </c:strRef>
          </c:cat>
          <c:val>
            <c:numRef>
              <c:f>Arkusz1!$B$2:$B$13</c:f>
              <c:numCache>
                <c:formatCode>0.00%</c:formatCode>
                <c:ptCount val="12"/>
                <c:pt idx="0">
                  <c:v>2.5999999999999999E-2</c:v>
                </c:pt>
                <c:pt idx="1">
                  <c:v>0.13900000000000001</c:v>
                </c:pt>
                <c:pt idx="2">
                  <c:v>0.17199999999999999</c:v>
                </c:pt>
                <c:pt idx="3">
                  <c:v>0.251</c:v>
                </c:pt>
                <c:pt idx="4">
                  <c:v>0.25700000000000001</c:v>
                </c:pt>
                <c:pt idx="5">
                  <c:v>0.36299999999999999</c:v>
                </c:pt>
                <c:pt idx="6">
                  <c:v>0.40100000000000002</c:v>
                </c:pt>
                <c:pt idx="7">
                  <c:v>0.42499999999999999</c:v>
                </c:pt>
                <c:pt idx="8">
                  <c:v>0.504</c:v>
                </c:pt>
                <c:pt idx="9">
                  <c:v>0.53400000000000003</c:v>
                </c:pt>
                <c:pt idx="10">
                  <c:v>0.57099999999999995</c:v>
                </c:pt>
                <c:pt idx="11">
                  <c:v>0.75</c:v>
                </c:pt>
              </c:numCache>
            </c:numRef>
          </c:val>
          <c:extLst>
            <c:ext xmlns:c16="http://schemas.microsoft.com/office/drawing/2014/chart" uri="{C3380CC4-5D6E-409C-BE32-E72D297353CC}">
              <c16:uniqueId val="{00000000-1A53-43FE-AC7B-C1A58AE8EFA8}"/>
            </c:ext>
          </c:extLst>
        </c:ser>
        <c:dLbls>
          <c:showLegendKey val="0"/>
          <c:showVal val="0"/>
          <c:showCatName val="0"/>
          <c:showSerName val="0"/>
          <c:showPercent val="0"/>
          <c:showBubbleSize val="0"/>
        </c:dLbls>
        <c:gapWidth val="142"/>
        <c:axId val="432009056"/>
        <c:axId val="432009536"/>
      </c:barChart>
      <c:catAx>
        <c:axId val="43200905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crossAx val="432009536"/>
        <c:crosses val="autoZero"/>
        <c:auto val="1"/>
        <c:lblAlgn val="ctr"/>
        <c:lblOffset val="100"/>
        <c:noMultiLvlLbl val="0"/>
      </c:catAx>
      <c:valAx>
        <c:axId val="432009536"/>
        <c:scaling>
          <c:orientation val="minMax"/>
        </c:scaling>
        <c:delete val="0"/>
        <c:axPos val="b"/>
        <c:majorGridlines>
          <c:spPr>
            <a:ln w="9525" cap="flat" cmpd="sng" algn="ctr">
              <a:no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432009056"/>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Arkusz1!$B$1</c:f>
              <c:strCache>
                <c:ptCount val="1"/>
                <c:pt idx="0">
                  <c:v>T2B („zdecydowanie tak” + „raczej tak”)</c:v>
                </c:pt>
              </c:strCache>
            </c:strRef>
          </c:tx>
          <c:spPr>
            <a:ln w="28575" cap="rnd">
              <a:solidFill>
                <a:srgbClr val="061A3D"/>
              </a:solidFill>
              <a:round/>
            </a:ln>
            <a:effectLst/>
          </c:spPr>
          <c:marker>
            <c:symbol val="circle"/>
            <c:size val="5"/>
            <c:spPr>
              <a:solidFill>
                <a:srgbClr val="061A3D"/>
              </a:solidFill>
              <a:ln w="9525">
                <a:solidFill>
                  <a:srgbClr val="061A3D"/>
                </a:solidFill>
              </a:ln>
              <a:effectLst/>
            </c:spPr>
          </c:marker>
          <c:dLbls>
            <c:dLbl>
              <c:idx val="10"/>
              <c:numFmt formatCode="0%" sourceLinked="0"/>
              <c:spPr>
                <a:solidFill>
                  <a:srgbClr val="EE0000"/>
                </a:solid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bg1"/>
                      </a:solidFill>
                      <a:latin typeface="Arial" panose="020B0604020202020204" pitchFamily="34" charset="0"/>
                      <a:ea typeface="+mn-ea"/>
                      <a:cs typeface="Arial" panose="020B0604020202020204" pitchFamily="34" charset="0"/>
                    </a:defRPr>
                  </a:pPr>
                  <a:endParaRPr lang="pl-PL"/>
                </a:p>
              </c:txPr>
              <c:dLblPos val="t"/>
              <c:showLegendKey val="0"/>
              <c:showVal val="1"/>
              <c:showCatName val="0"/>
              <c:showSerName val="0"/>
              <c:showPercent val="0"/>
              <c:showBubbleSize val="0"/>
              <c:extLst>
                <c:ext xmlns:c16="http://schemas.microsoft.com/office/drawing/2014/chart" uri="{C3380CC4-5D6E-409C-BE32-E72D297353CC}">
                  <c16:uniqueId val="{00000000-8D8D-4CC3-BDAA-83AF638A8AB4}"/>
                </c:ext>
              </c:extLst>
            </c:dLbl>
            <c:numFmt formatCode="0%" sourceLinked="0"/>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Arkusz1!$A$2:$A$12</c:f>
              <c:strCache>
                <c:ptCount val="11"/>
                <c:pt idx="0">
                  <c:v>2015 N=1642</c:v>
                </c:pt>
                <c:pt idx="1">
                  <c:v>2016 N=5366</c:v>
                </c:pt>
                <c:pt idx="2">
                  <c:v>2017 N=919</c:v>
                </c:pt>
                <c:pt idx="3">
                  <c:v>2018 N=5615</c:v>
                </c:pt>
                <c:pt idx="4">
                  <c:v>2019 N=905</c:v>
                </c:pt>
                <c:pt idx="5">
                  <c:v>2020 N=5514</c:v>
                </c:pt>
                <c:pt idx="6">
                  <c:v>2021 N=887</c:v>
                </c:pt>
                <c:pt idx="7">
                  <c:v>2022 N=5279</c:v>
                </c:pt>
                <c:pt idx="8">
                  <c:v>2023 N=888</c:v>
                </c:pt>
                <c:pt idx="9">
                  <c:v>2024 N=5707</c:v>
                </c:pt>
                <c:pt idx="10">
                  <c:v>2025 N=955</c:v>
                </c:pt>
              </c:strCache>
            </c:strRef>
          </c:cat>
          <c:val>
            <c:numRef>
              <c:f>Arkusz1!$B$2:$B$12</c:f>
              <c:numCache>
                <c:formatCode>0%</c:formatCode>
                <c:ptCount val="11"/>
                <c:pt idx="0">
                  <c:v>0.79</c:v>
                </c:pt>
                <c:pt idx="1">
                  <c:v>0.86</c:v>
                </c:pt>
                <c:pt idx="2">
                  <c:v>0.88</c:v>
                </c:pt>
                <c:pt idx="3">
                  <c:v>0.87</c:v>
                </c:pt>
                <c:pt idx="4">
                  <c:v>0.84</c:v>
                </c:pt>
                <c:pt idx="5">
                  <c:v>0.85</c:v>
                </c:pt>
                <c:pt idx="6">
                  <c:v>0.83</c:v>
                </c:pt>
                <c:pt idx="7">
                  <c:v>0.85</c:v>
                </c:pt>
                <c:pt idx="8">
                  <c:v>0.85</c:v>
                </c:pt>
                <c:pt idx="9" formatCode="0.00%">
                  <c:v>0.87</c:v>
                </c:pt>
                <c:pt idx="10" formatCode="0.00%">
                  <c:v>0.91</c:v>
                </c:pt>
              </c:numCache>
            </c:numRef>
          </c:val>
          <c:smooth val="0"/>
          <c:extLst>
            <c:ext xmlns:c16="http://schemas.microsoft.com/office/drawing/2014/chart" uri="{C3380CC4-5D6E-409C-BE32-E72D297353CC}">
              <c16:uniqueId val="{00000000-8585-4D07-ABB0-EB5CD0CD6D01}"/>
            </c:ext>
          </c:extLst>
        </c:ser>
        <c:dLbls>
          <c:showLegendKey val="0"/>
          <c:showVal val="0"/>
          <c:showCatName val="0"/>
          <c:showSerName val="0"/>
          <c:showPercent val="0"/>
          <c:showBubbleSize val="0"/>
        </c:dLbls>
        <c:marker val="1"/>
        <c:smooth val="0"/>
        <c:axId val="877883119"/>
        <c:axId val="877885519"/>
      </c:lineChart>
      <c:catAx>
        <c:axId val="87788311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crossAx val="877885519"/>
        <c:crosses val="autoZero"/>
        <c:auto val="1"/>
        <c:lblAlgn val="ctr"/>
        <c:lblOffset val="100"/>
        <c:noMultiLvlLbl val="0"/>
      </c:catAx>
      <c:valAx>
        <c:axId val="877885519"/>
        <c:scaling>
          <c:orientation val="minMax"/>
          <c:max val="1"/>
          <c:min val="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crossAx val="877883119"/>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pl-PL"/>
    </a:p>
  </c:txPr>
  <c:externalData r:id="rId3">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122076241886193"/>
          <c:y val="5.7364658052758241E-2"/>
          <c:w val="0.79105690258972583"/>
          <c:h val="0.85466502332609018"/>
        </c:manualLayout>
      </c:layout>
      <c:barChart>
        <c:barDir val="bar"/>
        <c:grouping val="percentStacked"/>
        <c:varyColors val="0"/>
        <c:ser>
          <c:idx val="0"/>
          <c:order val="0"/>
          <c:tx>
            <c:strRef>
              <c:f>Arkusz1!$B$1</c:f>
              <c:strCache>
                <c:ptCount val="1"/>
                <c:pt idx="0">
                  <c:v>zdecydowanie tak</c:v>
                </c:pt>
              </c:strCache>
            </c:strRef>
          </c:tx>
          <c:spPr>
            <a:solidFill>
              <a:srgbClr val="061A3D"/>
            </a:solidFill>
            <a:ln>
              <a:noFill/>
            </a:ln>
            <a:effectLst/>
          </c:spPr>
          <c:invertIfNegative val="0"/>
          <c:dLbls>
            <c:dLbl>
              <c:idx val="9"/>
              <c:numFmt formatCode="0%" sourceLinked="0"/>
              <c:spPr>
                <a:solidFill>
                  <a:srgbClr val="EE0000"/>
                </a:solid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bg1"/>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extLst>
                <c:ext xmlns:c16="http://schemas.microsoft.com/office/drawing/2014/chart" uri="{C3380CC4-5D6E-409C-BE32-E72D297353CC}">
                  <c16:uniqueId val="{00000001-88DF-4232-A3B3-1F188E2F6E5B}"/>
                </c:ext>
              </c:extLst>
            </c:dLbl>
            <c:dLbl>
              <c:idx val="22"/>
              <c:numFmt formatCode="0%" sourceLinked="0"/>
              <c:spPr>
                <a:solidFill>
                  <a:srgbClr val="EE0000"/>
                </a:solid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bg1"/>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extLst>
                <c:ext xmlns:c16="http://schemas.microsoft.com/office/drawing/2014/chart" uri="{C3380CC4-5D6E-409C-BE32-E72D297353CC}">
                  <c16:uniqueId val="{00000000-88DF-4232-A3B3-1F188E2F6E5B}"/>
                </c:ext>
              </c:extLst>
            </c:dLbl>
            <c:numFmt formatCode="0%" sourceLinked="0"/>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bg1"/>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Arkusz1!$A$2:$A$25</c:f>
              <c:strCache>
                <c:ptCount val="24"/>
                <c:pt idx="0">
                  <c:v>Ogółem</c:v>
                </c:pt>
                <c:pt idx="2">
                  <c:v>Kobieta</c:v>
                </c:pt>
                <c:pt idx="3">
                  <c:v>Mężczyzna</c:v>
                </c:pt>
                <c:pt idx="5">
                  <c:v>15–19</c:v>
                </c:pt>
                <c:pt idx="6">
                  <c:v>20–24</c:v>
                </c:pt>
                <c:pt idx="7">
                  <c:v>25–34</c:v>
                </c:pt>
                <c:pt idx="8">
                  <c:v>35–44</c:v>
                </c:pt>
                <c:pt idx="9">
                  <c:v>45–54</c:v>
                </c:pt>
                <c:pt idx="10">
                  <c:v>55–64</c:v>
                </c:pt>
                <c:pt idx="11">
                  <c:v>65+</c:v>
                </c:pt>
                <c:pt idx="13">
                  <c:v>Wyższe</c:v>
                </c:pt>
                <c:pt idx="14">
                  <c:v>Średnie</c:v>
                </c:pt>
                <c:pt idx="15">
                  <c:v>Zawodowe</c:v>
                </c:pt>
                <c:pt idx="16">
                  <c:v>Podstawowe</c:v>
                </c:pt>
                <c:pt idx="18">
                  <c:v>Wieś</c:v>
                </c:pt>
                <c:pt idx="19">
                  <c:v>Do 20 tys.</c:v>
                </c:pt>
                <c:pt idx="20">
                  <c:v>20–49 tys.</c:v>
                </c:pt>
                <c:pt idx="21">
                  <c:v>50–199 tys.</c:v>
                </c:pt>
                <c:pt idx="22">
                  <c:v>200–499 tys.</c:v>
                </c:pt>
                <c:pt idx="23">
                  <c:v>500 tys.+</c:v>
                </c:pt>
              </c:strCache>
            </c:strRef>
          </c:cat>
          <c:val>
            <c:numRef>
              <c:f>Arkusz1!$B$2:$B$25</c:f>
              <c:numCache>
                <c:formatCode>General</c:formatCode>
                <c:ptCount val="24"/>
                <c:pt idx="0" formatCode="0.00%">
                  <c:v>0.35399999999999998</c:v>
                </c:pt>
                <c:pt idx="2" formatCode="0.00%">
                  <c:v>0.34699999999999998</c:v>
                </c:pt>
                <c:pt idx="3" formatCode="0.00%">
                  <c:v>0.36</c:v>
                </c:pt>
                <c:pt idx="5" formatCode="0.00%">
                  <c:v>0.40699999999999997</c:v>
                </c:pt>
                <c:pt idx="6" formatCode="0.00%">
                  <c:v>0.39300000000000002</c:v>
                </c:pt>
                <c:pt idx="7" formatCode="0.00%">
                  <c:v>0.36099999999999999</c:v>
                </c:pt>
                <c:pt idx="8" formatCode="0.00%">
                  <c:v>0.30199999999999999</c:v>
                </c:pt>
                <c:pt idx="9" formatCode="0.00%">
                  <c:v>0.433</c:v>
                </c:pt>
                <c:pt idx="10" formatCode="0.00%">
                  <c:v>0.315</c:v>
                </c:pt>
                <c:pt idx="11" formatCode="0.00%">
                  <c:v>0.34200000000000003</c:v>
                </c:pt>
                <c:pt idx="13" formatCode="0.00%">
                  <c:v>0.32500000000000001</c:v>
                </c:pt>
                <c:pt idx="14" formatCode="0.00%">
                  <c:v>0.33700000000000002</c:v>
                </c:pt>
                <c:pt idx="15" formatCode="0.00%">
                  <c:v>0.40600000000000003</c:v>
                </c:pt>
                <c:pt idx="16" formatCode="0.00%">
                  <c:v>0.36099999999999999</c:v>
                </c:pt>
                <c:pt idx="18" formatCode="0.00%">
                  <c:v>0.33600000000000002</c:v>
                </c:pt>
                <c:pt idx="19" formatCode="0.00%">
                  <c:v>0.33600000000000002</c:v>
                </c:pt>
                <c:pt idx="20" formatCode="0.00%">
                  <c:v>0.30099999999999999</c:v>
                </c:pt>
                <c:pt idx="21" formatCode="0.00%">
                  <c:v>0.378</c:v>
                </c:pt>
                <c:pt idx="22" formatCode="0.00%">
                  <c:v>0.432</c:v>
                </c:pt>
                <c:pt idx="23" formatCode="0.00%">
                  <c:v>0.4</c:v>
                </c:pt>
              </c:numCache>
            </c:numRef>
          </c:val>
          <c:extLst>
            <c:ext xmlns:c16="http://schemas.microsoft.com/office/drawing/2014/chart" uri="{C3380CC4-5D6E-409C-BE32-E72D297353CC}">
              <c16:uniqueId val="{00000000-08D2-411E-8360-0AAC235D73E0}"/>
            </c:ext>
          </c:extLst>
        </c:ser>
        <c:ser>
          <c:idx val="1"/>
          <c:order val="1"/>
          <c:tx>
            <c:strRef>
              <c:f>Arkusz1!$C$1</c:f>
              <c:strCache>
                <c:ptCount val="1"/>
                <c:pt idx="0">
                  <c:v>raczej tak</c:v>
                </c:pt>
              </c:strCache>
            </c:strRef>
          </c:tx>
          <c:spPr>
            <a:solidFill>
              <a:schemeClr val="accent5">
                <a:lumMod val="50000"/>
              </a:schemeClr>
            </a:solidFill>
            <a:ln>
              <a:noFill/>
            </a:ln>
            <a:effectLst/>
          </c:spPr>
          <c:invertIfNegative val="0"/>
          <c:dLbls>
            <c:numFmt formatCode="0%" sourceLinked="0"/>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bg1"/>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Arkusz1!$A$2:$A$25</c:f>
              <c:strCache>
                <c:ptCount val="24"/>
                <c:pt idx="0">
                  <c:v>Ogółem</c:v>
                </c:pt>
                <c:pt idx="2">
                  <c:v>Kobieta</c:v>
                </c:pt>
                <c:pt idx="3">
                  <c:v>Mężczyzna</c:v>
                </c:pt>
                <c:pt idx="5">
                  <c:v>15–19</c:v>
                </c:pt>
                <c:pt idx="6">
                  <c:v>20–24</c:v>
                </c:pt>
                <c:pt idx="7">
                  <c:v>25–34</c:v>
                </c:pt>
                <c:pt idx="8">
                  <c:v>35–44</c:v>
                </c:pt>
                <c:pt idx="9">
                  <c:v>45–54</c:v>
                </c:pt>
                <c:pt idx="10">
                  <c:v>55–64</c:v>
                </c:pt>
                <c:pt idx="11">
                  <c:v>65+</c:v>
                </c:pt>
                <c:pt idx="13">
                  <c:v>Wyższe</c:v>
                </c:pt>
                <c:pt idx="14">
                  <c:v>Średnie</c:v>
                </c:pt>
                <c:pt idx="15">
                  <c:v>Zawodowe</c:v>
                </c:pt>
                <c:pt idx="16">
                  <c:v>Podstawowe</c:v>
                </c:pt>
                <c:pt idx="18">
                  <c:v>Wieś</c:v>
                </c:pt>
                <c:pt idx="19">
                  <c:v>Do 20 tys.</c:v>
                </c:pt>
                <c:pt idx="20">
                  <c:v>20–49 tys.</c:v>
                </c:pt>
                <c:pt idx="21">
                  <c:v>50–199 tys.</c:v>
                </c:pt>
                <c:pt idx="22">
                  <c:v>200–499 tys.</c:v>
                </c:pt>
                <c:pt idx="23">
                  <c:v>500 tys.+</c:v>
                </c:pt>
              </c:strCache>
            </c:strRef>
          </c:cat>
          <c:val>
            <c:numRef>
              <c:f>Arkusz1!$C$2:$C$25</c:f>
              <c:numCache>
                <c:formatCode>General</c:formatCode>
                <c:ptCount val="24"/>
                <c:pt idx="0" formatCode="0.00%">
                  <c:v>0.56000000000000005</c:v>
                </c:pt>
                <c:pt idx="2" formatCode="0.00%">
                  <c:v>0.57599999999999996</c:v>
                </c:pt>
                <c:pt idx="3" formatCode="0.00%">
                  <c:v>0.55300000000000005</c:v>
                </c:pt>
                <c:pt idx="5" formatCode="0.00%">
                  <c:v>0.54200000000000004</c:v>
                </c:pt>
                <c:pt idx="6" formatCode="0.00%">
                  <c:v>0.54100000000000004</c:v>
                </c:pt>
                <c:pt idx="7" formatCode="0.00%">
                  <c:v>0.59899999999999998</c:v>
                </c:pt>
                <c:pt idx="8" formatCode="0.00%">
                  <c:v>0.59899999999999998</c:v>
                </c:pt>
                <c:pt idx="9" formatCode="0.00%">
                  <c:v>0.48899999999999999</c:v>
                </c:pt>
                <c:pt idx="10" formatCode="0.00%">
                  <c:v>0.60599999999999998</c:v>
                </c:pt>
                <c:pt idx="11" formatCode="0.00%">
                  <c:v>0.54800000000000004</c:v>
                </c:pt>
                <c:pt idx="13" formatCode="0.00%">
                  <c:v>0.57799999999999996</c:v>
                </c:pt>
                <c:pt idx="14" formatCode="0.00%">
                  <c:v>0.59599999999999997</c:v>
                </c:pt>
                <c:pt idx="15" formatCode="0.00%">
                  <c:v>0.50600000000000001</c:v>
                </c:pt>
                <c:pt idx="16" formatCode="0.00%">
                  <c:v>0.56299999999999994</c:v>
                </c:pt>
                <c:pt idx="18" formatCode="0.00%">
                  <c:v>0.59599999999999997</c:v>
                </c:pt>
                <c:pt idx="19" formatCode="0.00%">
                  <c:v>0.59799999999999998</c:v>
                </c:pt>
                <c:pt idx="20" formatCode="0.00%">
                  <c:v>0.61099999999999999</c:v>
                </c:pt>
                <c:pt idx="21" formatCode="0.00%">
                  <c:v>0.51700000000000002</c:v>
                </c:pt>
                <c:pt idx="22" formatCode="0.00%">
                  <c:v>0.44400000000000001</c:v>
                </c:pt>
                <c:pt idx="23" formatCode="0.00%">
                  <c:v>0.52200000000000002</c:v>
                </c:pt>
              </c:numCache>
            </c:numRef>
          </c:val>
          <c:extLst>
            <c:ext xmlns:c16="http://schemas.microsoft.com/office/drawing/2014/chart" uri="{C3380CC4-5D6E-409C-BE32-E72D297353CC}">
              <c16:uniqueId val="{00000001-08D2-411E-8360-0AAC235D73E0}"/>
            </c:ext>
          </c:extLst>
        </c:ser>
        <c:ser>
          <c:idx val="2"/>
          <c:order val="2"/>
          <c:tx>
            <c:strRef>
              <c:f>Arkusz1!$D$1</c:f>
              <c:strCache>
                <c:ptCount val="1"/>
                <c:pt idx="0">
                  <c:v>ani tak, ani nie</c:v>
                </c:pt>
              </c:strCache>
            </c:strRef>
          </c:tx>
          <c:spPr>
            <a:solidFill>
              <a:schemeClr val="accent3"/>
            </a:solidFill>
            <a:ln>
              <a:noFill/>
            </a:ln>
            <a:effectLst/>
          </c:spPr>
          <c:invertIfNegative val="0"/>
          <c:dLbls>
            <c:numFmt formatCode="0%" sourceLinked="0"/>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bg1"/>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Arkusz1!$A$2:$A$25</c:f>
              <c:strCache>
                <c:ptCount val="24"/>
                <c:pt idx="0">
                  <c:v>Ogółem</c:v>
                </c:pt>
                <c:pt idx="2">
                  <c:v>Kobieta</c:v>
                </c:pt>
                <c:pt idx="3">
                  <c:v>Mężczyzna</c:v>
                </c:pt>
                <c:pt idx="5">
                  <c:v>15–19</c:v>
                </c:pt>
                <c:pt idx="6">
                  <c:v>20–24</c:v>
                </c:pt>
                <c:pt idx="7">
                  <c:v>25–34</c:v>
                </c:pt>
                <c:pt idx="8">
                  <c:v>35–44</c:v>
                </c:pt>
                <c:pt idx="9">
                  <c:v>45–54</c:v>
                </c:pt>
                <c:pt idx="10">
                  <c:v>55–64</c:v>
                </c:pt>
                <c:pt idx="11">
                  <c:v>65+</c:v>
                </c:pt>
                <c:pt idx="13">
                  <c:v>Wyższe</c:v>
                </c:pt>
                <c:pt idx="14">
                  <c:v>Średnie</c:v>
                </c:pt>
                <c:pt idx="15">
                  <c:v>Zawodowe</c:v>
                </c:pt>
                <c:pt idx="16">
                  <c:v>Podstawowe</c:v>
                </c:pt>
                <c:pt idx="18">
                  <c:v>Wieś</c:v>
                </c:pt>
                <c:pt idx="19">
                  <c:v>Do 20 tys.</c:v>
                </c:pt>
                <c:pt idx="20">
                  <c:v>20–49 tys.</c:v>
                </c:pt>
                <c:pt idx="21">
                  <c:v>50–199 tys.</c:v>
                </c:pt>
                <c:pt idx="22">
                  <c:v>200–499 tys.</c:v>
                </c:pt>
                <c:pt idx="23">
                  <c:v>500 tys.+</c:v>
                </c:pt>
              </c:strCache>
            </c:strRef>
          </c:cat>
          <c:val>
            <c:numRef>
              <c:f>Arkusz1!$D$2:$D$25</c:f>
              <c:numCache>
                <c:formatCode>General</c:formatCode>
                <c:ptCount val="24"/>
                <c:pt idx="0" formatCode="0.00%">
                  <c:v>5.7000000000000002E-2</c:v>
                </c:pt>
                <c:pt idx="2" formatCode="0.00%">
                  <c:v>5.1999999999999998E-2</c:v>
                </c:pt>
                <c:pt idx="3" formatCode="0.00%">
                  <c:v>0.06</c:v>
                </c:pt>
                <c:pt idx="5" formatCode="0.00%">
                  <c:v>5.0999999999999997E-2</c:v>
                </c:pt>
                <c:pt idx="6" formatCode="0.00%">
                  <c:v>3.3000000000000002E-2</c:v>
                </c:pt>
                <c:pt idx="7" formatCode="0.00%">
                  <c:v>2.7E-2</c:v>
                </c:pt>
                <c:pt idx="8" formatCode="0.00%">
                  <c:v>8.3000000000000004E-2</c:v>
                </c:pt>
                <c:pt idx="9" formatCode="0.00%">
                  <c:v>0.05</c:v>
                </c:pt>
                <c:pt idx="10" formatCode="0.00%">
                  <c:v>4.7E-2</c:v>
                </c:pt>
                <c:pt idx="11" formatCode="0.00%">
                  <c:v>7.0000000000000007E-2</c:v>
                </c:pt>
                <c:pt idx="13" formatCode="0.00%">
                  <c:v>7.4999999999999997E-2</c:v>
                </c:pt>
                <c:pt idx="14" formatCode="0.00%">
                  <c:v>5.1999999999999998E-2</c:v>
                </c:pt>
                <c:pt idx="15" formatCode="0.00%">
                  <c:v>6.3E-2</c:v>
                </c:pt>
                <c:pt idx="16" formatCode="0.00%">
                  <c:v>1.7000000000000001E-2</c:v>
                </c:pt>
                <c:pt idx="18" formatCode="0.00%">
                  <c:v>3.6999999999999998E-2</c:v>
                </c:pt>
                <c:pt idx="19" formatCode="0.00%">
                  <c:v>4.9000000000000002E-2</c:v>
                </c:pt>
                <c:pt idx="20" formatCode="0.00%">
                  <c:v>7.0999999999999994E-2</c:v>
                </c:pt>
                <c:pt idx="21" formatCode="0.00%">
                  <c:v>9.0999999999999998E-2</c:v>
                </c:pt>
                <c:pt idx="22" formatCode="0.00%">
                  <c:v>7.3999999999999996E-2</c:v>
                </c:pt>
                <c:pt idx="23" formatCode="0.00%">
                  <c:v>6.0999999999999999E-2</c:v>
                </c:pt>
              </c:numCache>
            </c:numRef>
          </c:val>
          <c:extLst>
            <c:ext xmlns:c16="http://schemas.microsoft.com/office/drawing/2014/chart" uri="{C3380CC4-5D6E-409C-BE32-E72D297353CC}">
              <c16:uniqueId val="{00000002-08D2-411E-8360-0AAC235D73E0}"/>
            </c:ext>
          </c:extLst>
        </c:ser>
        <c:ser>
          <c:idx val="3"/>
          <c:order val="3"/>
          <c:tx>
            <c:strRef>
              <c:f>Arkusz1!$E$1</c:f>
              <c:strCache>
                <c:ptCount val="1"/>
                <c:pt idx="0">
                  <c:v>raczej nie</c:v>
                </c:pt>
              </c:strCache>
            </c:strRef>
          </c:tx>
          <c:spPr>
            <a:solidFill>
              <a:schemeClr val="accent2">
                <a:lumMod val="75000"/>
              </a:schemeClr>
            </a:solidFill>
            <a:ln>
              <a:noFill/>
            </a:ln>
            <a:effectLst/>
          </c:spPr>
          <c:invertIfNegative val="0"/>
          <c:dLbls>
            <c:dLbl>
              <c:idx val="0"/>
              <c:layout>
                <c:manualLayout>
                  <c:x val="-2.2662889518413596E-3"/>
                  <c:y val="2.96735905044510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36C-4C73-B949-8271667EA5B1}"/>
                </c:ext>
              </c:extLst>
            </c:dLbl>
            <c:dLbl>
              <c:idx val="2"/>
              <c:delete val="1"/>
              <c:extLst>
                <c:ext xmlns:c15="http://schemas.microsoft.com/office/drawing/2012/chart" uri="{CE6537A1-D6FC-4f65-9D91-7224C49458BB}"/>
                <c:ext xmlns:c16="http://schemas.microsoft.com/office/drawing/2014/chart" uri="{C3380CC4-5D6E-409C-BE32-E72D297353CC}">
                  <c16:uniqueId val="{00000001-436C-4C73-B949-8271667EA5B1}"/>
                </c:ext>
              </c:extLst>
            </c:dLbl>
            <c:dLbl>
              <c:idx val="5"/>
              <c:delete val="1"/>
              <c:extLst>
                <c:ext xmlns:c15="http://schemas.microsoft.com/office/drawing/2012/chart" uri="{CE6537A1-D6FC-4f65-9D91-7224C49458BB}"/>
                <c:ext xmlns:c16="http://schemas.microsoft.com/office/drawing/2014/chart" uri="{C3380CC4-5D6E-409C-BE32-E72D297353CC}">
                  <c16:uniqueId val="{00000003-436C-4C73-B949-8271667EA5B1}"/>
                </c:ext>
              </c:extLst>
            </c:dLbl>
            <c:dLbl>
              <c:idx val="6"/>
              <c:layout>
                <c:manualLayout>
                  <c:x val="0"/>
                  <c:y val="1.730959446092981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58D4-41CA-B686-DA5EF4C87A7F}"/>
                </c:ext>
              </c:extLst>
            </c:dLbl>
            <c:dLbl>
              <c:idx val="7"/>
              <c:delete val="1"/>
              <c:extLst>
                <c:ext xmlns:c15="http://schemas.microsoft.com/office/drawing/2012/chart" uri="{CE6537A1-D6FC-4f65-9D91-7224C49458BB}"/>
                <c:ext xmlns:c16="http://schemas.microsoft.com/office/drawing/2014/chart" uri="{C3380CC4-5D6E-409C-BE32-E72D297353CC}">
                  <c16:uniqueId val="{0000000C-58D4-41CA-B686-DA5EF4C87A7F}"/>
                </c:ext>
              </c:extLst>
            </c:dLbl>
            <c:dLbl>
              <c:idx val="8"/>
              <c:layout>
                <c:manualLayout>
                  <c:x val="-1.6619260326389838E-16"/>
                  <c:y val="1.483679525222556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58D4-41CA-B686-DA5EF4C87A7F}"/>
                </c:ext>
              </c:extLst>
            </c:dLbl>
            <c:dLbl>
              <c:idx val="9"/>
              <c:layout>
                <c:manualLayout>
                  <c:x val="2.2662889518411935E-3"/>
                  <c:y val="1.483679525222556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58D4-41CA-B686-DA5EF4C87A7F}"/>
                </c:ext>
              </c:extLst>
            </c:dLbl>
            <c:dLbl>
              <c:idx val="10"/>
              <c:layout>
                <c:manualLayout>
                  <c:x val="0"/>
                  <c:y val="1.978239366963397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58D4-41CA-B686-DA5EF4C87A7F}"/>
                </c:ext>
              </c:extLst>
            </c:dLbl>
            <c:dLbl>
              <c:idx val="11"/>
              <c:delete val="1"/>
              <c:extLst>
                <c:ext xmlns:c15="http://schemas.microsoft.com/office/drawing/2012/chart" uri="{CE6537A1-D6FC-4f65-9D91-7224C49458BB}"/>
                <c:ext xmlns:c16="http://schemas.microsoft.com/office/drawing/2014/chart" uri="{C3380CC4-5D6E-409C-BE32-E72D297353CC}">
                  <c16:uniqueId val="{0000000B-436C-4C73-B949-8271667EA5B1}"/>
                </c:ext>
              </c:extLst>
            </c:dLbl>
            <c:dLbl>
              <c:idx val="13"/>
              <c:layout>
                <c:manualLayout>
                  <c:x val="-2.2662889518413596E-3"/>
                  <c:y val="2.720079129574687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436C-4C73-B949-8271667EA5B1}"/>
                </c:ext>
              </c:extLst>
            </c:dLbl>
            <c:dLbl>
              <c:idx val="14"/>
              <c:layout>
                <c:manualLayout>
                  <c:x val="0"/>
                  <c:y val="1.730959446092977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436C-4C73-B949-8271667EA5B1}"/>
                </c:ext>
              </c:extLst>
            </c:dLbl>
            <c:dLbl>
              <c:idx val="15"/>
              <c:delete val="1"/>
              <c:extLst>
                <c:ext xmlns:c15="http://schemas.microsoft.com/office/drawing/2012/chart" uri="{CE6537A1-D6FC-4f65-9D91-7224C49458BB}"/>
                <c:ext xmlns:c16="http://schemas.microsoft.com/office/drawing/2014/chart" uri="{C3380CC4-5D6E-409C-BE32-E72D297353CC}">
                  <c16:uniqueId val="{00000005-436C-4C73-B949-8271667EA5B1}"/>
                </c:ext>
              </c:extLst>
            </c:dLbl>
            <c:dLbl>
              <c:idx val="16"/>
              <c:delete val="1"/>
              <c:extLst>
                <c:ext xmlns:c15="http://schemas.microsoft.com/office/drawing/2012/chart" uri="{CE6537A1-D6FC-4f65-9D91-7224C49458BB}"/>
                <c:ext xmlns:c16="http://schemas.microsoft.com/office/drawing/2014/chart" uri="{C3380CC4-5D6E-409C-BE32-E72D297353CC}">
                  <c16:uniqueId val="{0000000A-436C-4C73-B949-8271667EA5B1}"/>
                </c:ext>
              </c:extLst>
            </c:dLbl>
            <c:dLbl>
              <c:idx val="18"/>
              <c:layout>
                <c:manualLayout>
                  <c:x val="-2.2662889518413596E-3"/>
                  <c:y val="2.96735905044511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436C-4C73-B949-8271667EA5B1}"/>
                </c:ext>
              </c:extLst>
            </c:dLbl>
            <c:dLbl>
              <c:idx val="19"/>
              <c:layout>
                <c:manualLayout>
                  <c:x val="-2.2662889518413596E-3"/>
                  <c:y val="1.236399604352126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58D4-41CA-B686-DA5EF4C87A7F}"/>
                </c:ext>
              </c:extLst>
            </c:dLbl>
            <c:dLbl>
              <c:idx val="20"/>
              <c:layout>
                <c:manualLayout>
                  <c:x val="0"/>
                  <c:y val="1.730959446092977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58D4-41CA-B686-DA5EF4C87A7F}"/>
                </c:ext>
              </c:extLst>
            </c:dLbl>
            <c:dLbl>
              <c:idx val="21"/>
              <c:delete val="1"/>
              <c:extLst>
                <c:ext xmlns:c15="http://schemas.microsoft.com/office/drawing/2012/chart" uri="{CE6537A1-D6FC-4f65-9D91-7224C49458BB}"/>
                <c:ext xmlns:c16="http://schemas.microsoft.com/office/drawing/2014/chart" uri="{C3380CC4-5D6E-409C-BE32-E72D297353CC}">
                  <c16:uniqueId val="{00000000-97D7-4004-8485-CC42D51E0671}"/>
                </c:ext>
              </c:extLst>
            </c:dLbl>
            <c:dLbl>
              <c:idx val="22"/>
              <c:layout>
                <c:manualLayout>
                  <c:x val="4.5325779036827192E-3"/>
                  <c:y val="1.48369899608246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436C-4C73-B949-8271667EA5B1}"/>
                </c:ext>
              </c:extLst>
            </c:dLbl>
            <c:dLbl>
              <c:idx val="23"/>
              <c:delete val="1"/>
              <c:extLst>
                <c:ext xmlns:c15="http://schemas.microsoft.com/office/drawing/2012/chart" uri="{CE6537A1-D6FC-4f65-9D91-7224C49458BB}"/>
                <c:ext xmlns:c16="http://schemas.microsoft.com/office/drawing/2014/chart" uri="{C3380CC4-5D6E-409C-BE32-E72D297353CC}">
                  <c16:uniqueId val="{00000009-436C-4C73-B949-8271667EA5B1}"/>
                </c:ext>
              </c:extLst>
            </c:dLbl>
            <c:numFmt formatCode="0%" sourceLinked="0"/>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Arkusz1!$A$2:$A$25</c:f>
              <c:strCache>
                <c:ptCount val="24"/>
                <c:pt idx="0">
                  <c:v>Ogółem</c:v>
                </c:pt>
                <c:pt idx="2">
                  <c:v>Kobieta</c:v>
                </c:pt>
                <c:pt idx="3">
                  <c:v>Mężczyzna</c:v>
                </c:pt>
                <c:pt idx="5">
                  <c:v>15–19</c:v>
                </c:pt>
                <c:pt idx="6">
                  <c:v>20–24</c:v>
                </c:pt>
                <c:pt idx="7">
                  <c:v>25–34</c:v>
                </c:pt>
                <c:pt idx="8">
                  <c:v>35–44</c:v>
                </c:pt>
                <c:pt idx="9">
                  <c:v>45–54</c:v>
                </c:pt>
                <c:pt idx="10">
                  <c:v>55–64</c:v>
                </c:pt>
                <c:pt idx="11">
                  <c:v>65+</c:v>
                </c:pt>
                <c:pt idx="13">
                  <c:v>Wyższe</c:v>
                </c:pt>
                <c:pt idx="14">
                  <c:v>Średnie</c:v>
                </c:pt>
                <c:pt idx="15">
                  <c:v>Zawodowe</c:v>
                </c:pt>
                <c:pt idx="16">
                  <c:v>Podstawowe</c:v>
                </c:pt>
                <c:pt idx="18">
                  <c:v>Wieś</c:v>
                </c:pt>
                <c:pt idx="19">
                  <c:v>Do 20 tys.</c:v>
                </c:pt>
                <c:pt idx="20">
                  <c:v>20–49 tys.</c:v>
                </c:pt>
                <c:pt idx="21">
                  <c:v>50–199 tys.</c:v>
                </c:pt>
                <c:pt idx="22">
                  <c:v>200–499 tys.</c:v>
                </c:pt>
                <c:pt idx="23">
                  <c:v>500 tys.+</c:v>
                </c:pt>
              </c:strCache>
            </c:strRef>
          </c:cat>
          <c:val>
            <c:numRef>
              <c:f>Arkusz1!$E$2:$E$25</c:f>
              <c:numCache>
                <c:formatCode>General</c:formatCode>
                <c:ptCount val="24"/>
                <c:pt idx="0" formatCode="0.00%">
                  <c:v>6.0000000000000001E-3</c:v>
                </c:pt>
                <c:pt idx="2" formatCode="0.00%">
                  <c:v>2E-3</c:v>
                </c:pt>
                <c:pt idx="3" formatCode="0.00%">
                  <c:v>0.01</c:v>
                </c:pt>
                <c:pt idx="5" formatCode="0%">
                  <c:v>0</c:v>
                </c:pt>
                <c:pt idx="6" formatCode="0.00%">
                  <c:v>1.6E-2</c:v>
                </c:pt>
                <c:pt idx="7" formatCode="0%">
                  <c:v>0</c:v>
                </c:pt>
                <c:pt idx="8" formatCode="0.00%">
                  <c:v>0.01</c:v>
                </c:pt>
                <c:pt idx="9" formatCode="0.00%">
                  <c:v>7.0000000000000001E-3</c:v>
                </c:pt>
                <c:pt idx="10" formatCode="0.00%">
                  <c:v>8.0000000000000002E-3</c:v>
                </c:pt>
                <c:pt idx="11" formatCode="0.00%">
                  <c:v>4.0000000000000001E-3</c:v>
                </c:pt>
                <c:pt idx="13" formatCode="0.00%">
                  <c:v>1.0999999999999999E-2</c:v>
                </c:pt>
                <c:pt idx="14" formatCode="0.00%">
                  <c:v>6.0000000000000001E-3</c:v>
                </c:pt>
                <c:pt idx="15" formatCode="0.00%">
                  <c:v>4.0000000000000001E-3</c:v>
                </c:pt>
                <c:pt idx="16" formatCode="0%">
                  <c:v>0</c:v>
                </c:pt>
                <c:pt idx="18" formatCode="0.00%">
                  <c:v>5.0000000000000001E-3</c:v>
                </c:pt>
                <c:pt idx="19" formatCode="0.00%">
                  <c:v>8.0000000000000002E-3</c:v>
                </c:pt>
                <c:pt idx="20" formatCode="0.00%">
                  <c:v>8.9999999999999993E-3</c:v>
                </c:pt>
                <c:pt idx="21" formatCode="0%">
                  <c:v>0</c:v>
                </c:pt>
                <c:pt idx="22" formatCode="0.00%">
                  <c:v>2.5000000000000001E-2</c:v>
                </c:pt>
                <c:pt idx="23" formatCode="0%">
                  <c:v>0</c:v>
                </c:pt>
              </c:numCache>
            </c:numRef>
          </c:val>
          <c:extLst>
            <c:ext xmlns:c16="http://schemas.microsoft.com/office/drawing/2014/chart" uri="{C3380CC4-5D6E-409C-BE32-E72D297353CC}">
              <c16:uniqueId val="{00000003-08D2-411E-8360-0AAC235D73E0}"/>
            </c:ext>
          </c:extLst>
        </c:ser>
        <c:ser>
          <c:idx val="4"/>
          <c:order val="4"/>
          <c:tx>
            <c:strRef>
              <c:f>Arkusz1!$F$1</c:f>
              <c:strCache>
                <c:ptCount val="1"/>
                <c:pt idx="0">
                  <c:v>nie wiem / trudno powiedzieć</c:v>
                </c:pt>
              </c:strCache>
            </c:strRef>
          </c:tx>
          <c:spPr>
            <a:solidFill>
              <a:schemeClr val="accent6">
                <a:lumMod val="75000"/>
              </a:schemeClr>
            </a:solidFill>
            <a:ln>
              <a:noFill/>
            </a:ln>
            <a:effectLst/>
          </c:spPr>
          <c:invertIfNegative val="0"/>
          <c:dLbls>
            <c:dLbl>
              <c:idx val="0"/>
              <c:layout>
                <c:manualLayout>
                  <c:x val="2.3186812696571569E-2"/>
                  <c:y val="0"/>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58D4-41CA-B686-DA5EF4C87A7F}"/>
                </c:ext>
              </c:extLst>
            </c:dLbl>
            <c:dLbl>
              <c:idx val="2"/>
              <c:layout>
                <c:manualLayout>
                  <c:x val="3.3375119894715713E-2"/>
                  <c:y val="2.2667064227928771E-17"/>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58D4-41CA-B686-DA5EF4C87A7F}"/>
                </c:ext>
              </c:extLst>
            </c:dLbl>
            <c:dLbl>
              <c:idx val="3"/>
              <c:layout>
                <c:manualLayout>
                  <c:x val="3.3439539604291676E-2"/>
                  <c:y val="0"/>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8D4-41CA-B686-DA5EF4C87A7F}"/>
                </c:ext>
              </c:extLst>
            </c:dLbl>
            <c:dLbl>
              <c:idx val="5"/>
              <c:delete val="1"/>
              <c:extLst>
                <c:ext xmlns:c15="http://schemas.microsoft.com/office/drawing/2012/chart" uri="{CE6537A1-D6FC-4f65-9D91-7224C49458BB}"/>
                <c:ext xmlns:c16="http://schemas.microsoft.com/office/drawing/2014/chart" uri="{C3380CC4-5D6E-409C-BE32-E72D297353CC}">
                  <c16:uniqueId val="{00000002-436C-4C73-B949-8271667EA5B1}"/>
                </c:ext>
              </c:extLst>
            </c:dLbl>
            <c:dLbl>
              <c:idx val="9"/>
              <c:layout>
                <c:manualLayout>
                  <c:x val="3.1505520733421069E-2"/>
                  <c:y val="0"/>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8D4-41CA-B686-DA5EF4C87A7F}"/>
                </c:ext>
              </c:extLst>
            </c:dLbl>
            <c:dLbl>
              <c:idx val="10"/>
              <c:layout>
                <c:manualLayout>
                  <c:x val="3.7140193169904585E-2"/>
                  <c:y val="0"/>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8D4-41CA-B686-DA5EF4C87A7F}"/>
                </c:ext>
              </c:extLst>
            </c:dLbl>
            <c:dLbl>
              <c:idx val="11"/>
              <c:layout>
                <c:manualLayout>
                  <c:x val="3.2858156186567331E-2"/>
                  <c:y val="0"/>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8D4-41CA-B686-DA5EF4C87A7F}"/>
                </c:ext>
              </c:extLst>
            </c:dLbl>
            <c:dLbl>
              <c:idx val="15"/>
              <c:layout>
                <c:manualLayout>
                  <c:x val="2.3139464644053614E-2"/>
                  <c:y val="1.2363022500526636E-3"/>
                </c:manualLayout>
              </c:layout>
              <c:numFmt formatCode="0%" sourceLinked="0"/>
              <c:spPr>
                <a:noFill/>
                <a:ln>
                  <a:noFill/>
                </a:ln>
                <a:effectLst/>
              </c:spPr>
              <c:txPr>
                <a:bodyPr rot="0" spcFirstLastPara="1" vertOverflow="ellipsis" vert="horz" wrap="square" lIns="38100" tIns="19050" rIns="38100" bIns="19050" anchor="ctr" anchorCtr="1">
                  <a:noAutofit/>
                </a:bodyPr>
                <a:lstStyle/>
                <a:p>
                  <a:pPr>
                    <a:defRPr sz="11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pl-PL"/>
                </a:p>
              </c:txPr>
              <c:dLblPos val="ctr"/>
              <c:showLegendKey val="0"/>
              <c:showVal val="1"/>
              <c:showCatName val="0"/>
              <c:showSerName val="0"/>
              <c:showPercent val="0"/>
              <c:showBubbleSize val="0"/>
              <c:extLst>
                <c:ext xmlns:c15="http://schemas.microsoft.com/office/drawing/2012/chart" uri="{CE6537A1-D6FC-4f65-9D91-7224C49458BB}">
                  <c15:layout>
                    <c:manualLayout>
                      <c:w val="6.2891203560184891E-2"/>
                      <c:h val="2.7163796661915776E-2"/>
                    </c:manualLayout>
                  </c15:layout>
                </c:ext>
                <c:ext xmlns:c16="http://schemas.microsoft.com/office/drawing/2014/chart" uri="{C3380CC4-5D6E-409C-BE32-E72D297353CC}">
                  <c16:uniqueId val="{00000006-58D4-41CA-B686-DA5EF4C87A7F}"/>
                </c:ext>
              </c:extLst>
            </c:dLbl>
            <c:dLbl>
              <c:idx val="16"/>
              <c:layout>
                <c:manualLayout>
                  <c:x val="3.9422720885101827E-2"/>
                  <c:y val="1.9470859920123939E-7"/>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58D4-41CA-B686-DA5EF4C87A7F}"/>
                </c:ext>
              </c:extLst>
            </c:dLbl>
            <c:dLbl>
              <c:idx val="18"/>
              <c:layout>
                <c:manualLayout>
                  <c:x val="3.6364123039860807E-2"/>
                  <c:y val="4.9455984174085971E-3"/>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58D4-41CA-B686-DA5EF4C87A7F}"/>
                </c:ext>
              </c:extLst>
            </c:dLbl>
            <c:dLbl>
              <c:idx val="22"/>
              <c:layout>
                <c:manualLayout>
                  <c:x val="2.9953380473333183E-2"/>
                  <c:y val="1.8133651382343017E-16"/>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58D4-41CA-B686-DA5EF4C87A7F}"/>
                </c:ext>
              </c:extLst>
            </c:dLbl>
            <c:dLbl>
              <c:idx val="23"/>
              <c:layout>
                <c:manualLayout>
                  <c:x val="2.3992505186143518E-2"/>
                  <c:y val="0"/>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58D4-41CA-B686-DA5EF4C87A7F}"/>
                </c:ext>
              </c:extLst>
            </c:dLbl>
            <c:numFmt formatCode="0%" sourceLinked="0"/>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pl-PL"/>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Arkusz1!$A$2:$A$25</c:f>
              <c:strCache>
                <c:ptCount val="24"/>
                <c:pt idx="0">
                  <c:v>Ogółem</c:v>
                </c:pt>
                <c:pt idx="2">
                  <c:v>Kobieta</c:v>
                </c:pt>
                <c:pt idx="3">
                  <c:v>Mężczyzna</c:v>
                </c:pt>
                <c:pt idx="5">
                  <c:v>15–19</c:v>
                </c:pt>
                <c:pt idx="6">
                  <c:v>20–24</c:v>
                </c:pt>
                <c:pt idx="7">
                  <c:v>25–34</c:v>
                </c:pt>
                <c:pt idx="8">
                  <c:v>35–44</c:v>
                </c:pt>
                <c:pt idx="9">
                  <c:v>45–54</c:v>
                </c:pt>
                <c:pt idx="10">
                  <c:v>55–64</c:v>
                </c:pt>
                <c:pt idx="11">
                  <c:v>65+</c:v>
                </c:pt>
                <c:pt idx="13">
                  <c:v>Wyższe</c:v>
                </c:pt>
                <c:pt idx="14">
                  <c:v>Średnie</c:v>
                </c:pt>
                <c:pt idx="15">
                  <c:v>Zawodowe</c:v>
                </c:pt>
                <c:pt idx="16">
                  <c:v>Podstawowe</c:v>
                </c:pt>
                <c:pt idx="18">
                  <c:v>Wieś</c:v>
                </c:pt>
                <c:pt idx="19">
                  <c:v>Do 20 tys.</c:v>
                </c:pt>
                <c:pt idx="20">
                  <c:v>20–49 tys.</c:v>
                </c:pt>
                <c:pt idx="21">
                  <c:v>50–199 tys.</c:v>
                </c:pt>
                <c:pt idx="22">
                  <c:v>200–499 tys.</c:v>
                </c:pt>
                <c:pt idx="23">
                  <c:v>500 tys.+</c:v>
                </c:pt>
              </c:strCache>
            </c:strRef>
          </c:cat>
          <c:val>
            <c:numRef>
              <c:f>Arkusz1!$F$2:$F$25</c:f>
              <c:numCache>
                <c:formatCode>General</c:formatCode>
                <c:ptCount val="24"/>
                <c:pt idx="0" formatCode="0.00%">
                  <c:v>1.9E-2</c:v>
                </c:pt>
                <c:pt idx="2" formatCode="0.00%">
                  <c:v>2.1999999999999999E-2</c:v>
                </c:pt>
                <c:pt idx="3" formatCode="0.00%">
                  <c:v>1.6E-2</c:v>
                </c:pt>
                <c:pt idx="5" formatCode="0%">
                  <c:v>0</c:v>
                </c:pt>
                <c:pt idx="6" formatCode="0.00%">
                  <c:v>1.6E-2</c:v>
                </c:pt>
                <c:pt idx="7" formatCode="0.00%">
                  <c:v>1.4E-2</c:v>
                </c:pt>
                <c:pt idx="8" formatCode="0.00%">
                  <c:v>5.0000000000000001E-3</c:v>
                </c:pt>
                <c:pt idx="9" formatCode="0.00%">
                  <c:v>2.1000000000000001E-2</c:v>
                </c:pt>
                <c:pt idx="10" formatCode="0.00%">
                  <c:v>2.4E-2</c:v>
                </c:pt>
                <c:pt idx="11" formatCode="0.00%">
                  <c:v>3.5000000000000003E-2</c:v>
                </c:pt>
                <c:pt idx="13" formatCode="0.00%">
                  <c:v>1.0999999999999999E-2</c:v>
                </c:pt>
                <c:pt idx="14" formatCode="0.00%">
                  <c:v>8.9999999999999993E-3</c:v>
                </c:pt>
                <c:pt idx="15" formatCode="0.00%">
                  <c:v>2.1000000000000001E-2</c:v>
                </c:pt>
                <c:pt idx="16" formatCode="0.00%">
                  <c:v>5.8999999999999997E-2</c:v>
                </c:pt>
                <c:pt idx="18" formatCode="0.00%">
                  <c:v>2.5999999999999999E-2</c:v>
                </c:pt>
                <c:pt idx="19" formatCode="0.00%">
                  <c:v>8.0000000000000002E-3</c:v>
                </c:pt>
                <c:pt idx="20" formatCode="0.00%">
                  <c:v>8.9999999999999993E-3</c:v>
                </c:pt>
                <c:pt idx="21" formatCode="0.00%">
                  <c:v>1.4E-2</c:v>
                </c:pt>
                <c:pt idx="22" formatCode="0.00%">
                  <c:v>2.5000000000000001E-2</c:v>
                </c:pt>
                <c:pt idx="23" formatCode="0.00%">
                  <c:v>1.7000000000000001E-2</c:v>
                </c:pt>
              </c:numCache>
            </c:numRef>
          </c:val>
          <c:extLst>
            <c:ext xmlns:c16="http://schemas.microsoft.com/office/drawing/2014/chart" uri="{C3380CC4-5D6E-409C-BE32-E72D297353CC}">
              <c16:uniqueId val="{00000004-08D2-411E-8360-0AAC235D73E0}"/>
            </c:ext>
          </c:extLst>
        </c:ser>
        <c:dLbls>
          <c:showLegendKey val="0"/>
          <c:showVal val="0"/>
          <c:showCatName val="0"/>
          <c:showSerName val="0"/>
          <c:showPercent val="0"/>
          <c:showBubbleSize val="0"/>
        </c:dLbls>
        <c:gapWidth val="60"/>
        <c:overlap val="100"/>
        <c:axId val="875697471"/>
        <c:axId val="875698911"/>
      </c:barChart>
      <c:catAx>
        <c:axId val="875697471"/>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crossAx val="875698911"/>
        <c:crosses val="autoZero"/>
        <c:auto val="1"/>
        <c:lblAlgn val="ctr"/>
        <c:lblOffset val="100"/>
        <c:noMultiLvlLbl val="0"/>
      </c:catAx>
      <c:valAx>
        <c:axId val="875698911"/>
        <c:scaling>
          <c:orientation val="minMax"/>
        </c:scaling>
        <c:delete val="0"/>
        <c:axPos val="t"/>
        <c:majorGridlines>
          <c:spPr>
            <a:ln w="9525" cap="flat" cmpd="sng" algn="ctr">
              <a:no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crossAx val="875697471"/>
        <c:crosses val="autoZero"/>
        <c:crossBetween val="between"/>
      </c:valAx>
      <c:spPr>
        <a:noFill/>
        <a:ln>
          <a:noFill/>
        </a:ln>
        <a:effectLst/>
      </c:spPr>
    </c:plotArea>
    <c:legend>
      <c:legendPos val="b"/>
      <c:legendEntry>
        <c:idx val="2"/>
        <c:txPr>
          <a:bodyPr rot="0" spcFirstLastPara="1" vertOverflow="ellipsis" vert="horz" wrap="square" anchor="ctr" anchorCtr="1"/>
          <a:lstStyle/>
          <a:p>
            <a:pPr>
              <a:defRPr sz="11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legendEntry>
      <c:layout>
        <c:manualLayout>
          <c:xMode val="edge"/>
          <c:yMode val="edge"/>
          <c:x val="0"/>
          <c:y val="0.92439367742236966"/>
          <c:w val="1"/>
          <c:h val="6.0769527325404797E-2"/>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pl-PL"/>
    </a:p>
  </c:txPr>
  <c:externalData r:id="rId3">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percentStacked"/>
        <c:varyColors val="0"/>
        <c:ser>
          <c:idx val="0"/>
          <c:order val="0"/>
          <c:tx>
            <c:strRef>
              <c:f>Arkusz1!$B$1</c:f>
              <c:strCache>
                <c:ptCount val="1"/>
                <c:pt idx="0">
                  <c:v>tak</c:v>
                </c:pt>
              </c:strCache>
            </c:strRef>
          </c:tx>
          <c:spPr>
            <a:solidFill>
              <a:srgbClr val="061A3D"/>
            </a:solidFill>
            <a:ln>
              <a:noFill/>
            </a:ln>
            <a:effectLst/>
          </c:spPr>
          <c:invertIfNegative val="0"/>
          <c:dLbls>
            <c:dLbl>
              <c:idx val="15"/>
              <c:numFmt formatCode="0%" sourceLinked="0"/>
              <c:spPr>
                <a:solidFill>
                  <a:srgbClr val="EE0000"/>
                </a:solid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bg1"/>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extLst>
                <c:ext xmlns:c16="http://schemas.microsoft.com/office/drawing/2014/chart" uri="{C3380CC4-5D6E-409C-BE32-E72D297353CC}">
                  <c16:uniqueId val="{00000000-E265-44DF-8652-E44A264DDC32}"/>
                </c:ext>
              </c:extLst>
            </c:dLbl>
            <c:numFmt formatCode="0%" sourceLinked="0"/>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bg1"/>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Arkusz1!$A$2:$A$25</c:f>
              <c:strCache>
                <c:ptCount val="24"/>
                <c:pt idx="0">
                  <c:v>Ogółem</c:v>
                </c:pt>
                <c:pt idx="2">
                  <c:v>Kobiety</c:v>
                </c:pt>
                <c:pt idx="3">
                  <c:v>Mężczyźni</c:v>
                </c:pt>
                <c:pt idx="5">
                  <c:v>15–19 lat</c:v>
                </c:pt>
                <c:pt idx="6">
                  <c:v>20–24 lata</c:v>
                </c:pt>
                <c:pt idx="7">
                  <c:v>25–34 lata</c:v>
                </c:pt>
                <c:pt idx="8">
                  <c:v>35–44 lata</c:v>
                </c:pt>
                <c:pt idx="9">
                  <c:v>45–54 lata</c:v>
                </c:pt>
                <c:pt idx="10">
                  <c:v>55–64 lata</c:v>
                </c:pt>
                <c:pt idx="11">
                  <c:v>65+</c:v>
                </c:pt>
                <c:pt idx="13">
                  <c:v>Wykształcenie wyższe</c:v>
                </c:pt>
                <c:pt idx="14">
                  <c:v>Średnie</c:v>
                </c:pt>
                <c:pt idx="15">
                  <c:v>Zawodowe</c:v>
                </c:pt>
                <c:pt idx="16">
                  <c:v>Podstawowe</c:v>
                </c:pt>
                <c:pt idx="18">
                  <c:v>Wieś</c:v>
                </c:pt>
                <c:pt idx="19">
                  <c:v>Miasto do 20 tys.</c:v>
                </c:pt>
                <c:pt idx="20">
                  <c:v>20–49 tys.</c:v>
                </c:pt>
                <c:pt idx="21">
                  <c:v>50–199 tys.</c:v>
                </c:pt>
                <c:pt idx="22">
                  <c:v>200–499 tys.</c:v>
                </c:pt>
                <c:pt idx="23">
                  <c:v>500+ tys.</c:v>
                </c:pt>
              </c:strCache>
            </c:strRef>
          </c:cat>
          <c:val>
            <c:numRef>
              <c:f>Arkusz1!$B$2:$B$25</c:f>
              <c:numCache>
                <c:formatCode>General</c:formatCode>
                <c:ptCount val="24"/>
                <c:pt idx="0" formatCode="0.00%">
                  <c:v>0.46100000000000002</c:v>
                </c:pt>
                <c:pt idx="2" formatCode="0.00%">
                  <c:v>0.46100000000000002</c:v>
                </c:pt>
                <c:pt idx="3" formatCode="0.00%">
                  <c:v>0.46100000000000002</c:v>
                </c:pt>
                <c:pt idx="5" formatCode="0.00%">
                  <c:v>0.47499999999999998</c:v>
                </c:pt>
                <c:pt idx="6" formatCode="0.00%">
                  <c:v>0.47499999999999998</c:v>
                </c:pt>
                <c:pt idx="7" formatCode="0.00%">
                  <c:v>0.442</c:v>
                </c:pt>
                <c:pt idx="8" formatCode="0.00%">
                  <c:v>0.49</c:v>
                </c:pt>
                <c:pt idx="9" formatCode="0.00%">
                  <c:v>0.44</c:v>
                </c:pt>
                <c:pt idx="10" formatCode="0.00%">
                  <c:v>0.433</c:v>
                </c:pt>
                <c:pt idx="11" formatCode="0.00%">
                  <c:v>0.46899999999999997</c:v>
                </c:pt>
                <c:pt idx="13" formatCode="0.00%">
                  <c:v>0.42899999999999999</c:v>
                </c:pt>
                <c:pt idx="14" formatCode="0.00%">
                  <c:v>0.432</c:v>
                </c:pt>
                <c:pt idx="15" formatCode="0.00%">
                  <c:v>0.54400000000000004</c:v>
                </c:pt>
                <c:pt idx="16" formatCode="0.00%">
                  <c:v>0.44500000000000001</c:v>
                </c:pt>
                <c:pt idx="18" formatCode="0.00%">
                  <c:v>0.45100000000000001</c:v>
                </c:pt>
                <c:pt idx="19" formatCode="0.00%">
                  <c:v>0.51600000000000001</c:v>
                </c:pt>
                <c:pt idx="20" formatCode="0.00%">
                  <c:v>0.48699999999999999</c:v>
                </c:pt>
                <c:pt idx="21" formatCode="0.00%">
                  <c:v>0.44800000000000001</c:v>
                </c:pt>
                <c:pt idx="22" formatCode="0.00%">
                  <c:v>0.432</c:v>
                </c:pt>
                <c:pt idx="23" formatCode="0.00%">
                  <c:v>0.443</c:v>
                </c:pt>
              </c:numCache>
            </c:numRef>
          </c:val>
          <c:extLst>
            <c:ext xmlns:c16="http://schemas.microsoft.com/office/drawing/2014/chart" uri="{C3380CC4-5D6E-409C-BE32-E72D297353CC}">
              <c16:uniqueId val="{00000000-6505-4367-8948-5F85CE595F69}"/>
            </c:ext>
          </c:extLst>
        </c:ser>
        <c:ser>
          <c:idx val="1"/>
          <c:order val="1"/>
          <c:tx>
            <c:strRef>
              <c:f>Arkusz1!$C$1</c:f>
              <c:strCache>
                <c:ptCount val="1"/>
                <c:pt idx="0">
                  <c:v>nie</c:v>
                </c:pt>
              </c:strCache>
            </c:strRef>
          </c:tx>
          <c:spPr>
            <a:solidFill>
              <a:schemeClr val="bg1">
                <a:lumMod val="85000"/>
              </a:schemeClr>
            </a:solidFill>
            <a:ln>
              <a:noFill/>
            </a:ln>
            <a:effectLst/>
          </c:spPr>
          <c:invertIfNegative val="0"/>
          <c:dLbls>
            <c:dLbl>
              <c:idx val="22"/>
              <c:numFmt formatCode="0%" sourceLinked="0"/>
              <c:spPr>
                <a:solidFill>
                  <a:srgbClr val="EE0000"/>
                </a:solid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bg1"/>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extLst>
                <c:ext xmlns:c16="http://schemas.microsoft.com/office/drawing/2014/chart" uri="{C3380CC4-5D6E-409C-BE32-E72D297353CC}">
                  <c16:uniqueId val="{00000000-9063-4C62-BDAE-41DC5A782C63}"/>
                </c:ext>
              </c:extLst>
            </c:dLbl>
            <c:numFmt formatCode="0%" sourceLinked="0"/>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Arkusz1!$A$2:$A$25</c:f>
              <c:strCache>
                <c:ptCount val="24"/>
                <c:pt idx="0">
                  <c:v>Ogółem</c:v>
                </c:pt>
                <c:pt idx="2">
                  <c:v>Kobiety</c:v>
                </c:pt>
                <c:pt idx="3">
                  <c:v>Mężczyźni</c:v>
                </c:pt>
                <c:pt idx="5">
                  <c:v>15–19 lat</c:v>
                </c:pt>
                <c:pt idx="6">
                  <c:v>20–24 lata</c:v>
                </c:pt>
                <c:pt idx="7">
                  <c:v>25–34 lata</c:v>
                </c:pt>
                <c:pt idx="8">
                  <c:v>35–44 lata</c:v>
                </c:pt>
                <c:pt idx="9">
                  <c:v>45–54 lata</c:v>
                </c:pt>
                <c:pt idx="10">
                  <c:v>55–64 lata</c:v>
                </c:pt>
                <c:pt idx="11">
                  <c:v>65+</c:v>
                </c:pt>
                <c:pt idx="13">
                  <c:v>Wykształcenie wyższe</c:v>
                </c:pt>
                <c:pt idx="14">
                  <c:v>Średnie</c:v>
                </c:pt>
                <c:pt idx="15">
                  <c:v>Zawodowe</c:v>
                </c:pt>
                <c:pt idx="16">
                  <c:v>Podstawowe</c:v>
                </c:pt>
                <c:pt idx="18">
                  <c:v>Wieś</c:v>
                </c:pt>
                <c:pt idx="19">
                  <c:v>Miasto do 20 tys.</c:v>
                </c:pt>
                <c:pt idx="20">
                  <c:v>20–49 tys.</c:v>
                </c:pt>
                <c:pt idx="21">
                  <c:v>50–199 tys.</c:v>
                </c:pt>
                <c:pt idx="22">
                  <c:v>200–499 tys.</c:v>
                </c:pt>
                <c:pt idx="23">
                  <c:v>500+ tys.</c:v>
                </c:pt>
              </c:strCache>
            </c:strRef>
          </c:cat>
          <c:val>
            <c:numRef>
              <c:f>Arkusz1!$C$2:$C$25</c:f>
              <c:numCache>
                <c:formatCode>General</c:formatCode>
                <c:ptCount val="24"/>
                <c:pt idx="0" formatCode="0.00%">
                  <c:v>0.153</c:v>
                </c:pt>
                <c:pt idx="2" formatCode="0.00%">
                  <c:v>0.14199999999999999</c:v>
                </c:pt>
                <c:pt idx="3" formatCode="0.00%">
                  <c:v>0.16300000000000001</c:v>
                </c:pt>
                <c:pt idx="5" formatCode="0.00%">
                  <c:v>0.22</c:v>
                </c:pt>
                <c:pt idx="6" formatCode="0.00%">
                  <c:v>6.6000000000000003E-2</c:v>
                </c:pt>
                <c:pt idx="7" formatCode="0.00%">
                  <c:v>0.17</c:v>
                </c:pt>
                <c:pt idx="8" formatCode="0.00%">
                  <c:v>0.14099999999999999</c:v>
                </c:pt>
                <c:pt idx="9" formatCode="0.00%">
                  <c:v>0.184</c:v>
                </c:pt>
                <c:pt idx="10" formatCode="0.00%">
                  <c:v>0.13400000000000001</c:v>
                </c:pt>
                <c:pt idx="11" formatCode="0.00%">
                  <c:v>0.14899999999999999</c:v>
                </c:pt>
                <c:pt idx="13" formatCode="0.00%">
                  <c:v>0.14199999999999999</c:v>
                </c:pt>
                <c:pt idx="14" formatCode="0.00%">
                  <c:v>0.185</c:v>
                </c:pt>
                <c:pt idx="15" formatCode="0.00%">
                  <c:v>0.13800000000000001</c:v>
                </c:pt>
                <c:pt idx="16" formatCode="0.00%">
                  <c:v>0.11799999999999999</c:v>
                </c:pt>
                <c:pt idx="18" formatCode="0.00%">
                  <c:v>0.16</c:v>
                </c:pt>
                <c:pt idx="19" formatCode="0.00%">
                  <c:v>0.123</c:v>
                </c:pt>
                <c:pt idx="20" formatCode="0.00%">
                  <c:v>0.124</c:v>
                </c:pt>
                <c:pt idx="21" formatCode="0.00%">
                  <c:v>0.14000000000000001</c:v>
                </c:pt>
                <c:pt idx="22" formatCode="0.00%">
                  <c:v>0.222</c:v>
                </c:pt>
                <c:pt idx="23" formatCode="0.00%">
                  <c:v>0.157</c:v>
                </c:pt>
              </c:numCache>
            </c:numRef>
          </c:val>
          <c:extLst>
            <c:ext xmlns:c16="http://schemas.microsoft.com/office/drawing/2014/chart" uri="{C3380CC4-5D6E-409C-BE32-E72D297353CC}">
              <c16:uniqueId val="{00000001-6505-4367-8948-5F85CE595F69}"/>
            </c:ext>
          </c:extLst>
        </c:ser>
        <c:ser>
          <c:idx val="2"/>
          <c:order val="2"/>
          <c:tx>
            <c:strRef>
              <c:f>Arkusz1!$D$1</c:f>
              <c:strCache>
                <c:ptCount val="1"/>
                <c:pt idx="0">
                  <c:v>nie wiem</c:v>
                </c:pt>
              </c:strCache>
            </c:strRef>
          </c:tx>
          <c:spPr>
            <a:solidFill>
              <a:schemeClr val="tx1">
                <a:lumMod val="50000"/>
                <a:lumOff val="50000"/>
              </a:schemeClr>
            </a:solidFill>
            <a:ln>
              <a:noFill/>
            </a:ln>
            <a:effectLst/>
          </c:spPr>
          <c:invertIfNegative val="0"/>
          <c:dLbls>
            <c:dLbl>
              <c:idx val="6"/>
              <c:numFmt formatCode="0%" sourceLinked="0"/>
              <c:spPr>
                <a:solidFill>
                  <a:srgbClr val="EE0000"/>
                </a:solid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bg1"/>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extLst>
                <c:ext xmlns:c16="http://schemas.microsoft.com/office/drawing/2014/chart" uri="{C3380CC4-5D6E-409C-BE32-E72D297353CC}">
                  <c16:uniqueId val="{00000002-E265-44DF-8652-E44A264DDC32}"/>
                </c:ext>
              </c:extLst>
            </c:dLbl>
            <c:dLbl>
              <c:idx val="15"/>
              <c:numFmt formatCode="0%" sourceLinked="0"/>
              <c:spPr>
                <a:solidFill>
                  <a:srgbClr val="00B0F0"/>
                </a:solid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bg1"/>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extLst>
                <c:ext xmlns:c16="http://schemas.microsoft.com/office/drawing/2014/chart" uri="{C3380CC4-5D6E-409C-BE32-E72D297353CC}">
                  <c16:uniqueId val="{00000001-E265-44DF-8652-E44A264DDC32}"/>
                </c:ext>
              </c:extLst>
            </c:dLbl>
            <c:numFmt formatCode="0%" sourceLinked="0"/>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bg1"/>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Arkusz1!$A$2:$A$25</c:f>
              <c:strCache>
                <c:ptCount val="24"/>
                <c:pt idx="0">
                  <c:v>Ogółem</c:v>
                </c:pt>
                <c:pt idx="2">
                  <c:v>Kobiety</c:v>
                </c:pt>
                <c:pt idx="3">
                  <c:v>Mężczyźni</c:v>
                </c:pt>
                <c:pt idx="5">
                  <c:v>15–19 lat</c:v>
                </c:pt>
                <c:pt idx="6">
                  <c:v>20–24 lata</c:v>
                </c:pt>
                <c:pt idx="7">
                  <c:v>25–34 lata</c:v>
                </c:pt>
                <c:pt idx="8">
                  <c:v>35–44 lata</c:v>
                </c:pt>
                <c:pt idx="9">
                  <c:v>45–54 lata</c:v>
                </c:pt>
                <c:pt idx="10">
                  <c:v>55–64 lata</c:v>
                </c:pt>
                <c:pt idx="11">
                  <c:v>65+</c:v>
                </c:pt>
                <c:pt idx="13">
                  <c:v>Wykształcenie wyższe</c:v>
                </c:pt>
                <c:pt idx="14">
                  <c:v>Średnie</c:v>
                </c:pt>
                <c:pt idx="15">
                  <c:v>Zawodowe</c:v>
                </c:pt>
                <c:pt idx="16">
                  <c:v>Podstawowe</c:v>
                </c:pt>
                <c:pt idx="18">
                  <c:v>Wieś</c:v>
                </c:pt>
                <c:pt idx="19">
                  <c:v>Miasto do 20 tys.</c:v>
                </c:pt>
                <c:pt idx="20">
                  <c:v>20–49 tys.</c:v>
                </c:pt>
                <c:pt idx="21">
                  <c:v>50–199 tys.</c:v>
                </c:pt>
                <c:pt idx="22">
                  <c:v>200–499 tys.</c:v>
                </c:pt>
                <c:pt idx="23">
                  <c:v>500+ tys.</c:v>
                </c:pt>
              </c:strCache>
            </c:strRef>
          </c:cat>
          <c:val>
            <c:numRef>
              <c:f>Arkusz1!$D$2:$D$25</c:f>
              <c:numCache>
                <c:formatCode>General</c:formatCode>
                <c:ptCount val="24"/>
                <c:pt idx="0" formatCode="0.00%">
                  <c:v>0.38600000000000001</c:v>
                </c:pt>
                <c:pt idx="2" formatCode="0.00%">
                  <c:v>0.39700000000000002</c:v>
                </c:pt>
                <c:pt idx="3" formatCode="0.00%">
                  <c:v>0.376</c:v>
                </c:pt>
                <c:pt idx="5" formatCode="0.00%">
                  <c:v>0.30499999999999999</c:v>
                </c:pt>
                <c:pt idx="6" formatCode="0.00%">
                  <c:v>0.45900000000000002</c:v>
                </c:pt>
                <c:pt idx="7" formatCode="0.00%">
                  <c:v>0.38800000000000001</c:v>
                </c:pt>
                <c:pt idx="8" formatCode="0.00%">
                  <c:v>0.37</c:v>
                </c:pt>
                <c:pt idx="9" formatCode="0.00%">
                  <c:v>0.376</c:v>
                </c:pt>
                <c:pt idx="10" formatCode="0.00%">
                  <c:v>0.433</c:v>
                </c:pt>
                <c:pt idx="11" formatCode="0.00%">
                  <c:v>0.38200000000000001</c:v>
                </c:pt>
                <c:pt idx="13" formatCode="0.00%">
                  <c:v>0.42899999999999999</c:v>
                </c:pt>
                <c:pt idx="14" formatCode="0.00%">
                  <c:v>0.38300000000000001</c:v>
                </c:pt>
                <c:pt idx="15" formatCode="0.00%">
                  <c:v>0.318</c:v>
                </c:pt>
                <c:pt idx="16" formatCode="0.00%">
                  <c:v>0.437</c:v>
                </c:pt>
                <c:pt idx="18" formatCode="0.00%">
                  <c:v>0.38800000000000001</c:v>
                </c:pt>
                <c:pt idx="19" formatCode="0.00%">
                  <c:v>0.36099999999999999</c:v>
                </c:pt>
                <c:pt idx="20" formatCode="0.00%">
                  <c:v>0.38900000000000001</c:v>
                </c:pt>
                <c:pt idx="21" formatCode="0.00%">
                  <c:v>0.41299999999999998</c:v>
                </c:pt>
                <c:pt idx="22" formatCode="0.00%">
                  <c:v>0.34599999999999997</c:v>
                </c:pt>
                <c:pt idx="23" formatCode="0.00%">
                  <c:v>0.4</c:v>
                </c:pt>
              </c:numCache>
            </c:numRef>
          </c:val>
          <c:extLst>
            <c:ext xmlns:c16="http://schemas.microsoft.com/office/drawing/2014/chart" uri="{C3380CC4-5D6E-409C-BE32-E72D297353CC}">
              <c16:uniqueId val="{00000002-6505-4367-8948-5F85CE595F69}"/>
            </c:ext>
          </c:extLst>
        </c:ser>
        <c:dLbls>
          <c:showLegendKey val="0"/>
          <c:showVal val="0"/>
          <c:showCatName val="0"/>
          <c:showSerName val="0"/>
          <c:showPercent val="0"/>
          <c:showBubbleSize val="0"/>
        </c:dLbls>
        <c:gapWidth val="60"/>
        <c:overlap val="100"/>
        <c:axId val="875697471"/>
        <c:axId val="875698911"/>
      </c:barChart>
      <c:catAx>
        <c:axId val="875697471"/>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crossAx val="875698911"/>
        <c:crosses val="autoZero"/>
        <c:auto val="1"/>
        <c:lblAlgn val="ctr"/>
        <c:lblOffset val="100"/>
        <c:noMultiLvlLbl val="0"/>
      </c:catAx>
      <c:valAx>
        <c:axId val="875698911"/>
        <c:scaling>
          <c:orientation val="minMax"/>
        </c:scaling>
        <c:delete val="0"/>
        <c:axPos val="t"/>
        <c:majorGridlines>
          <c:spPr>
            <a:ln w="9525" cap="flat" cmpd="sng" algn="ctr">
              <a:no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pl-PL"/>
          </a:p>
        </c:txPr>
        <c:crossAx val="87569747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pl-PL"/>
    </a:p>
  </c:txPr>
  <c:externalData r:id="rId3">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51258262856031889"/>
          <c:y val="2.8442146089204912E-2"/>
          <c:w val="0.44030537849435486"/>
          <c:h val="0.92872717365546464"/>
        </c:manualLayout>
      </c:layout>
      <c:barChart>
        <c:barDir val="bar"/>
        <c:grouping val="clustered"/>
        <c:varyColors val="0"/>
        <c:ser>
          <c:idx val="0"/>
          <c:order val="0"/>
          <c:tx>
            <c:strRef>
              <c:f>Arkusz1!$B$1</c:f>
              <c:strCache>
                <c:ptCount val="1"/>
                <c:pt idx="0">
                  <c:v>% (ważne)</c:v>
                </c:pt>
              </c:strCache>
            </c:strRef>
          </c:tx>
          <c:spPr>
            <a:solidFill>
              <a:srgbClr val="061A3D"/>
            </a:solidFill>
            <a:ln>
              <a:noFill/>
            </a:ln>
            <a:effectLst/>
          </c:spPr>
          <c:invertIfNegative val="0"/>
          <c:dLbls>
            <c:numFmt formatCode="0%" sourceLinked="0"/>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Arkusz1!$A$2:$A$20</c:f>
              <c:strCache>
                <c:ptCount val="19"/>
                <c:pt idx="0">
                  <c:v>Nie wiem, trudno powiedzieć</c:v>
                </c:pt>
                <c:pt idx="1">
                  <c:v>Inne</c:v>
                </c:pt>
                <c:pt idx="2">
                  <c:v>Rolnicy / rolnictwo</c:v>
                </c:pt>
                <c:pt idx="3">
                  <c:v>Pracownicy (nieskategoryzowani)</c:v>
                </c:pt>
                <c:pt idx="4">
                  <c:v>Bezrobotni / osoby szukające pracy</c:v>
                </c:pt>
                <c:pt idx="5">
                  <c:v>Osoby zamożne / bogatsi</c:v>
                </c:pt>
                <c:pt idx="6">
                  <c:v>Nauczyciele / kadra edukacyjna</c:v>
                </c:pt>
                <c:pt idx="7">
                  <c:v>Osoby z niepełnosprawnością</c:v>
                </c:pt>
                <c:pt idx="8">
                  <c:v>Politycy / władza</c:v>
                </c:pt>
                <c:pt idx="9">
                  <c:v>Osoby starsze / seniorzy</c:v>
                </c:pt>
                <c:pt idx="10">
                  <c:v>Szkoły / placówki oświatowe</c:v>
                </c:pt>
                <c:pt idx="11">
                  <c:v>Przemysł / inwestorzy / duże przedsiębiorstwa</c:v>
                </c:pt>
                <c:pt idx="12">
                  <c:v>Instytucje publiczne / urzędy / administracja</c:v>
                </c:pt>
                <c:pt idx="13">
                  <c:v>Szpitale / przychodnie / służba zdrowia</c:v>
                </c:pt>
                <c:pt idx="14">
                  <c:v>Wszyscy / każda grupa / każdy po trochu</c:v>
                </c:pt>
                <c:pt idx="15">
                  <c:v>Zwykli ludzie / obywatele / społeczeństwo ogółem</c:v>
                </c:pt>
                <c:pt idx="16">
                  <c:v>Samorządy / gminy / społeczność lokalna</c:v>
                </c:pt>
                <c:pt idx="17">
                  <c:v>Przedsiębiorcy / firmy / biznes / pracownicy firm</c:v>
                </c:pt>
                <c:pt idx="18">
                  <c:v>Uczniowie / dzieci / młodzież / studenci</c:v>
                </c:pt>
              </c:strCache>
            </c:strRef>
          </c:cat>
          <c:val>
            <c:numRef>
              <c:f>Arkusz1!$B$2:$B$20</c:f>
              <c:numCache>
                <c:formatCode>0.00%</c:formatCode>
                <c:ptCount val="19"/>
                <c:pt idx="0">
                  <c:v>3.1E-2</c:v>
                </c:pt>
                <c:pt idx="1">
                  <c:v>3.6999999999999998E-2</c:v>
                </c:pt>
                <c:pt idx="2">
                  <c:v>1E-3</c:v>
                </c:pt>
                <c:pt idx="3">
                  <c:v>1.4999999999999999E-2</c:v>
                </c:pt>
                <c:pt idx="4">
                  <c:v>1.7999999999999999E-2</c:v>
                </c:pt>
                <c:pt idx="5">
                  <c:v>1.9E-2</c:v>
                </c:pt>
                <c:pt idx="6">
                  <c:v>2.1000000000000001E-2</c:v>
                </c:pt>
                <c:pt idx="7">
                  <c:v>2.1999999999999999E-2</c:v>
                </c:pt>
                <c:pt idx="8">
                  <c:v>2.8000000000000001E-2</c:v>
                </c:pt>
                <c:pt idx="9">
                  <c:v>3.6999999999999998E-2</c:v>
                </c:pt>
                <c:pt idx="10">
                  <c:v>3.7999999999999999E-2</c:v>
                </c:pt>
                <c:pt idx="11">
                  <c:v>4.3999999999999997E-2</c:v>
                </c:pt>
                <c:pt idx="12">
                  <c:v>0.06</c:v>
                </c:pt>
                <c:pt idx="13">
                  <c:v>6.5000000000000002E-2</c:v>
                </c:pt>
                <c:pt idx="14">
                  <c:v>7.9000000000000001E-2</c:v>
                </c:pt>
                <c:pt idx="15">
                  <c:v>8.2000000000000003E-2</c:v>
                </c:pt>
                <c:pt idx="16">
                  <c:v>0.11</c:v>
                </c:pt>
                <c:pt idx="17">
                  <c:v>0.121</c:v>
                </c:pt>
                <c:pt idx="18">
                  <c:v>0.154</c:v>
                </c:pt>
              </c:numCache>
            </c:numRef>
          </c:val>
          <c:extLst>
            <c:ext xmlns:c16="http://schemas.microsoft.com/office/drawing/2014/chart" uri="{C3380CC4-5D6E-409C-BE32-E72D297353CC}">
              <c16:uniqueId val="{00000000-AA78-4038-B11A-447A904CDB8D}"/>
            </c:ext>
          </c:extLst>
        </c:ser>
        <c:dLbls>
          <c:showLegendKey val="0"/>
          <c:showVal val="0"/>
          <c:showCatName val="0"/>
          <c:showSerName val="0"/>
          <c:showPercent val="0"/>
          <c:showBubbleSize val="0"/>
        </c:dLbls>
        <c:gapWidth val="142"/>
        <c:axId val="432009056"/>
        <c:axId val="432009536"/>
      </c:barChart>
      <c:catAx>
        <c:axId val="43200905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crossAx val="432009536"/>
        <c:crosses val="autoZero"/>
        <c:auto val="1"/>
        <c:lblAlgn val="ctr"/>
        <c:lblOffset val="100"/>
        <c:noMultiLvlLbl val="0"/>
      </c:catAx>
      <c:valAx>
        <c:axId val="432009536"/>
        <c:scaling>
          <c:orientation val="minMax"/>
        </c:scaling>
        <c:delete val="0"/>
        <c:axPos val="b"/>
        <c:majorGridlines>
          <c:spPr>
            <a:ln w="9525" cap="flat" cmpd="sng" algn="ctr">
              <a:no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crossAx val="432009056"/>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percentStacked"/>
        <c:varyColors val="0"/>
        <c:ser>
          <c:idx val="0"/>
          <c:order val="0"/>
          <c:tx>
            <c:strRef>
              <c:f>Arkusz1!$B$1</c:f>
              <c:strCache>
                <c:ptCount val="1"/>
                <c:pt idx="0">
                  <c:v>zdecydowanie tak</c:v>
                </c:pt>
              </c:strCache>
            </c:strRef>
          </c:tx>
          <c:spPr>
            <a:solidFill>
              <a:srgbClr val="061A3D"/>
            </a:solidFill>
            <a:ln>
              <a:noFill/>
            </a:ln>
            <a:effectLst/>
          </c:spPr>
          <c:invertIfNegative val="0"/>
          <c:dLbls>
            <c:dLbl>
              <c:idx val="2"/>
              <c:numFmt formatCode="0%" sourceLinked="0"/>
              <c:spPr>
                <a:solidFill>
                  <a:srgbClr val="00B0F0"/>
                </a:solid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bg1"/>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extLst>
                <c:ext xmlns:c16="http://schemas.microsoft.com/office/drawing/2014/chart" uri="{C3380CC4-5D6E-409C-BE32-E72D297353CC}">
                  <c16:uniqueId val="{00000003-2A1A-45BD-BD1D-8DBFF633E103}"/>
                </c:ext>
              </c:extLst>
            </c:dLbl>
            <c:numFmt formatCode="0%" sourceLinked="0"/>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bg1"/>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Arkusz1!$A$2:$A$10</c:f>
              <c:strCache>
                <c:ptCount val="9"/>
                <c:pt idx="0">
                  <c:v>2016 N=5366</c:v>
                </c:pt>
                <c:pt idx="1">
                  <c:v>2018 N=5615</c:v>
                </c:pt>
                <c:pt idx="2">
                  <c:v>2019 N=905</c:v>
                </c:pt>
                <c:pt idx="3">
                  <c:v>2020 N=5514</c:v>
                </c:pt>
                <c:pt idx="4">
                  <c:v>2021 N=887</c:v>
                </c:pt>
                <c:pt idx="5">
                  <c:v>2022 N=5279</c:v>
                </c:pt>
                <c:pt idx="6">
                  <c:v>2023 N=888</c:v>
                </c:pt>
                <c:pt idx="7">
                  <c:v>2024 N=5707</c:v>
                </c:pt>
                <c:pt idx="8">
                  <c:v>2025 N=955</c:v>
                </c:pt>
              </c:strCache>
            </c:strRef>
          </c:cat>
          <c:val>
            <c:numRef>
              <c:f>Arkusz1!$B$2:$B$10</c:f>
              <c:numCache>
                <c:formatCode>0%</c:formatCode>
                <c:ptCount val="9"/>
                <c:pt idx="0">
                  <c:v>0.05</c:v>
                </c:pt>
                <c:pt idx="1">
                  <c:v>7.0000000000000007E-2</c:v>
                </c:pt>
                <c:pt idx="2">
                  <c:v>0.04</c:v>
                </c:pt>
                <c:pt idx="3">
                  <c:v>0.09</c:v>
                </c:pt>
                <c:pt idx="4">
                  <c:v>0.15</c:v>
                </c:pt>
                <c:pt idx="5">
                  <c:v>0.15</c:v>
                </c:pt>
                <c:pt idx="6">
                  <c:v>0.13</c:v>
                </c:pt>
                <c:pt idx="7">
                  <c:v>0.14000000000000001</c:v>
                </c:pt>
                <c:pt idx="8">
                  <c:v>0.1</c:v>
                </c:pt>
              </c:numCache>
            </c:numRef>
          </c:val>
          <c:extLst>
            <c:ext xmlns:c16="http://schemas.microsoft.com/office/drawing/2014/chart" uri="{C3380CC4-5D6E-409C-BE32-E72D297353CC}">
              <c16:uniqueId val="{00000000-5ADD-4C41-B641-FA633DF8C113}"/>
            </c:ext>
          </c:extLst>
        </c:ser>
        <c:ser>
          <c:idx val="1"/>
          <c:order val="1"/>
          <c:tx>
            <c:strRef>
              <c:f>Arkusz1!$C$1</c:f>
              <c:strCache>
                <c:ptCount val="1"/>
                <c:pt idx="0">
                  <c:v>raczej tak</c:v>
                </c:pt>
              </c:strCache>
            </c:strRef>
          </c:tx>
          <c:spPr>
            <a:solidFill>
              <a:schemeClr val="accent5">
                <a:lumMod val="50000"/>
              </a:schemeClr>
            </a:solidFill>
            <a:ln>
              <a:noFill/>
            </a:ln>
            <a:effectLst/>
          </c:spPr>
          <c:invertIfNegative val="0"/>
          <c:dLbls>
            <c:numFmt formatCode="0%" sourceLinked="0"/>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bg1"/>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Arkusz1!$A$2:$A$10</c:f>
              <c:strCache>
                <c:ptCount val="9"/>
                <c:pt idx="0">
                  <c:v>2016 N=5366</c:v>
                </c:pt>
                <c:pt idx="1">
                  <c:v>2018 N=5615</c:v>
                </c:pt>
                <c:pt idx="2">
                  <c:v>2019 N=905</c:v>
                </c:pt>
                <c:pt idx="3">
                  <c:v>2020 N=5514</c:v>
                </c:pt>
                <c:pt idx="4">
                  <c:v>2021 N=887</c:v>
                </c:pt>
                <c:pt idx="5">
                  <c:v>2022 N=5279</c:v>
                </c:pt>
                <c:pt idx="6">
                  <c:v>2023 N=888</c:v>
                </c:pt>
                <c:pt idx="7">
                  <c:v>2024 N=5707</c:v>
                </c:pt>
                <c:pt idx="8">
                  <c:v>2025 N=955</c:v>
                </c:pt>
              </c:strCache>
            </c:strRef>
          </c:cat>
          <c:val>
            <c:numRef>
              <c:f>Arkusz1!$C$2:$C$10</c:f>
              <c:numCache>
                <c:formatCode>0%</c:formatCode>
                <c:ptCount val="9"/>
                <c:pt idx="0">
                  <c:v>0.51</c:v>
                </c:pt>
                <c:pt idx="1">
                  <c:v>0.53</c:v>
                </c:pt>
                <c:pt idx="2">
                  <c:v>0.45</c:v>
                </c:pt>
                <c:pt idx="3">
                  <c:v>0.5</c:v>
                </c:pt>
                <c:pt idx="4">
                  <c:v>0.54</c:v>
                </c:pt>
                <c:pt idx="5">
                  <c:v>0.5</c:v>
                </c:pt>
                <c:pt idx="6">
                  <c:v>0.5</c:v>
                </c:pt>
                <c:pt idx="7">
                  <c:v>0.51</c:v>
                </c:pt>
                <c:pt idx="8">
                  <c:v>0.56000000000000005</c:v>
                </c:pt>
              </c:numCache>
            </c:numRef>
          </c:val>
          <c:extLst>
            <c:ext xmlns:c16="http://schemas.microsoft.com/office/drawing/2014/chart" uri="{C3380CC4-5D6E-409C-BE32-E72D297353CC}">
              <c16:uniqueId val="{00000001-5ADD-4C41-B641-FA633DF8C113}"/>
            </c:ext>
          </c:extLst>
        </c:ser>
        <c:ser>
          <c:idx val="2"/>
          <c:order val="2"/>
          <c:tx>
            <c:strRef>
              <c:f>Arkusz1!$D$1</c:f>
              <c:strCache>
                <c:ptCount val="1"/>
                <c:pt idx="0">
                  <c:v>ani tak, ani nie</c:v>
                </c:pt>
              </c:strCache>
            </c:strRef>
          </c:tx>
          <c:spPr>
            <a:solidFill>
              <a:schemeClr val="accent3"/>
            </a:solidFill>
            <a:ln>
              <a:noFill/>
            </a:ln>
            <a:effectLst/>
          </c:spPr>
          <c:invertIfNegative val="0"/>
          <c:dLbls>
            <c:dLbl>
              <c:idx val="2"/>
              <c:numFmt formatCode="0%" sourceLinked="0"/>
              <c:spPr>
                <a:solidFill>
                  <a:srgbClr val="EE0000"/>
                </a:solid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bg1"/>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extLst>
                <c:ext xmlns:c16="http://schemas.microsoft.com/office/drawing/2014/chart" uri="{C3380CC4-5D6E-409C-BE32-E72D297353CC}">
                  <c16:uniqueId val="{00000000-2A1A-45BD-BD1D-8DBFF633E103}"/>
                </c:ext>
              </c:extLst>
            </c:dLbl>
            <c:numFmt formatCode="0%" sourceLinked="0"/>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bg1"/>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Arkusz1!$A$2:$A$10</c:f>
              <c:strCache>
                <c:ptCount val="9"/>
                <c:pt idx="0">
                  <c:v>2016 N=5366</c:v>
                </c:pt>
                <c:pt idx="1">
                  <c:v>2018 N=5615</c:v>
                </c:pt>
                <c:pt idx="2">
                  <c:v>2019 N=905</c:v>
                </c:pt>
                <c:pt idx="3">
                  <c:v>2020 N=5514</c:v>
                </c:pt>
                <c:pt idx="4">
                  <c:v>2021 N=887</c:v>
                </c:pt>
                <c:pt idx="5">
                  <c:v>2022 N=5279</c:v>
                </c:pt>
                <c:pt idx="6">
                  <c:v>2023 N=888</c:v>
                </c:pt>
                <c:pt idx="7">
                  <c:v>2024 N=5707</c:v>
                </c:pt>
                <c:pt idx="8">
                  <c:v>2025 N=955</c:v>
                </c:pt>
              </c:strCache>
            </c:strRef>
          </c:cat>
          <c:val>
            <c:numRef>
              <c:f>Arkusz1!$D$2:$D$10</c:f>
              <c:numCache>
                <c:formatCode>0%</c:formatCode>
                <c:ptCount val="9"/>
                <c:pt idx="0">
                  <c:v>0.17</c:v>
                </c:pt>
                <c:pt idx="1">
                  <c:v>0.19</c:v>
                </c:pt>
                <c:pt idx="2">
                  <c:v>0.23</c:v>
                </c:pt>
                <c:pt idx="3">
                  <c:v>0.18</c:v>
                </c:pt>
                <c:pt idx="4">
                  <c:v>0.17</c:v>
                </c:pt>
                <c:pt idx="5">
                  <c:v>0.16</c:v>
                </c:pt>
                <c:pt idx="6">
                  <c:v>0.18</c:v>
                </c:pt>
                <c:pt idx="7">
                  <c:v>0.2</c:v>
                </c:pt>
                <c:pt idx="8">
                  <c:v>0.18</c:v>
                </c:pt>
              </c:numCache>
            </c:numRef>
          </c:val>
          <c:extLst>
            <c:ext xmlns:c16="http://schemas.microsoft.com/office/drawing/2014/chart" uri="{C3380CC4-5D6E-409C-BE32-E72D297353CC}">
              <c16:uniqueId val="{00000002-5ADD-4C41-B641-FA633DF8C113}"/>
            </c:ext>
          </c:extLst>
        </c:ser>
        <c:ser>
          <c:idx val="3"/>
          <c:order val="3"/>
          <c:tx>
            <c:strRef>
              <c:f>Arkusz1!$E$1</c:f>
              <c:strCache>
                <c:ptCount val="1"/>
                <c:pt idx="0">
                  <c:v>raczej nie</c:v>
                </c:pt>
              </c:strCache>
            </c:strRef>
          </c:tx>
          <c:spPr>
            <a:solidFill>
              <a:schemeClr val="accent2">
                <a:lumMod val="75000"/>
              </a:schemeClr>
            </a:solidFill>
            <a:ln>
              <a:noFill/>
            </a:ln>
            <a:effectLst/>
          </c:spPr>
          <c:invertIfNegative val="0"/>
          <c:dLbls>
            <c:dLbl>
              <c:idx val="8"/>
              <c:numFmt formatCode="0%" sourceLinked="0"/>
              <c:spPr>
                <a:solidFill>
                  <a:srgbClr val="EE0000"/>
                </a:solid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bg1"/>
                      </a:solidFill>
                      <a:latin typeface="+mn-lt"/>
                      <a:ea typeface="+mn-ea"/>
                      <a:cs typeface="+mn-cs"/>
                    </a:defRPr>
                  </a:pPr>
                  <a:endParaRPr lang="pl-PL"/>
                </a:p>
              </c:txPr>
              <c:showLegendKey val="0"/>
              <c:showVal val="1"/>
              <c:showCatName val="0"/>
              <c:showSerName val="0"/>
              <c:showPercent val="0"/>
              <c:showBubbleSize val="0"/>
              <c:extLst>
                <c:ext xmlns:c16="http://schemas.microsoft.com/office/drawing/2014/chart" uri="{C3380CC4-5D6E-409C-BE32-E72D297353CC}">
                  <c16:uniqueId val="{00000000-CB85-479A-B6A5-B52436105603}"/>
                </c:ext>
              </c:extLst>
            </c:dLbl>
            <c:numFmt formatCode="0%" sourceLinked="0"/>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bg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Arkusz1!$A$2:$A$10</c:f>
              <c:strCache>
                <c:ptCount val="9"/>
                <c:pt idx="0">
                  <c:v>2016 N=5366</c:v>
                </c:pt>
                <c:pt idx="1">
                  <c:v>2018 N=5615</c:v>
                </c:pt>
                <c:pt idx="2">
                  <c:v>2019 N=905</c:v>
                </c:pt>
                <c:pt idx="3">
                  <c:v>2020 N=5514</c:v>
                </c:pt>
                <c:pt idx="4">
                  <c:v>2021 N=887</c:v>
                </c:pt>
                <c:pt idx="5">
                  <c:v>2022 N=5279</c:v>
                </c:pt>
                <c:pt idx="6">
                  <c:v>2023 N=888</c:v>
                </c:pt>
                <c:pt idx="7">
                  <c:v>2024 N=5707</c:v>
                </c:pt>
                <c:pt idx="8">
                  <c:v>2025 N=955</c:v>
                </c:pt>
              </c:strCache>
            </c:strRef>
          </c:cat>
          <c:val>
            <c:numRef>
              <c:f>Arkusz1!$E$2:$E$10</c:f>
              <c:numCache>
                <c:formatCode>0%</c:formatCode>
                <c:ptCount val="9"/>
                <c:pt idx="0">
                  <c:v>0.08</c:v>
                </c:pt>
                <c:pt idx="1">
                  <c:v>0.06</c:v>
                </c:pt>
                <c:pt idx="2">
                  <c:v>0.05</c:v>
                </c:pt>
                <c:pt idx="3">
                  <c:v>0.06</c:v>
                </c:pt>
                <c:pt idx="4">
                  <c:v>0.08</c:v>
                </c:pt>
                <c:pt idx="5">
                  <c:v>0.06</c:v>
                </c:pt>
                <c:pt idx="6">
                  <c:v>0.12</c:v>
                </c:pt>
                <c:pt idx="7">
                  <c:v>0.03</c:v>
                </c:pt>
                <c:pt idx="8">
                  <c:v>0.09</c:v>
                </c:pt>
              </c:numCache>
            </c:numRef>
          </c:val>
          <c:extLst>
            <c:ext xmlns:c16="http://schemas.microsoft.com/office/drawing/2014/chart" uri="{C3380CC4-5D6E-409C-BE32-E72D297353CC}">
              <c16:uniqueId val="{00000003-5ADD-4C41-B641-FA633DF8C113}"/>
            </c:ext>
          </c:extLst>
        </c:ser>
        <c:ser>
          <c:idx val="4"/>
          <c:order val="4"/>
          <c:tx>
            <c:strRef>
              <c:f>Arkusz1!$F$1</c:f>
              <c:strCache>
                <c:ptCount val="1"/>
                <c:pt idx="0">
                  <c:v>zdecydowanie nie</c:v>
                </c:pt>
              </c:strCache>
            </c:strRef>
          </c:tx>
          <c:spPr>
            <a:solidFill>
              <a:schemeClr val="accent6">
                <a:lumMod val="75000"/>
              </a:schemeClr>
            </a:solidFill>
            <a:ln>
              <a:noFill/>
            </a:ln>
            <a:effectLst/>
          </c:spPr>
          <c:invertIfNegative val="0"/>
          <c:dLbls>
            <c:numFmt formatCode="0%" sourceLinked="0"/>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bg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Arkusz1!$A$2:$A$10</c:f>
              <c:strCache>
                <c:ptCount val="9"/>
                <c:pt idx="0">
                  <c:v>2016 N=5366</c:v>
                </c:pt>
                <c:pt idx="1">
                  <c:v>2018 N=5615</c:v>
                </c:pt>
                <c:pt idx="2">
                  <c:v>2019 N=905</c:v>
                </c:pt>
                <c:pt idx="3">
                  <c:v>2020 N=5514</c:v>
                </c:pt>
                <c:pt idx="4">
                  <c:v>2021 N=887</c:v>
                </c:pt>
                <c:pt idx="5">
                  <c:v>2022 N=5279</c:v>
                </c:pt>
                <c:pt idx="6">
                  <c:v>2023 N=888</c:v>
                </c:pt>
                <c:pt idx="7">
                  <c:v>2024 N=5707</c:v>
                </c:pt>
                <c:pt idx="8">
                  <c:v>2025 N=955</c:v>
                </c:pt>
              </c:strCache>
            </c:strRef>
          </c:cat>
          <c:val>
            <c:numRef>
              <c:f>Arkusz1!$F$2:$F$10</c:f>
              <c:numCache>
                <c:formatCode>0%</c:formatCode>
                <c:ptCount val="9"/>
                <c:pt idx="0">
                  <c:v>0.08</c:v>
                </c:pt>
                <c:pt idx="1">
                  <c:v>0.06</c:v>
                </c:pt>
                <c:pt idx="2">
                  <c:v>0.05</c:v>
                </c:pt>
                <c:pt idx="3">
                  <c:v>0.06</c:v>
                </c:pt>
                <c:pt idx="4">
                  <c:v>0.06</c:v>
                </c:pt>
                <c:pt idx="5">
                  <c:v>0.06</c:v>
                </c:pt>
                <c:pt idx="6">
                  <c:v>0.04</c:v>
                </c:pt>
                <c:pt idx="7">
                  <c:v>0.02</c:v>
                </c:pt>
                <c:pt idx="8">
                  <c:v>0.02</c:v>
                </c:pt>
              </c:numCache>
            </c:numRef>
          </c:val>
          <c:extLst>
            <c:ext xmlns:c16="http://schemas.microsoft.com/office/drawing/2014/chart" uri="{C3380CC4-5D6E-409C-BE32-E72D297353CC}">
              <c16:uniqueId val="{00000004-5ADD-4C41-B641-FA633DF8C113}"/>
            </c:ext>
          </c:extLst>
        </c:ser>
        <c:ser>
          <c:idx val="5"/>
          <c:order val="5"/>
          <c:tx>
            <c:strRef>
              <c:f>Arkusz1!$G$1</c:f>
              <c:strCache>
                <c:ptCount val="1"/>
                <c:pt idx="0">
                  <c:v>nie wiem / trudno powiedzieć</c:v>
                </c:pt>
              </c:strCache>
            </c:strRef>
          </c:tx>
          <c:spPr>
            <a:solidFill>
              <a:schemeClr val="accent6"/>
            </a:solidFill>
            <a:ln>
              <a:noFill/>
            </a:ln>
            <a:effectLst/>
          </c:spPr>
          <c:invertIfNegative val="0"/>
          <c:dLbls>
            <c:dLbl>
              <c:idx val="2"/>
              <c:spPr>
                <a:solidFill>
                  <a:srgbClr val="EE0000"/>
                </a:solid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bg1"/>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extLst>
                <c:ext xmlns:c16="http://schemas.microsoft.com/office/drawing/2014/chart" uri="{C3380CC4-5D6E-409C-BE32-E72D297353CC}">
                  <c16:uniqueId val="{00000001-2A1A-45BD-BD1D-8DBFF633E103}"/>
                </c:ext>
              </c:extLst>
            </c:dLbl>
            <c:dLbl>
              <c:idx val="6"/>
              <c:spPr>
                <a:solidFill>
                  <a:srgbClr val="00B0F0"/>
                </a:solid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bg1"/>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extLst>
                <c:ext xmlns:c16="http://schemas.microsoft.com/office/drawing/2014/chart" uri="{C3380CC4-5D6E-409C-BE32-E72D297353CC}">
                  <c16:uniqueId val="{00000002-2A1A-45BD-BD1D-8DBFF633E103}"/>
                </c:ext>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bg1"/>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Arkusz1!$A$2:$A$10</c:f>
              <c:strCache>
                <c:ptCount val="9"/>
                <c:pt idx="0">
                  <c:v>2016 N=5366</c:v>
                </c:pt>
                <c:pt idx="1">
                  <c:v>2018 N=5615</c:v>
                </c:pt>
                <c:pt idx="2">
                  <c:v>2019 N=905</c:v>
                </c:pt>
                <c:pt idx="3">
                  <c:v>2020 N=5514</c:v>
                </c:pt>
                <c:pt idx="4">
                  <c:v>2021 N=887</c:v>
                </c:pt>
                <c:pt idx="5">
                  <c:v>2022 N=5279</c:v>
                </c:pt>
                <c:pt idx="6">
                  <c:v>2023 N=888</c:v>
                </c:pt>
                <c:pt idx="7">
                  <c:v>2024 N=5707</c:v>
                </c:pt>
                <c:pt idx="8">
                  <c:v>2025 N=955</c:v>
                </c:pt>
              </c:strCache>
            </c:strRef>
          </c:cat>
          <c:val>
            <c:numRef>
              <c:f>Arkusz1!$G$2:$G$10</c:f>
              <c:numCache>
                <c:formatCode>0%</c:formatCode>
                <c:ptCount val="9"/>
                <c:pt idx="0">
                  <c:v>0.17</c:v>
                </c:pt>
                <c:pt idx="1">
                  <c:v>0.12</c:v>
                </c:pt>
                <c:pt idx="2">
                  <c:v>0.21</c:v>
                </c:pt>
                <c:pt idx="3">
                  <c:v>0.13</c:v>
                </c:pt>
                <c:pt idx="4">
                  <c:v>0.06</c:v>
                </c:pt>
                <c:pt idx="5">
                  <c:v>0.11</c:v>
                </c:pt>
                <c:pt idx="6">
                  <c:v>0.04</c:v>
                </c:pt>
                <c:pt idx="7">
                  <c:v>0.1</c:v>
                </c:pt>
                <c:pt idx="8">
                  <c:v>0.06</c:v>
                </c:pt>
              </c:numCache>
            </c:numRef>
          </c:val>
          <c:extLst>
            <c:ext xmlns:c16="http://schemas.microsoft.com/office/drawing/2014/chart" uri="{C3380CC4-5D6E-409C-BE32-E72D297353CC}">
              <c16:uniqueId val="{00000005-5ADD-4C41-B641-FA633DF8C113}"/>
            </c:ext>
          </c:extLst>
        </c:ser>
        <c:dLbls>
          <c:showLegendKey val="0"/>
          <c:showVal val="0"/>
          <c:showCatName val="0"/>
          <c:showSerName val="0"/>
          <c:showPercent val="0"/>
          <c:showBubbleSize val="0"/>
        </c:dLbls>
        <c:gapWidth val="60"/>
        <c:overlap val="100"/>
        <c:axId val="875697471"/>
        <c:axId val="875698911"/>
      </c:barChart>
      <c:catAx>
        <c:axId val="875697471"/>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crossAx val="875698911"/>
        <c:crosses val="autoZero"/>
        <c:auto val="1"/>
        <c:lblAlgn val="ctr"/>
        <c:lblOffset val="100"/>
        <c:noMultiLvlLbl val="0"/>
      </c:catAx>
      <c:valAx>
        <c:axId val="875698911"/>
        <c:scaling>
          <c:orientation val="minMax"/>
        </c:scaling>
        <c:delete val="0"/>
        <c:axPos val="b"/>
        <c:majorGridlines>
          <c:spPr>
            <a:ln w="9525" cap="flat" cmpd="sng" algn="ctr">
              <a:no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pl-PL"/>
          </a:p>
        </c:txPr>
        <c:crossAx val="87569747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pl-PL"/>
    </a:p>
  </c:txPr>
  <c:externalData r:id="rId3">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Arkusz1!$B$1</c:f>
              <c:strCache>
                <c:ptCount val="1"/>
                <c:pt idx="0">
                  <c:v>T2B: zdecydowanie tak + raczej tak</c:v>
                </c:pt>
              </c:strCache>
            </c:strRef>
          </c:tx>
          <c:spPr>
            <a:ln w="28575" cap="rnd">
              <a:solidFill>
                <a:srgbClr val="061A3D"/>
              </a:solidFill>
              <a:round/>
            </a:ln>
            <a:effectLst/>
          </c:spPr>
          <c:marker>
            <c:symbol val="circle"/>
            <c:size val="5"/>
            <c:spPr>
              <a:solidFill>
                <a:srgbClr val="061A3D"/>
              </a:solidFill>
              <a:ln w="9525">
                <a:solidFill>
                  <a:srgbClr val="061A3D"/>
                </a:solidFill>
              </a:ln>
              <a:effectLst/>
            </c:spPr>
          </c:marker>
          <c:dLbls>
            <c:dLbl>
              <c:idx val="1"/>
              <c:numFmt formatCode="0%" sourceLinked="0"/>
              <c:spPr>
                <a:solidFill>
                  <a:srgbClr val="00B0F0"/>
                </a:solidFill>
                <a:ln>
                  <a:noFill/>
                </a:ln>
                <a:effectLst/>
              </c:spPr>
              <c:txPr>
                <a:bodyPr rot="0" spcFirstLastPara="1" vertOverflow="ellipsis" vert="horz" wrap="square" anchor="ctr" anchorCtr="1"/>
                <a:lstStyle/>
                <a:p>
                  <a:pPr>
                    <a:defRPr sz="1100" b="0" i="0" u="none" strike="noStrike" kern="1200" baseline="0">
                      <a:solidFill>
                        <a:schemeClr val="bg1"/>
                      </a:solidFill>
                      <a:latin typeface="Arial" panose="020B0604020202020204" pitchFamily="34" charset="0"/>
                      <a:ea typeface="+mn-ea"/>
                      <a:cs typeface="Arial" panose="020B0604020202020204" pitchFamily="34" charset="0"/>
                    </a:defRPr>
                  </a:pPr>
                  <a:endParaRPr lang="pl-PL"/>
                </a:p>
              </c:txPr>
              <c:dLblPos val="t"/>
              <c:showLegendKey val="0"/>
              <c:showVal val="1"/>
              <c:showCatName val="0"/>
              <c:showSerName val="0"/>
              <c:showPercent val="0"/>
              <c:showBubbleSize val="0"/>
              <c:extLst>
                <c:ext xmlns:c16="http://schemas.microsoft.com/office/drawing/2014/chart" uri="{C3380CC4-5D6E-409C-BE32-E72D297353CC}">
                  <c16:uniqueId val="{00000000-1DC0-4C51-A2BB-D2F89C1D7F7D}"/>
                </c:ext>
              </c:extLst>
            </c:dLbl>
            <c:numFmt formatCode="0%" sourceLinked="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Arkusz1!$A$2:$A$13</c:f>
              <c:strCache>
                <c:ptCount val="12"/>
                <c:pt idx="0">
                  <c:v>2014 N=6352</c:v>
                </c:pt>
                <c:pt idx="1">
                  <c:v>2015 N=1642</c:v>
                </c:pt>
                <c:pt idx="2">
                  <c:v>2016 N=5366</c:v>
                </c:pt>
                <c:pt idx="3">
                  <c:v>2017 N=919</c:v>
                </c:pt>
                <c:pt idx="4">
                  <c:v>2018 N=5615</c:v>
                </c:pt>
                <c:pt idx="5">
                  <c:v>2019 N=905</c:v>
                </c:pt>
                <c:pt idx="6">
                  <c:v>2020 N=5514</c:v>
                </c:pt>
                <c:pt idx="7">
                  <c:v>2021 N=887</c:v>
                </c:pt>
                <c:pt idx="8">
                  <c:v>2022 N=5279</c:v>
                </c:pt>
                <c:pt idx="9">
                  <c:v>2023 N=888</c:v>
                </c:pt>
                <c:pt idx="10">
                  <c:v>2024 N=5707</c:v>
                </c:pt>
                <c:pt idx="11">
                  <c:v>2025 N=955</c:v>
                </c:pt>
              </c:strCache>
            </c:strRef>
          </c:cat>
          <c:val>
            <c:numRef>
              <c:f>Arkusz1!$B$2:$B$13</c:f>
              <c:numCache>
                <c:formatCode>0%</c:formatCode>
                <c:ptCount val="12"/>
                <c:pt idx="0">
                  <c:v>0.78</c:v>
                </c:pt>
                <c:pt idx="1">
                  <c:v>0.74</c:v>
                </c:pt>
                <c:pt idx="2">
                  <c:v>0.82</c:v>
                </c:pt>
                <c:pt idx="3">
                  <c:v>0.87</c:v>
                </c:pt>
                <c:pt idx="4">
                  <c:v>0.87</c:v>
                </c:pt>
                <c:pt idx="5">
                  <c:v>0.84</c:v>
                </c:pt>
                <c:pt idx="6">
                  <c:v>0.84</c:v>
                </c:pt>
                <c:pt idx="7">
                  <c:v>0.84</c:v>
                </c:pt>
                <c:pt idx="8">
                  <c:v>0.86</c:v>
                </c:pt>
                <c:pt idx="9">
                  <c:v>0.85</c:v>
                </c:pt>
                <c:pt idx="10" formatCode="0.00%">
                  <c:v>0.88</c:v>
                </c:pt>
                <c:pt idx="11" formatCode="0.00%">
                  <c:v>0.91</c:v>
                </c:pt>
              </c:numCache>
            </c:numRef>
          </c:val>
          <c:smooth val="0"/>
          <c:extLst>
            <c:ext xmlns:c16="http://schemas.microsoft.com/office/drawing/2014/chart" uri="{C3380CC4-5D6E-409C-BE32-E72D297353CC}">
              <c16:uniqueId val="{00000000-FAC7-4F55-AFE6-E924AD0D5535}"/>
            </c:ext>
          </c:extLst>
        </c:ser>
        <c:dLbls>
          <c:showLegendKey val="0"/>
          <c:showVal val="0"/>
          <c:showCatName val="0"/>
          <c:showSerName val="0"/>
          <c:showPercent val="0"/>
          <c:showBubbleSize val="0"/>
        </c:dLbls>
        <c:marker val="1"/>
        <c:smooth val="0"/>
        <c:axId val="877883119"/>
        <c:axId val="877885519"/>
      </c:lineChart>
      <c:catAx>
        <c:axId val="87788311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crossAx val="877885519"/>
        <c:crosses val="autoZero"/>
        <c:auto val="1"/>
        <c:lblAlgn val="ctr"/>
        <c:lblOffset val="100"/>
        <c:noMultiLvlLbl val="0"/>
      </c:catAx>
      <c:valAx>
        <c:axId val="877885519"/>
        <c:scaling>
          <c:orientation val="minMax"/>
          <c:max val="1"/>
          <c:min val="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877883119"/>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900"/>
      </a:pPr>
      <a:endParaRPr lang="pl-PL"/>
    </a:p>
  </c:txPr>
  <c:externalData r:id="rId3">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percentStacked"/>
        <c:varyColors val="0"/>
        <c:ser>
          <c:idx val="0"/>
          <c:order val="0"/>
          <c:tx>
            <c:strRef>
              <c:f>Arkusz1!$B$1</c:f>
              <c:strCache>
                <c:ptCount val="1"/>
                <c:pt idx="0">
                  <c:v>zdecydowanie tak</c:v>
                </c:pt>
              </c:strCache>
            </c:strRef>
          </c:tx>
          <c:spPr>
            <a:solidFill>
              <a:srgbClr val="061A3D"/>
            </a:solidFill>
            <a:ln>
              <a:noFill/>
            </a:ln>
            <a:effectLst/>
          </c:spPr>
          <c:invertIfNegative val="0"/>
          <c:dLbls>
            <c:dLbl>
              <c:idx val="20"/>
              <c:numFmt formatCode="0%" sourceLinked="0"/>
              <c:spPr>
                <a:solidFill>
                  <a:srgbClr val="00B0F0"/>
                </a:solid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bg1"/>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extLst>
                <c:ext xmlns:c16="http://schemas.microsoft.com/office/drawing/2014/chart" uri="{C3380CC4-5D6E-409C-BE32-E72D297353CC}">
                  <c16:uniqueId val="{00000001-B20E-4755-B102-16FCB576C2F1}"/>
                </c:ext>
              </c:extLst>
            </c:dLbl>
            <c:dLbl>
              <c:idx val="22"/>
              <c:numFmt formatCode="0%" sourceLinked="0"/>
              <c:spPr>
                <a:solidFill>
                  <a:srgbClr val="EE0000"/>
                </a:solid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bg1"/>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extLst>
                <c:ext xmlns:c16="http://schemas.microsoft.com/office/drawing/2014/chart" uri="{C3380CC4-5D6E-409C-BE32-E72D297353CC}">
                  <c16:uniqueId val="{00000000-9DB2-401F-83CD-6E6D38196D29}"/>
                </c:ext>
              </c:extLst>
            </c:dLbl>
            <c:numFmt formatCode="0%" sourceLinked="0"/>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bg1"/>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Arkusz1!$A$2:$A$25</c:f>
              <c:strCache>
                <c:ptCount val="24"/>
                <c:pt idx="0">
                  <c:v>Ogółem</c:v>
                </c:pt>
                <c:pt idx="2">
                  <c:v>Kobiety</c:v>
                </c:pt>
                <c:pt idx="3">
                  <c:v>Mężczyźni</c:v>
                </c:pt>
                <c:pt idx="5">
                  <c:v>15–19</c:v>
                </c:pt>
                <c:pt idx="6">
                  <c:v>20–24</c:v>
                </c:pt>
                <c:pt idx="7">
                  <c:v>25–34</c:v>
                </c:pt>
                <c:pt idx="8">
                  <c:v>35–44</c:v>
                </c:pt>
                <c:pt idx="9">
                  <c:v>45–54</c:v>
                </c:pt>
                <c:pt idx="10">
                  <c:v>55–64</c:v>
                </c:pt>
                <c:pt idx="11">
                  <c:v>65+</c:v>
                </c:pt>
                <c:pt idx="13">
                  <c:v>Wyższe</c:v>
                </c:pt>
                <c:pt idx="14">
                  <c:v>Średnie</c:v>
                </c:pt>
                <c:pt idx="15">
                  <c:v>Zawodowe</c:v>
                </c:pt>
                <c:pt idx="16">
                  <c:v>Podstawowe</c:v>
                </c:pt>
                <c:pt idx="18">
                  <c:v>Wieś</c:v>
                </c:pt>
                <c:pt idx="19">
                  <c:v>Do 20 tys.</c:v>
                </c:pt>
                <c:pt idx="20">
                  <c:v>20–49 tys.</c:v>
                </c:pt>
                <c:pt idx="21">
                  <c:v>50–199 tys.</c:v>
                </c:pt>
                <c:pt idx="22">
                  <c:v>200–499 tys.</c:v>
                </c:pt>
                <c:pt idx="23">
                  <c:v>powyżej 500 tys.</c:v>
                </c:pt>
              </c:strCache>
            </c:strRef>
          </c:cat>
          <c:val>
            <c:numRef>
              <c:f>Arkusz1!$B$2:$B$25</c:f>
              <c:numCache>
                <c:formatCode>General</c:formatCode>
                <c:ptCount val="24"/>
                <c:pt idx="0" formatCode="0.00%">
                  <c:v>0.51300000000000001</c:v>
                </c:pt>
                <c:pt idx="2" formatCode="0.00%">
                  <c:v>0.504</c:v>
                </c:pt>
                <c:pt idx="3" formatCode="0.00%">
                  <c:v>0.52100000000000002</c:v>
                </c:pt>
                <c:pt idx="5" formatCode="0.00%">
                  <c:v>0.50800000000000001</c:v>
                </c:pt>
                <c:pt idx="6" formatCode="0.00%">
                  <c:v>0.50800000000000001</c:v>
                </c:pt>
                <c:pt idx="7" formatCode="0.00%">
                  <c:v>0.503</c:v>
                </c:pt>
                <c:pt idx="8" formatCode="0.00%">
                  <c:v>0.52100000000000002</c:v>
                </c:pt>
                <c:pt idx="9" formatCode="0.00%">
                  <c:v>0.51800000000000002</c:v>
                </c:pt>
                <c:pt idx="10" formatCode="0.00%">
                  <c:v>0.496</c:v>
                </c:pt>
                <c:pt idx="11" formatCode="0.00%">
                  <c:v>0.52200000000000002</c:v>
                </c:pt>
                <c:pt idx="13" formatCode="0.00%">
                  <c:v>0.53700000000000003</c:v>
                </c:pt>
                <c:pt idx="14" formatCode="0.00%">
                  <c:v>0.50800000000000001</c:v>
                </c:pt>
                <c:pt idx="15" formatCode="0.00%">
                  <c:v>0.51</c:v>
                </c:pt>
                <c:pt idx="16" formatCode="0.00%">
                  <c:v>0.47899999999999998</c:v>
                </c:pt>
                <c:pt idx="18" formatCode="0.00%">
                  <c:v>0.53300000000000003</c:v>
                </c:pt>
                <c:pt idx="19" formatCode="0.00%">
                  <c:v>0.49199999999999999</c:v>
                </c:pt>
                <c:pt idx="20" formatCode="0.00%">
                  <c:v>0.434</c:v>
                </c:pt>
                <c:pt idx="21" formatCode="0.00%">
                  <c:v>0.503</c:v>
                </c:pt>
                <c:pt idx="22" formatCode="0.00%">
                  <c:v>0.56799999999999995</c:v>
                </c:pt>
                <c:pt idx="23" formatCode="0.00%">
                  <c:v>0.52200000000000002</c:v>
                </c:pt>
              </c:numCache>
            </c:numRef>
          </c:val>
          <c:extLst>
            <c:ext xmlns:c16="http://schemas.microsoft.com/office/drawing/2014/chart" uri="{C3380CC4-5D6E-409C-BE32-E72D297353CC}">
              <c16:uniqueId val="{00000000-E947-42C4-98BB-C964F8DA4430}"/>
            </c:ext>
          </c:extLst>
        </c:ser>
        <c:ser>
          <c:idx val="1"/>
          <c:order val="1"/>
          <c:tx>
            <c:strRef>
              <c:f>Arkusz1!$C$1</c:f>
              <c:strCache>
                <c:ptCount val="1"/>
                <c:pt idx="0">
                  <c:v>raczej tak</c:v>
                </c:pt>
              </c:strCache>
            </c:strRef>
          </c:tx>
          <c:spPr>
            <a:solidFill>
              <a:schemeClr val="bg1">
                <a:lumMod val="85000"/>
              </a:schemeClr>
            </a:solidFill>
            <a:ln>
              <a:noFill/>
            </a:ln>
            <a:effectLst/>
          </c:spPr>
          <c:invertIfNegative val="0"/>
          <c:dLbls>
            <c:dLbl>
              <c:idx val="6"/>
              <c:tx>
                <c:rich>
                  <a:bodyPr rot="0" spcFirstLastPara="1" vertOverflow="ellipsis" vert="horz" wrap="square" lIns="38100" tIns="19050" rIns="38100" bIns="19050" anchor="ctr" anchorCtr="1">
                    <a:spAutoFit/>
                  </a:bodyPr>
                  <a:lstStyle/>
                  <a:p>
                    <a:pPr>
                      <a:defRPr sz="1100" b="0" i="0" u="none" strike="noStrike" kern="1200" baseline="0">
                        <a:solidFill>
                          <a:schemeClr val="tx1"/>
                        </a:solidFill>
                        <a:latin typeface="Arial" panose="020B0604020202020204" pitchFamily="34" charset="0"/>
                        <a:ea typeface="+mn-ea"/>
                        <a:cs typeface="Arial" panose="020B0604020202020204" pitchFamily="34" charset="0"/>
                      </a:defRPr>
                    </a:pPr>
                    <a:fld id="{B4E4F8EA-35A9-4FB1-BBD5-56AAD77F2430}" type="VALUE">
                      <a:rPr lang="en-US" sz="1100">
                        <a:solidFill>
                          <a:schemeClr val="bg1"/>
                        </a:solidFill>
                        <a:latin typeface="Arial" panose="020B0604020202020204" pitchFamily="34" charset="0"/>
                        <a:cs typeface="Arial" panose="020B0604020202020204" pitchFamily="34" charset="0"/>
                      </a:rPr>
                      <a:pPr>
                        <a:defRPr sz="1100">
                          <a:solidFill>
                            <a:schemeClr val="tx1"/>
                          </a:solidFill>
                          <a:latin typeface="Arial" panose="020B0604020202020204" pitchFamily="34" charset="0"/>
                          <a:cs typeface="Arial" panose="020B0604020202020204" pitchFamily="34" charset="0"/>
                        </a:defRPr>
                      </a:pPr>
                      <a:t>[WARTOŚĆ]</a:t>
                    </a:fld>
                    <a:endParaRPr lang="pl-PL"/>
                  </a:p>
                </c:rich>
              </c:tx>
              <c:numFmt formatCode="0%" sourceLinked="0"/>
              <c:spPr>
                <a:solidFill>
                  <a:srgbClr val="EE0000"/>
                </a:solid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2-B20E-4755-B102-16FCB576C2F1}"/>
                </c:ext>
              </c:extLst>
            </c:dLbl>
            <c:dLbl>
              <c:idx val="20"/>
              <c:numFmt formatCode="0%" sourceLinked="0"/>
              <c:spPr>
                <a:solidFill>
                  <a:srgbClr val="EE0000"/>
                </a:solid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bg1"/>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extLst>
                <c:ext xmlns:c16="http://schemas.microsoft.com/office/drawing/2014/chart" uri="{C3380CC4-5D6E-409C-BE32-E72D297353CC}">
                  <c16:uniqueId val="{00000000-B20E-4755-B102-16FCB576C2F1}"/>
                </c:ext>
              </c:extLst>
            </c:dLbl>
            <c:numFmt formatCode="0%" sourceLinked="0"/>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Arkusz1!$A$2:$A$25</c:f>
              <c:strCache>
                <c:ptCount val="24"/>
                <c:pt idx="0">
                  <c:v>Ogółem</c:v>
                </c:pt>
                <c:pt idx="2">
                  <c:v>Kobiety</c:v>
                </c:pt>
                <c:pt idx="3">
                  <c:v>Mężczyźni</c:v>
                </c:pt>
                <c:pt idx="5">
                  <c:v>15–19</c:v>
                </c:pt>
                <c:pt idx="6">
                  <c:v>20–24</c:v>
                </c:pt>
                <c:pt idx="7">
                  <c:v>25–34</c:v>
                </c:pt>
                <c:pt idx="8">
                  <c:v>35–44</c:v>
                </c:pt>
                <c:pt idx="9">
                  <c:v>45–54</c:v>
                </c:pt>
                <c:pt idx="10">
                  <c:v>55–64</c:v>
                </c:pt>
                <c:pt idx="11">
                  <c:v>65+</c:v>
                </c:pt>
                <c:pt idx="13">
                  <c:v>Wyższe</c:v>
                </c:pt>
                <c:pt idx="14">
                  <c:v>Średnie</c:v>
                </c:pt>
                <c:pt idx="15">
                  <c:v>Zawodowe</c:v>
                </c:pt>
                <c:pt idx="16">
                  <c:v>Podstawowe</c:v>
                </c:pt>
                <c:pt idx="18">
                  <c:v>Wieś</c:v>
                </c:pt>
                <c:pt idx="19">
                  <c:v>Do 20 tys.</c:v>
                </c:pt>
                <c:pt idx="20">
                  <c:v>20–49 tys.</c:v>
                </c:pt>
                <c:pt idx="21">
                  <c:v>50–199 tys.</c:v>
                </c:pt>
                <c:pt idx="22">
                  <c:v>200–499 tys.</c:v>
                </c:pt>
                <c:pt idx="23">
                  <c:v>powyżej 500 tys.</c:v>
                </c:pt>
              </c:strCache>
            </c:strRef>
          </c:cat>
          <c:val>
            <c:numRef>
              <c:f>Arkusz1!$C$2:$C$25</c:f>
              <c:numCache>
                <c:formatCode>General</c:formatCode>
                <c:ptCount val="24"/>
                <c:pt idx="0" formatCode="0.00%">
                  <c:v>0.39400000000000002</c:v>
                </c:pt>
                <c:pt idx="2" formatCode="0.00%">
                  <c:v>0.40600000000000003</c:v>
                </c:pt>
                <c:pt idx="3" formatCode="0.00%">
                  <c:v>0.38200000000000001</c:v>
                </c:pt>
                <c:pt idx="5" formatCode="0.00%">
                  <c:v>0.45800000000000002</c:v>
                </c:pt>
                <c:pt idx="6" formatCode="0.00%">
                  <c:v>0.47499999999999998</c:v>
                </c:pt>
                <c:pt idx="7" formatCode="0.00%">
                  <c:v>0.39500000000000002</c:v>
                </c:pt>
                <c:pt idx="8" formatCode="0.00%">
                  <c:v>0.38</c:v>
                </c:pt>
                <c:pt idx="9" formatCode="0.00%">
                  <c:v>0.38300000000000001</c:v>
                </c:pt>
                <c:pt idx="10" formatCode="0.00%">
                  <c:v>0.40200000000000002</c:v>
                </c:pt>
                <c:pt idx="11" formatCode="0.00%">
                  <c:v>0.36799999999999999</c:v>
                </c:pt>
                <c:pt idx="13" formatCode="0.00%">
                  <c:v>0.36199999999999999</c:v>
                </c:pt>
                <c:pt idx="14" formatCode="0.00%">
                  <c:v>0.40400000000000003</c:v>
                </c:pt>
                <c:pt idx="15" formatCode="0.00%">
                  <c:v>0.38900000000000001</c:v>
                </c:pt>
                <c:pt idx="16" formatCode="0.00%">
                  <c:v>0.44500000000000001</c:v>
                </c:pt>
                <c:pt idx="18" formatCode="0.00%">
                  <c:v>0.375</c:v>
                </c:pt>
                <c:pt idx="19" formatCode="0.00%">
                  <c:v>0.42599999999999999</c:v>
                </c:pt>
                <c:pt idx="20" formatCode="0.00%">
                  <c:v>0.47799999999999998</c:v>
                </c:pt>
                <c:pt idx="21" formatCode="0.00%">
                  <c:v>0.39200000000000002</c:v>
                </c:pt>
                <c:pt idx="22" formatCode="0.00%">
                  <c:v>0.35799999999999998</c:v>
                </c:pt>
                <c:pt idx="23" formatCode="0.00%">
                  <c:v>0.36499999999999999</c:v>
                </c:pt>
              </c:numCache>
            </c:numRef>
          </c:val>
          <c:extLst>
            <c:ext xmlns:c16="http://schemas.microsoft.com/office/drawing/2014/chart" uri="{C3380CC4-5D6E-409C-BE32-E72D297353CC}">
              <c16:uniqueId val="{00000001-E947-42C4-98BB-C964F8DA4430}"/>
            </c:ext>
          </c:extLst>
        </c:ser>
        <c:ser>
          <c:idx val="2"/>
          <c:order val="2"/>
          <c:tx>
            <c:strRef>
              <c:f>Arkusz1!$D$1</c:f>
              <c:strCache>
                <c:ptCount val="1"/>
                <c:pt idx="0">
                  <c:v>raczej nie</c:v>
                </c:pt>
              </c:strCache>
            </c:strRef>
          </c:tx>
          <c:spPr>
            <a:solidFill>
              <a:schemeClr val="accent3"/>
            </a:solidFill>
            <a:ln>
              <a:noFill/>
            </a:ln>
            <a:effectLst/>
          </c:spPr>
          <c:invertIfNegative val="0"/>
          <c:dLbls>
            <c:numFmt formatCode="0%" sourceLinked="0"/>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Arkusz1!$A$2:$A$25</c:f>
              <c:strCache>
                <c:ptCount val="24"/>
                <c:pt idx="0">
                  <c:v>Ogółem</c:v>
                </c:pt>
                <c:pt idx="2">
                  <c:v>Kobiety</c:v>
                </c:pt>
                <c:pt idx="3">
                  <c:v>Mężczyźni</c:v>
                </c:pt>
                <c:pt idx="5">
                  <c:v>15–19</c:v>
                </c:pt>
                <c:pt idx="6">
                  <c:v>20–24</c:v>
                </c:pt>
                <c:pt idx="7">
                  <c:v>25–34</c:v>
                </c:pt>
                <c:pt idx="8">
                  <c:v>35–44</c:v>
                </c:pt>
                <c:pt idx="9">
                  <c:v>45–54</c:v>
                </c:pt>
                <c:pt idx="10">
                  <c:v>55–64</c:v>
                </c:pt>
                <c:pt idx="11">
                  <c:v>65+</c:v>
                </c:pt>
                <c:pt idx="13">
                  <c:v>Wyższe</c:v>
                </c:pt>
                <c:pt idx="14">
                  <c:v>Średnie</c:v>
                </c:pt>
                <c:pt idx="15">
                  <c:v>Zawodowe</c:v>
                </c:pt>
                <c:pt idx="16">
                  <c:v>Podstawowe</c:v>
                </c:pt>
                <c:pt idx="18">
                  <c:v>Wieś</c:v>
                </c:pt>
                <c:pt idx="19">
                  <c:v>Do 20 tys.</c:v>
                </c:pt>
                <c:pt idx="20">
                  <c:v>20–49 tys.</c:v>
                </c:pt>
                <c:pt idx="21">
                  <c:v>50–199 tys.</c:v>
                </c:pt>
                <c:pt idx="22">
                  <c:v>200–499 tys.</c:v>
                </c:pt>
                <c:pt idx="23">
                  <c:v>powyżej 500 tys.</c:v>
                </c:pt>
              </c:strCache>
            </c:strRef>
          </c:cat>
          <c:val>
            <c:numRef>
              <c:f>Arkusz1!$D$2:$D$25</c:f>
              <c:numCache>
                <c:formatCode>General</c:formatCode>
                <c:ptCount val="24"/>
                <c:pt idx="0" formatCode="0.00%">
                  <c:v>2.9000000000000001E-2</c:v>
                </c:pt>
                <c:pt idx="2" formatCode="0.00%">
                  <c:v>2.5999999999999999E-2</c:v>
                </c:pt>
                <c:pt idx="3" formatCode="0.00%">
                  <c:v>3.2000000000000001E-2</c:v>
                </c:pt>
                <c:pt idx="7" formatCode="0.00%">
                  <c:v>2.7E-2</c:v>
                </c:pt>
                <c:pt idx="8" formatCode="0.00%">
                  <c:v>3.5999999999999997E-2</c:v>
                </c:pt>
                <c:pt idx="9" formatCode="0.00%">
                  <c:v>0.05</c:v>
                </c:pt>
                <c:pt idx="10" formatCode="0.00%">
                  <c:v>4.7E-2</c:v>
                </c:pt>
                <c:pt idx="11" formatCode="0.00%">
                  <c:v>1.7999999999999999E-2</c:v>
                </c:pt>
                <c:pt idx="13" formatCode="0.00%">
                  <c:v>0.03</c:v>
                </c:pt>
                <c:pt idx="14" formatCode="0.00%">
                  <c:v>2.4E-2</c:v>
                </c:pt>
                <c:pt idx="15" formatCode="0.00%">
                  <c:v>3.7999999999999999E-2</c:v>
                </c:pt>
                <c:pt idx="16" formatCode="0.00%">
                  <c:v>2.5000000000000001E-2</c:v>
                </c:pt>
                <c:pt idx="18" formatCode="0.00%">
                  <c:v>2.9000000000000001E-2</c:v>
                </c:pt>
                <c:pt idx="19" formatCode="0.00%">
                  <c:v>3.3000000000000002E-2</c:v>
                </c:pt>
                <c:pt idx="20" formatCode="0.00%">
                  <c:v>2.7E-2</c:v>
                </c:pt>
                <c:pt idx="21" formatCode="0.00%">
                  <c:v>2.8000000000000001E-2</c:v>
                </c:pt>
                <c:pt idx="22" formatCode="0.00%">
                  <c:v>1.2E-2</c:v>
                </c:pt>
                <c:pt idx="23" formatCode="0.00%">
                  <c:v>4.2999999999999997E-2</c:v>
                </c:pt>
              </c:numCache>
            </c:numRef>
          </c:val>
          <c:extLst>
            <c:ext xmlns:c16="http://schemas.microsoft.com/office/drawing/2014/chart" uri="{C3380CC4-5D6E-409C-BE32-E72D297353CC}">
              <c16:uniqueId val="{00000002-E947-42C4-98BB-C964F8DA4430}"/>
            </c:ext>
          </c:extLst>
        </c:ser>
        <c:ser>
          <c:idx val="3"/>
          <c:order val="3"/>
          <c:tx>
            <c:strRef>
              <c:f>Arkusz1!$E$1</c:f>
              <c:strCache>
                <c:ptCount val="1"/>
                <c:pt idx="0">
                  <c:v>zdecydowanie nie</c:v>
                </c:pt>
              </c:strCache>
            </c:strRef>
          </c:tx>
          <c:spPr>
            <a:solidFill>
              <a:schemeClr val="accent4"/>
            </a:solidFill>
            <a:ln>
              <a:noFill/>
            </a:ln>
            <a:effectLst/>
          </c:spPr>
          <c:invertIfNegative val="0"/>
          <c:cat>
            <c:strRef>
              <c:f>Arkusz1!$A$2:$A$25</c:f>
              <c:strCache>
                <c:ptCount val="24"/>
                <c:pt idx="0">
                  <c:v>Ogółem</c:v>
                </c:pt>
                <c:pt idx="2">
                  <c:v>Kobiety</c:v>
                </c:pt>
                <c:pt idx="3">
                  <c:v>Mężczyźni</c:v>
                </c:pt>
                <c:pt idx="5">
                  <c:v>15–19</c:v>
                </c:pt>
                <c:pt idx="6">
                  <c:v>20–24</c:v>
                </c:pt>
                <c:pt idx="7">
                  <c:v>25–34</c:v>
                </c:pt>
                <c:pt idx="8">
                  <c:v>35–44</c:v>
                </c:pt>
                <c:pt idx="9">
                  <c:v>45–54</c:v>
                </c:pt>
                <c:pt idx="10">
                  <c:v>55–64</c:v>
                </c:pt>
                <c:pt idx="11">
                  <c:v>65+</c:v>
                </c:pt>
                <c:pt idx="13">
                  <c:v>Wyższe</c:v>
                </c:pt>
                <c:pt idx="14">
                  <c:v>Średnie</c:v>
                </c:pt>
                <c:pt idx="15">
                  <c:v>Zawodowe</c:v>
                </c:pt>
                <c:pt idx="16">
                  <c:v>Podstawowe</c:v>
                </c:pt>
                <c:pt idx="18">
                  <c:v>Wieś</c:v>
                </c:pt>
                <c:pt idx="19">
                  <c:v>Do 20 tys.</c:v>
                </c:pt>
                <c:pt idx="20">
                  <c:v>20–49 tys.</c:v>
                </c:pt>
                <c:pt idx="21">
                  <c:v>50–199 tys.</c:v>
                </c:pt>
                <c:pt idx="22">
                  <c:v>200–499 tys.</c:v>
                </c:pt>
                <c:pt idx="23">
                  <c:v>powyżej 500 tys.</c:v>
                </c:pt>
              </c:strCache>
            </c:strRef>
          </c:cat>
          <c:val>
            <c:numRef>
              <c:f>Arkusz1!$E$2:$E$25</c:f>
              <c:numCache>
                <c:formatCode>General</c:formatCode>
                <c:ptCount val="24"/>
                <c:pt idx="0" formatCode="0.00%">
                  <c:v>2E-3</c:v>
                </c:pt>
                <c:pt idx="2" formatCode="0.00%">
                  <c:v>2E-3</c:v>
                </c:pt>
                <c:pt idx="3" formatCode="0.00%">
                  <c:v>2E-3</c:v>
                </c:pt>
                <c:pt idx="11" formatCode="0.00%">
                  <c:v>8.9999999999999993E-3</c:v>
                </c:pt>
                <c:pt idx="14" formatCode="0.00%">
                  <c:v>3.0000000000000001E-3</c:v>
                </c:pt>
                <c:pt idx="15" formatCode="0.00%">
                  <c:v>4.0000000000000001E-3</c:v>
                </c:pt>
                <c:pt idx="19" formatCode="0.00%">
                  <c:v>8.0000000000000002E-3</c:v>
                </c:pt>
                <c:pt idx="20" formatCode="0.00%">
                  <c:v>8.9999999999999993E-3</c:v>
                </c:pt>
              </c:numCache>
            </c:numRef>
          </c:val>
          <c:extLst>
            <c:ext xmlns:c16="http://schemas.microsoft.com/office/drawing/2014/chart" uri="{C3380CC4-5D6E-409C-BE32-E72D297353CC}">
              <c16:uniqueId val="{00000003-E947-42C4-98BB-C964F8DA4430}"/>
            </c:ext>
          </c:extLst>
        </c:ser>
        <c:ser>
          <c:idx val="4"/>
          <c:order val="4"/>
          <c:tx>
            <c:strRef>
              <c:f>Arkusz1!$F$1</c:f>
              <c:strCache>
                <c:ptCount val="1"/>
                <c:pt idx="0">
                  <c:v>nie wiem / trudno powiedzieć</c:v>
                </c:pt>
              </c:strCache>
            </c:strRef>
          </c:tx>
          <c:spPr>
            <a:solidFill>
              <a:schemeClr val="accent5"/>
            </a:solidFill>
            <a:ln>
              <a:noFill/>
            </a:ln>
            <a:effectLst/>
          </c:spPr>
          <c:invertIfNegative val="0"/>
          <c:dLbls>
            <c:dLbl>
              <c:idx val="5"/>
              <c:layout>
                <c:manualLayout>
                  <c:x val="2.4106588666466443E-2"/>
                  <c:y val="5.399942220618239E-7"/>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7C0-46FA-8B2D-0A317BEF8120}"/>
                </c:ext>
              </c:extLst>
            </c:dLbl>
            <c:numFmt formatCode="0%" sourceLinked="0"/>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pl-PL"/>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Arkusz1!$A$2:$A$25</c:f>
              <c:strCache>
                <c:ptCount val="24"/>
                <c:pt idx="0">
                  <c:v>Ogółem</c:v>
                </c:pt>
                <c:pt idx="2">
                  <c:v>Kobiety</c:v>
                </c:pt>
                <c:pt idx="3">
                  <c:v>Mężczyźni</c:v>
                </c:pt>
                <c:pt idx="5">
                  <c:v>15–19</c:v>
                </c:pt>
                <c:pt idx="6">
                  <c:v>20–24</c:v>
                </c:pt>
                <c:pt idx="7">
                  <c:v>25–34</c:v>
                </c:pt>
                <c:pt idx="8">
                  <c:v>35–44</c:v>
                </c:pt>
                <c:pt idx="9">
                  <c:v>45–54</c:v>
                </c:pt>
                <c:pt idx="10">
                  <c:v>55–64</c:v>
                </c:pt>
                <c:pt idx="11">
                  <c:v>65+</c:v>
                </c:pt>
                <c:pt idx="13">
                  <c:v>Wyższe</c:v>
                </c:pt>
                <c:pt idx="14">
                  <c:v>Średnie</c:v>
                </c:pt>
                <c:pt idx="15">
                  <c:v>Zawodowe</c:v>
                </c:pt>
                <c:pt idx="16">
                  <c:v>Podstawowe</c:v>
                </c:pt>
                <c:pt idx="18">
                  <c:v>Wieś</c:v>
                </c:pt>
                <c:pt idx="19">
                  <c:v>Do 20 tys.</c:v>
                </c:pt>
                <c:pt idx="20">
                  <c:v>20–49 tys.</c:v>
                </c:pt>
                <c:pt idx="21">
                  <c:v>50–199 tys.</c:v>
                </c:pt>
                <c:pt idx="22">
                  <c:v>200–499 tys.</c:v>
                </c:pt>
                <c:pt idx="23">
                  <c:v>powyżej 500 tys.</c:v>
                </c:pt>
              </c:strCache>
            </c:strRef>
          </c:cat>
          <c:val>
            <c:numRef>
              <c:f>Arkusz1!$F$2:$F$25</c:f>
              <c:numCache>
                <c:formatCode>General</c:formatCode>
                <c:ptCount val="24"/>
                <c:pt idx="0" formatCode="0.00%">
                  <c:v>6.2E-2</c:v>
                </c:pt>
                <c:pt idx="2" formatCode="0.00%">
                  <c:v>6.0999999999999999E-2</c:v>
                </c:pt>
                <c:pt idx="3" formatCode="0.00%">
                  <c:v>6.2E-2</c:v>
                </c:pt>
                <c:pt idx="5" formatCode="0.00%">
                  <c:v>3.4000000000000002E-2</c:v>
                </c:pt>
                <c:pt idx="6" formatCode="0.00%">
                  <c:v>1.6E-2</c:v>
                </c:pt>
                <c:pt idx="7" formatCode="0.00%">
                  <c:v>7.4999999999999997E-2</c:v>
                </c:pt>
                <c:pt idx="8" formatCode="0.00%">
                  <c:v>6.3E-2</c:v>
                </c:pt>
                <c:pt idx="9" formatCode="0.00%">
                  <c:v>0.05</c:v>
                </c:pt>
                <c:pt idx="10" formatCode="0.00%">
                  <c:v>5.5E-2</c:v>
                </c:pt>
                <c:pt idx="11" formatCode="0.00%">
                  <c:v>8.3000000000000004E-2</c:v>
                </c:pt>
                <c:pt idx="13" formatCode="0.00%">
                  <c:v>7.0999999999999994E-2</c:v>
                </c:pt>
                <c:pt idx="14" formatCode="0.00%">
                  <c:v>6.0999999999999999E-2</c:v>
                </c:pt>
                <c:pt idx="15" formatCode="0.00%">
                  <c:v>5.8999999999999997E-2</c:v>
                </c:pt>
                <c:pt idx="16" formatCode="0.00%">
                  <c:v>0.05</c:v>
                </c:pt>
                <c:pt idx="18" formatCode="0.00%">
                  <c:v>6.3E-2</c:v>
                </c:pt>
                <c:pt idx="19" formatCode="0.00%">
                  <c:v>4.1000000000000002E-2</c:v>
                </c:pt>
                <c:pt idx="20" formatCode="0.00%">
                  <c:v>5.2999999999999999E-2</c:v>
                </c:pt>
                <c:pt idx="21" formatCode="0.00%">
                  <c:v>7.6999999999999999E-2</c:v>
                </c:pt>
                <c:pt idx="22" formatCode="0.00%">
                  <c:v>6.2E-2</c:v>
                </c:pt>
                <c:pt idx="23" formatCode="0.00%">
                  <c:v>7.0000000000000007E-2</c:v>
                </c:pt>
              </c:numCache>
            </c:numRef>
          </c:val>
          <c:extLst>
            <c:ext xmlns:c16="http://schemas.microsoft.com/office/drawing/2014/chart" uri="{C3380CC4-5D6E-409C-BE32-E72D297353CC}">
              <c16:uniqueId val="{00000004-E947-42C4-98BB-C964F8DA4430}"/>
            </c:ext>
          </c:extLst>
        </c:ser>
        <c:dLbls>
          <c:showLegendKey val="0"/>
          <c:showVal val="0"/>
          <c:showCatName val="0"/>
          <c:showSerName val="0"/>
          <c:showPercent val="0"/>
          <c:showBubbleSize val="0"/>
        </c:dLbls>
        <c:gapWidth val="50"/>
        <c:overlap val="100"/>
        <c:axId val="875697471"/>
        <c:axId val="875698911"/>
      </c:barChart>
      <c:catAx>
        <c:axId val="875697471"/>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crossAx val="875698911"/>
        <c:crosses val="autoZero"/>
        <c:auto val="1"/>
        <c:lblAlgn val="ctr"/>
        <c:lblOffset val="100"/>
        <c:noMultiLvlLbl val="0"/>
      </c:catAx>
      <c:valAx>
        <c:axId val="875698911"/>
        <c:scaling>
          <c:orientation val="minMax"/>
        </c:scaling>
        <c:delete val="0"/>
        <c:axPos val="t"/>
        <c:majorGridlines>
          <c:spPr>
            <a:ln w="9525" cap="flat" cmpd="sng" algn="ctr">
              <a:no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crossAx val="875697471"/>
        <c:crosses val="autoZero"/>
        <c:crossBetween val="between"/>
      </c:valAx>
      <c:spPr>
        <a:noFill/>
        <a:ln>
          <a:noFill/>
        </a:ln>
        <a:effectLst/>
      </c:spPr>
    </c:plotArea>
    <c:legend>
      <c:legendPos val="b"/>
      <c:layout>
        <c:manualLayout>
          <c:xMode val="edge"/>
          <c:yMode val="edge"/>
          <c:x val="0"/>
          <c:y val="0.8925348498771063"/>
          <c:w val="1"/>
          <c:h val="9.3749296882523356E-2"/>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pl-PL"/>
    </a:p>
  </c:txPr>
  <c:externalData r:id="rId3">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2366409696170174E-2"/>
          <c:y val="4.4226034245719283E-2"/>
          <c:w val="0.90763359030382984"/>
          <c:h val="0.78591708294527696"/>
        </c:manualLayout>
      </c:layout>
      <c:lineChart>
        <c:grouping val="standard"/>
        <c:varyColors val="0"/>
        <c:ser>
          <c:idx val="0"/>
          <c:order val="0"/>
          <c:tx>
            <c:strRef>
              <c:f>Arkusz1!$B$1</c:f>
              <c:strCache>
                <c:ptCount val="1"/>
                <c:pt idx="0">
                  <c:v>Odsetek „tak”</c:v>
                </c:pt>
              </c:strCache>
            </c:strRef>
          </c:tx>
          <c:spPr>
            <a:ln w="28575" cap="rnd">
              <a:solidFill>
                <a:srgbClr val="061A3D"/>
              </a:solidFill>
              <a:round/>
            </a:ln>
            <a:effectLst/>
          </c:spPr>
          <c:marker>
            <c:symbol val="circle"/>
            <c:size val="5"/>
            <c:spPr>
              <a:solidFill>
                <a:srgbClr val="061A3D"/>
              </a:solidFill>
              <a:ln w="9525">
                <a:solidFill>
                  <a:srgbClr val="061A3D"/>
                </a:solidFill>
              </a:ln>
              <a:effectLst/>
            </c:spPr>
          </c:marker>
          <c:dLbls>
            <c:dLbl>
              <c:idx val="8"/>
              <c:tx>
                <c:rich>
                  <a:bodyPr rot="0" spcFirstLastPara="1" vertOverflow="ellipsis" vert="horz" wrap="square" anchor="ctr" anchorCtr="1"/>
                  <a:lstStyle/>
                  <a:p>
                    <a:pPr>
                      <a:defRPr sz="1100" b="0" i="0" u="none" strike="noStrike" kern="1200" baseline="0">
                        <a:solidFill>
                          <a:schemeClr val="bg1"/>
                        </a:solidFill>
                        <a:latin typeface="Arial" panose="020B0604020202020204" pitchFamily="34" charset="0"/>
                        <a:ea typeface="+mn-ea"/>
                        <a:cs typeface="Arial" panose="020B0604020202020204" pitchFamily="34" charset="0"/>
                      </a:defRPr>
                    </a:pPr>
                    <a:fld id="{6EC5E711-FA63-4CA6-962E-5FE2DBAF86A5}" type="VALUE">
                      <a:rPr lang="en-US">
                        <a:solidFill>
                          <a:schemeClr val="bg1"/>
                        </a:solidFill>
                        <a:latin typeface="Arial" panose="020B0604020202020204" pitchFamily="34" charset="0"/>
                        <a:cs typeface="Arial" panose="020B0604020202020204" pitchFamily="34" charset="0"/>
                      </a:rPr>
                      <a:pPr>
                        <a:defRPr>
                          <a:solidFill>
                            <a:schemeClr val="bg1"/>
                          </a:solidFill>
                          <a:latin typeface="Arial" panose="020B0604020202020204" pitchFamily="34" charset="0"/>
                          <a:cs typeface="Arial" panose="020B0604020202020204" pitchFamily="34" charset="0"/>
                        </a:defRPr>
                      </a:pPr>
                      <a:t>[WARTOŚĆ]</a:t>
                    </a:fld>
                    <a:endParaRPr lang="pl-PL"/>
                  </a:p>
                </c:rich>
              </c:tx>
              <c:numFmt formatCode="0%" sourceLinked="0"/>
              <c:spPr>
                <a:solidFill>
                  <a:srgbClr val="EE0000"/>
                </a:solidFill>
                <a:ln>
                  <a:noFill/>
                </a:ln>
                <a:effectLst/>
              </c:spPr>
              <c:txPr>
                <a:bodyPr rot="0" spcFirstLastPara="1" vertOverflow="ellipsis" vert="horz" wrap="square" anchor="ctr" anchorCtr="1"/>
                <a:lstStyle/>
                <a:p>
                  <a:pPr>
                    <a:defRPr sz="1100" b="0" i="0" u="none" strike="noStrike" kern="1200" baseline="0">
                      <a:solidFill>
                        <a:schemeClr val="bg1"/>
                      </a:solidFill>
                      <a:latin typeface="Arial" panose="020B0604020202020204" pitchFamily="34" charset="0"/>
                      <a:ea typeface="+mn-ea"/>
                      <a:cs typeface="Arial" panose="020B0604020202020204" pitchFamily="34" charset="0"/>
                    </a:defRPr>
                  </a:pPr>
                  <a:endParaRPr lang="pl-PL"/>
                </a:p>
              </c:txPr>
              <c:dLblPos val="t"/>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0-AD7B-47A9-A026-BCE30C4834C0}"/>
                </c:ext>
              </c:extLst>
            </c:dLbl>
            <c:numFmt formatCode="0%" sourceLinked="0"/>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Arkusz1!$A$2:$A$13</c:f>
              <c:strCache>
                <c:ptCount val="12"/>
                <c:pt idx="0">
                  <c:v>2014 N=6352</c:v>
                </c:pt>
                <c:pt idx="1">
                  <c:v>2015 N=1642</c:v>
                </c:pt>
                <c:pt idx="2">
                  <c:v>2016 N=5366</c:v>
                </c:pt>
                <c:pt idx="3">
                  <c:v>2017 N=919</c:v>
                </c:pt>
                <c:pt idx="4">
                  <c:v>2018 N=5615</c:v>
                </c:pt>
                <c:pt idx="5">
                  <c:v>2019 N=905</c:v>
                </c:pt>
                <c:pt idx="6">
                  <c:v>2020 N=5514</c:v>
                </c:pt>
                <c:pt idx="7">
                  <c:v>2021 N=887</c:v>
                </c:pt>
                <c:pt idx="8">
                  <c:v>2022 N=5279</c:v>
                </c:pt>
                <c:pt idx="9">
                  <c:v>2023 N=888</c:v>
                </c:pt>
                <c:pt idx="10">
                  <c:v>2024 N=5707</c:v>
                </c:pt>
                <c:pt idx="11">
                  <c:v>2025 N=955</c:v>
                </c:pt>
              </c:strCache>
            </c:strRef>
          </c:cat>
          <c:val>
            <c:numRef>
              <c:f>Arkusz1!$B$2:$B$13</c:f>
              <c:numCache>
                <c:formatCode>0%</c:formatCode>
                <c:ptCount val="12"/>
                <c:pt idx="0">
                  <c:v>0.71</c:v>
                </c:pt>
                <c:pt idx="1">
                  <c:v>0.67</c:v>
                </c:pt>
                <c:pt idx="2">
                  <c:v>0.67</c:v>
                </c:pt>
                <c:pt idx="3">
                  <c:v>0.69</c:v>
                </c:pt>
                <c:pt idx="4">
                  <c:v>0.7</c:v>
                </c:pt>
                <c:pt idx="5">
                  <c:v>0.67</c:v>
                </c:pt>
                <c:pt idx="6">
                  <c:v>0.66</c:v>
                </c:pt>
                <c:pt idx="7">
                  <c:v>0.63</c:v>
                </c:pt>
                <c:pt idx="8">
                  <c:v>0.75</c:v>
                </c:pt>
                <c:pt idx="9">
                  <c:v>0.64</c:v>
                </c:pt>
                <c:pt idx="10">
                  <c:v>0.71</c:v>
                </c:pt>
                <c:pt idx="11">
                  <c:v>0.69</c:v>
                </c:pt>
              </c:numCache>
            </c:numRef>
          </c:val>
          <c:smooth val="0"/>
          <c:extLst>
            <c:ext xmlns:c16="http://schemas.microsoft.com/office/drawing/2014/chart" uri="{C3380CC4-5D6E-409C-BE32-E72D297353CC}">
              <c16:uniqueId val="{00000000-6817-482F-9AAA-5AB5CE0E3DF3}"/>
            </c:ext>
          </c:extLst>
        </c:ser>
        <c:dLbls>
          <c:showLegendKey val="0"/>
          <c:showVal val="0"/>
          <c:showCatName val="0"/>
          <c:showSerName val="0"/>
          <c:showPercent val="0"/>
          <c:showBubbleSize val="0"/>
        </c:dLbls>
        <c:marker val="1"/>
        <c:smooth val="0"/>
        <c:axId val="877883119"/>
        <c:axId val="877885519"/>
      </c:lineChart>
      <c:catAx>
        <c:axId val="87788311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crossAx val="877885519"/>
        <c:crosses val="autoZero"/>
        <c:auto val="1"/>
        <c:lblAlgn val="ctr"/>
        <c:lblOffset val="100"/>
        <c:noMultiLvlLbl val="0"/>
      </c:catAx>
      <c:valAx>
        <c:axId val="877885519"/>
        <c:scaling>
          <c:orientation val="minMax"/>
          <c:max val="1"/>
          <c:min val="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crossAx val="877883119"/>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1100"/>
      </a:pPr>
      <a:endParaRPr lang="pl-PL"/>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7261076664933792"/>
          <c:y val="7.2451257155379187E-2"/>
          <c:w val="0.76652244843601736"/>
          <c:h val="0.77388892689887134"/>
        </c:manualLayout>
      </c:layout>
      <c:barChart>
        <c:barDir val="bar"/>
        <c:grouping val="percentStacked"/>
        <c:varyColors val="0"/>
        <c:ser>
          <c:idx val="0"/>
          <c:order val="0"/>
          <c:tx>
            <c:strRef>
              <c:f>Arkusz1!$B$1</c:f>
              <c:strCache>
                <c:ptCount val="1"/>
                <c:pt idx="0">
                  <c:v>zdecydowanie popieram</c:v>
                </c:pt>
              </c:strCache>
            </c:strRef>
          </c:tx>
          <c:spPr>
            <a:solidFill>
              <a:srgbClr val="061A3D"/>
            </a:solidFill>
            <a:ln>
              <a:noFill/>
            </a:ln>
            <a:effectLst/>
          </c:spPr>
          <c:invertIfNegative val="0"/>
          <c:dLbls>
            <c:numFmt formatCode="0%" sourceLinked="0"/>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bg1"/>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Arkusz1!$A$2:$A$25</c:f>
              <c:strCache>
                <c:ptCount val="24"/>
                <c:pt idx="0">
                  <c:v>Ogółem</c:v>
                </c:pt>
                <c:pt idx="2">
                  <c:v>Kobieta</c:v>
                </c:pt>
                <c:pt idx="3">
                  <c:v>Mężczyzna</c:v>
                </c:pt>
                <c:pt idx="5">
                  <c:v>15–19 lat</c:v>
                </c:pt>
                <c:pt idx="6">
                  <c:v>20–24 lata</c:v>
                </c:pt>
                <c:pt idx="7">
                  <c:v>25–34 lata</c:v>
                </c:pt>
                <c:pt idx="8">
                  <c:v>35–44 lata</c:v>
                </c:pt>
                <c:pt idx="9">
                  <c:v>45–54 lata</c:v>
                </c:pt>
                <c:pt idx="10">
                  <c:v>55–64 lata</c:v>
                </c:pt>
                <c:pt idx="11">
                  <c:v>65+</c:v>
                </c:pt>
                <c:pt idx="13">
                  <c:v>Wyższe</c:v>
                </c:pt>
                <c:pt idx="14">
                  <c:v>Średnie</c:v>
                </c:pt>
                <c:pt idx="15">
                  <c:v>Zawodowe</c:v>
                </c:pt>
                <c:pt idx="16">
                  <c:v>Podstawowe</c:v>
                </c:pt>
                <c:pt idx="18">
                  <c:v>Wieś</c:v>
                </c:pt>
                <c:pt idx="19">
                  <c:v>Do 20 tys.</c:v>
                </c:pt>
                <c:pt idx="20">
                  <c:v>20–49 tys.</c:v>
                </c:pt>
                <c:pt idx="21">
                  <c:v>50–199 tys.</c:v>
                </c:pt>
                <c:pt idx="22">
                  <c:v>200–499 tys.</c:v>
                </c:pt>
                <c:pt idx="23">
                  <c:v>&gt;500 tys.</c:v>
                </c:pt>
              </c:strCache>
            </c:strRef>
          </c:cat>
          <c:val>
            <c:numRef>
              <c:f>Arkusz1!$B$2:$B$25</c:f>
              <c:numCache>
                <c:formatCode>General</c:formatCode>
                <c:ptCount val="24"/>
                <c:pt idx="0" formatCode="0.00%">
                  <c:v>0.254</c:v>
                </c:pt>
                <c:pt idx="2" formatCode="0.00%">
                  <c:v>0.249</c:v>
                </c:pt>
                <c:pt idx="3" formatCode="0.00%">
                  <c:v>0.25900000000000001</c:v>
                </c:pt>
                <c:pt idx="5" formatCode="0.00%">
                  <c:v>0.21</c:v>
                </c:pt>
                <c:pt idx="6" formatCode="0.00%">
                  <c:v>0.246</c:v>
                </c:pt>
                <c:pt idx="7" formatCode="0.00%">
                  <c:v>0.22700000000000001</c:v>
                </c:pt>
                <c:pt idx="8" formatCode="0.00%">
                  <c:v>0.249</c:v>
                </c:pt>
                <c:pt idx="9" formatCode="0.00%">
                  <c:v>0.308</c:v>
                </c:pt>
                <c:pt idx="10" formatCode="0.00%">
                  <c:v>0.28999999999999998</c:v>
                </c:pt>
                <c:pt idx="11" formatCode="0.00%">
                  <c:v>0.23699999999999999</c:v>
                </c:pt>
                <c:pt idx="13" formatCode="0.00%">
                  <c:v>0.27300000000000002</c:v>
                </c:pt>
                <c:pt idx="14" formatCode="0.00%">
                  <c:v>0.22600000000000001</c:v>
                </c:pt>
                <c:pt idx="15" formatCode="0.00%">
                  <c:v>0.31</c:v>
                </c:pt>
                <c:pt idx="16" formatCode="0.00%">
                  <c:v>0.17899999999999999</c:v>
                </c:pt>
                <c:pt idx="18" formatCode="0.00%">
                  <c:v>0.254</c:v>
                </c:pt>
                <c:pt idx="19" formatCode="0.00%">
                  <c:v>0.219</c:v>
                </c:pt>
                <c:pt idx="20" formatCode="0.00%">
                  <c:v>0.214</c:v>
                </c:pt>
                <c:pt idx="21" formatCode="0.00%">
                  <c:v>0.28699999999999998</c:v>
                </c:pt>
                <c:pt idx="22" formatCode="0.00%">
                  <c:v>0.25600000000000001</c:v>
                </c:pt>
                <c:pt idx="23" formatCode="0.00%">
                  <c:v>0.28899999999999998</c:v>
                </c:pt>
              </c:numCache>
            </c:numRef>
          </c:val>
          <c:extLst>
            <c:ext xmlns:c16="http://schemas.microsoft.com/office/drawing/2014/chart" uri="{C3380CC4-5D6E-409C-BE32-E72D297353CC}">
              <c16:uniqueId val="{00000000-AB59-4B9D-A7FB-CEB829E14555}"/>
            </c:ext>
          </c:extLst>
        </c:ser>
        <c:ser>
          <c:idx val="1"/>
          <c:order val="1"/>
          <c:tx>
            <c:strRef>
              <c:f>Arkusz1!$C$1</c:f>
              <c:strCache>
                <c:ptCount val="1"/>
                <c:pt idx="0">
                  <c:v>raczej popieram</c:v>
                </c:pt>
              </c:strCache>
            </c:strRef>
          </c:tx>
          <c:spPr>
            <a:solidFill>
              <a:schemeClr val="accent5">
                <a:lumMod val="60000"/>
                <a:lumOff val="40000"/>
              </a:schemeClr>
            </a:solidFill>
            <a:ln>
              <a:noFill/>
            </a:ln>
            <a:effectLst/>
          </c:spPr>
          <c:invertIfNegative val="0"/>
          <c:dLbls>
            <c:numFmt formatCode="0%" sourceLinked="0"/>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Arkusz1!$A$2:$A$25</c:f>
              <c:strCache>
                <c:ptCount val="24"/>
                <c:pt idx="0">
                  <c:v>Ogółem</c:v>
                </c:pt>
                <c:pt idx="2">
                  <c:v>Kobieta</c:v>
                </c:pt>
                <c:pt idx="3">
                  <c:v>Mężczyzna</c:v>
                </c:pt>
                <c:pt idx="5">
                  <c:v>15–19 lat</c:v>
                </c:pt>
                <c:pt idx="6">
                  <c:v>20–24 lata</c:v>
                </c:pt>
                <c:pt idx="7">
                  <c:v>25–34 lata</c:v>
                </c:pt>
                <c:pt idx="8">
                  <c:v>35–44 lata</c:v>
                </c:pt>
                <c:pt idx="9">
                  <c:v>45–54 lata</c:v>
                </c:pt>
                <c:pt idx="10">
                  <c:v>55–64 lata</c:v>
                </c:pt>
                <c:pt idx="11">
                  <c:v>65+</c:v>
                </c:pt>
                <c:pt idx="13">
                  <c:v>Wyższe</c:v>
                </c:pt>
                <c:pt idx="14">
                  <c:v>Średnie</c:v>
                </c:pt>
                <c:pt idx="15">
                  <c:v>Zawodowe</c:v>
                </c:pt>
                <c:pt idx="16">
                  <c:v>Podstawowe</c:v>
                </c:pt>
                <c:pt idx="18">
                  <c:v>Wieś</c:v>
                </c:pt>
                <c:pt idx="19">
                  <c:v>Do 20 tys.</c:v>
                </c:pt>
                <c:pt idx="20">
                  <c:v>20–49 tys.</c:v>
                </c:pt>
                <c:pt idx="21">
                  <c:v>50–199 tys.</c:v>
                </c:pt>
                <c:pt idx="22">
                  <c:v>200–499 tys.</c:v>
                </c:pt>
                <c:pt idx="23">
                  <c:v>&gt;500 tys.</c:v>
                </c:pt>
              </c:strCache>
            </c:strRef>
          </c:cat>
          <c:val>
            <c:numRef>
              <c:f>Arkusz1!$C$2:$C$25</c:f>
              <c:numCache>
                <c:formatCode>General</c:formatCode>
                <c:ptCount val="24"/>
                <c:pt idx="0" formatCode="0.00%">
                  <c:v>0.47599999999999998</c:v>
                </c:pt>
                <c:pt idx="2" formatCode="0.00%">
                  <c:v>0.498</c:v>
                </c:pt>
                <c:pt idx="3" formatCode="0.00%">
                  <c:v>0.45600000000000002</c:v>
                </c:pt>
                <c:pt idx="5" formatCode="0.00%">
                  <c:v>0.435</c:v>
                </c:pt>
                <c:pt idx="6" formatCode="0.00%">
                  <c:v>0.54100000000000004</c:v>
                </c:pt>
                <c:pt idx="7" formatCode="0.00%">
                  <c:v>0.51900000000000002</c:v>
                </c:pt>
                <c:pt idx="8" formatCode="0.00%">
                  <c:v>0.48299999999999998</c:v>
                </c:pt>
                <c:pt idx="9" formatCode="0.00%">
                  <c:v>0.49299999999999999</c:v>
                </c:pt>
                <c:pt idx="10" formatCode="0.00%">
                  <c:v>0.42</c:v>
                </c:pt>
                <c:pt idx="11" formatCode="0.00%">
                  <c:v>0.45600000000000002</c:v>
                </c:pt>
                <c:pt idx="13" formatCode="0.00%">
                  <c:v>0.47599999999999998</c:v>
                </c:pt>
                <c:pt idx="14" formatCode="0.00%">
                  <c:v>0.47699999999999998</c:v>
                </c:pt>
                <c:pt idx="15" formatCode="0.00%">
                  <c:v>0.435</c:v>
                </c:pt>
                <c:pt idx="16" formatCode="0.00%">
                  <c:v>0.55300000000000005</c:v>
                </c:pt>
                <c:pt idx="18" formatCode="0.00%">
                  <c:v>0.45500000000000002</c:v>
                </c:pt>
                <c:pt idx="19" formatCode="0.00%">
                  <c:v>0.53100000000000003</c:v>
                </c:pt>
                <c:pt idx="20" formatCode="0.00%">
                  <c:v>0.46200000000000002</c:v>
                </c:pt>
                <c:pt idx="21" formatCode="0.00%">
                  <c:v>0.48699999999999999</c:v>
                </c:pt>
                <c:pt idx="22" formatCode="0.00%">
                  <c:v>0.51200000000000001</c:v>
                </c:pt>
                <c:pt idx="23" formatCode="0.00%">
                  <c:v>0.46300000000000002</c:v>
                </c:pt>
              </c:numCache>
            </c:numRef>
          </c:val>
          <c:extLst>
            <c:ext xmlns:c16="http://schemas.microsoft.com/office/drawing/2014/chart" uri="{C3380CC4-5D6E-409C-BE32-E72D297353CC}">
              <c16:uniqueId val="{00000001-AB59-4B9D-A7FB-CEB829E14555}"/>
            </c:ext>
          </c:extLst>
        </c:ser>
        <c:ser>
          <c:idx val="2"/>
          <c:order val="2"/>
          <c:tx>
            <c:strRef>
              <c:f>Arkusz1!$D$1</c:f>
              <c:strCache>
                <c:ptCount val="1"/>
                <c:pt idx="0">
                  <c:v>ani popieram, ani nie</c:v>
                </c:pt>
              </c:strCache>
            </c:strRef>
          </c:tx>
          <c:spPr>
            <a:solidFill>
              <a:schemeClr val="accent3"/>
            </a:solidFill>
            <a:ln>
              <a:noFill/>
            </a:ln>
            <a:effectLst/>
          </c:spPr>
          <c:invertIfNegative val="0"/>
          <c:dLbls>
            <c:numFmt formatCode="0%" sourceLinked="0"/>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Arkusz1!$A$2:$A$25</c:f>
              <c:strCache>
                <c:ptCount val="24"/>
                <c:pt idx="0">
                  <c:v>Ogółem</c:v>
                </c:pt>
                <c:pt idx="2">
                  <c:v>Kobieta</c:v>
                </c:pt>
                <c:pt idx="3">
                  <c:v>Mężczyzna</c:v>
                </c:pt>
                <c:pt idx="5">
                  <c:v>15–19 lat</c:v>
                </c:pt>
                <c:pt idx="6">
                  <c:v>20–24 lata</c:v>
                </c:pt>
                <c:pt idx="7">
                  <c:v>25–34 lata</c:v>
                </c:pt>
                <c:pt idx="8">
                  <c:v>35–44 lata</c:v>
                </c:pt>
                <c:pt idx="9">
                  <c:v>45–54 lata</c:v>
                </c:pt>
                <c:pt idx="10">
                  <c:v>55–64 lata</c:v>
                </c:pt>
                <c:pt idx="11">
                  <c:v>65+</c:v>
                </c:pt>
                <c:pt idx="13">
                  <c:v>Wyższe</c:v>
                </c:pt>
                <c:pt idx="14">
                  <c:v>Średnie</c:v>
                </c:pt>
                <c:pt idx="15">
                  <c:v>Zawodowe</c:v>
                </c:pt>
                <c:pt idx="16">
                  <c:v>Podstawowe</c:v>
                </c:pt>
                <c:pt idx="18">
                  <c:v>Wieś</c:v>
                </c:pt>
                <c:pt idx="19">
                  <c:v>Do 20 tys.</c:v>
                </c:pt>
                <c:pt idx="20">
                  <c:v>20–49 tys.</c:v>
                </c:pt>
                <c:pt idx="21">
                  <c:v>50–199 tys.</c:v>
                </c:pt>
                <c:pt idx="22">
                  <c:v>200–499 tys.</c:v>
                </c:pt>
                <c:pt idx="23">
                  <c:v>&gt;500 tys.</c:v>
                </c:pt>
              </c:strCache>
            </c:strRef>
          </c:cat>
          <c:val>
            <c:numRef>
              <c:f>Arkusz1!$D$2:$D$25</c:f>
              <c:numCache>
                <c:formatCode>General</c:formatCode>
                <c:ptCount val="24"/>
                <c:pt idx="0" formatCode="0.00%">
                  <c:v>0.151</c:v>
                </c:pt>
                <c:pt idx="2" formatCode="0.00%">
                  <c:v>0.14099999999999999</c:v>
                </c:pt>
                <c:pt idx="3" formatCode="0.00%">
                  <c:v>0.16</c:v>
                </c:pt>
                <c:pt idx="5" formatCode="0.00%">
                  <c:v>0.25800000000000001</c:v>
                </c:pt>
                <c:pt idx="6" formatCode="0.00%">
                  <c:v>0.13100000000000001</c:v>
                </c:pt>
                <c:pt idx="7" formatCode="0.00%">
                  <c:v>0.156</c:v>
                </c:pt>
                <c:pt idx="8" formatCode="0.00%">
                  <c:v>0.13700000000000001</c:v>
                </c:pt>
                <c:pt idx="9" formatCode="0.00%">
                  <c:v>9.6000000000000002E-2</c:v>
                </c:pt>
                <c:pt idx="10" formatCode="0.00%">
                  <c:v>0.13</c:v>
                </c:pt>
                <c:pt idx="11" formatCode="0.00%">
                  <c:v>0.183</c:v>
                </c:pt>
                <c:pt idx="13" formatCode="0.00%">
                  <c:v>0.127</c:v>
                </c:pt>
                <c:pt idx="14" formatCode="0.00%">
                  <c:v>0.17499999999999999</c:v>
                </c:pt>
                <c:pt idx="15" formatCode="0.00%">
                  <c:v>0.13300000000000001</c:v>
                </c:pt>
                <c:pt idx="16" formatCode="0.00%">
                  <c:v>0.17100000000000001</c:v>
                </c:pt>
                <c:pt idx="18" formatCode="0.00%">
                  <c:v>0.158</c:v>
                </c:pt>
                <c:pt idx="19" formatCode="0.00%">
                  <c:v>0.11700000000000001</c:v>
                </c:pt>
                <c:pt idx="20" formatCode="0.00%">
                  <c:v>0.19700000000000001</c:v>
                </c:pt>
                <c:pt idx="21" formatCode="0.00%">
                  <c:v>0.127</c:v>
                </c:pt>
                <c:pt idx="22" formatCode="0.00%">
                  <c:v>0.128</c:v>
                </c:pt>
                <c:pt idx="23" formatCode="0.00%">
                  <c:v>0.16500000000000001</c:v>
                </c:pt>
              </c:numCache>
            </c:numRef>
          </c:val>
          <c:extLst>
            <c:ext xmlns:c16="http://schemas.microsoft.com/office/drawing/2014/chart" uri="{C3380CC4-5D6E-409C-BE32-E72D297353CC}">
              <c16:uniqueId val="{00000002-AB59-4B9D-A7FB-CEB829E14555}"/>
            </c:ext>
          </c:extLst>
        </c:ser>
        <c:ser>
          <c:idx val="3"/>
          <c:order val="3"/>
          <c:tx>
            <c:strRef>
              <c:f>Arkusz1!$E$1</c:f>
              <c:strCache>
                <c:ptCount val="1"/>
                <c:pt idx="0">
                  <c:v>raczej nie popieram</c:v>
                </c:pt>
              </c:strCache>
            </c:strRef>
          </c:tx>
          <c:spPr>
            <a:solidFill>
              <a:schemeClr val="accent4"/>
            </a:solidFill>
            <a:ln>
              <a:noFill/>
            </a:ln>
            <a:effectLst/>
          </c:spPr>
          <c:invertIfNegative val="0"/>
          <c:dLbls>
            <c:numFmt formatCode="0%" sourceLinked="0"/>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Arkusz1!$A$2:$A$25</c:f>
              <c:strCache>
                <c:ptCount val="24"/>
                <c:pt idx="0">
                  <c:v>Ogółem</c:v>
                </c:pt>
                <c:pt idx="2">
                  <c:v>Kobieta</c:v>
                </c:pt>
                <c:pt idx="3">
                  <c:v>Mężczyzna</c:v>
                </c:pt>
                <c:pt idx="5">
                  <c:v>15–19 lat</c:v>
                </c:pt>
                <c:pt idx="6">
                  <c:v>20–24 lata</c:v>
                </c:pt>
                <c:pt idx="7">
                  <c:v>25–34 lata</c:v>
                </c:pt>
                <c:pt idx="8">
                  <c:v>35–44 lata</c:v>
                </c:pt>
                <c:pt idx="9">
                  <c:v>45–54 lata</c:v>
                </c:pt>
                <c:pt idx="10">
                  <c:v>55–64 lata</c:v>
                </c:pt>
                <c:pt idx="11">
                  <c:v>65+</c:v>
                </c:pt>
                <c:pt idx="13">
                  <c:v>Wyższe</c:v>
                </c:pt>
                <c:pt idx="14">
                  <c:v>Średnie</c:v>
                </c:pt>
                <c:pt idx="15">
                  <c:v>Zawodowe</c:v>
                </c:pt>
                <c:pt idx="16">
                  <c:v>Podstawowe</c:v>
                </c:pt>
                <c:pt idx="18">
                  <c:v>Wieś</c:v>
                </c:pt>
                <c:pt idx="19">
                  <c:v>Do 20 tys.</c:v>
                </c:pt>
                <c:pt idx="20">
                  <c:v>20–49 tys.</c:v>
                </c:pt>
                <c:pt idx="21">
                  <c:v>50–199 tys.</c:v>
                </c:pt>
                <c:pt idx="22">
                  <c:v>200–499 tys.</c:v>
                </c:pt>
                <c:pt idx="23">
                  <c:v>&gt;500 tys.</c:v>
                </c:pt>
              </c:strCache>
            </c:strRef>
          </c:cat>
          <c:val>
            <c:numRef>
              <c:f>Arkusz1!$E$2:$E$25</c:f>
              <c:numCache>
                <c:formatCode>General</c:formatCode>
                <c:ptCount val="24"/>
                <c:pt idx="0" formatCode="0.00%">
                  <c:v>5.1999999999999998E-2</c:v>
                </c:pt>
                <c:pt idx="2" formatCode="0.00%">
                  <c:v>0.05</c:v>
                </c:pt>
                <c:pt idx="3" formatCode="0.00%">
                  <c:v>5.3999999999999999E-2</c:v>
                </c:pt>
                <c:pt idx="5" formatCode="0.00%">
                  <c:v>4.8000000000000001E-2</c:v>
                </c:pt>
                <c:pt idx="6" formatCode="0.00%">
                  <c:v>1.6E-2</c:v>
                </c:pt>
                <c:pt idx="7" formatCode="0.00%">
                  <c:v>3.9E-2</c:v>
                </c:pt>
                <c:pt idx="8" formatCode="0.00%">
                  <c:v>3.9E-2</c:v>
                </c:pt>
                <c:pt idx="9" formatCode="0.00%">
                  <c:v>5.5E-2</c:v>
                </c:pt>
                <c:pt idx="10" formatCode="0.00%">
                  <c:v>9.1999999999999998E-2</c:v>
                </c:pt>
                <c:pt idx="11" formatCode="0.00%">
                  <c:v>5.8000000000000003E-2</c:v>
                </c:pt>
                <c:pt idx="13" formatCode="0.00%">
                  <c:v>5.8000000000000003E-2</c:v>
                </c:pt>
                <c:pt idx="14" formatCode="0.00%">
                  <c:v>5.3999999999999999E-2</c:v>
                </c:pt>
                <c:pt idx="15" formatCode="0.00%">
                  <c:v>5.1999999999999998E-2</c:v>
                </c:pt>
                <c:pt idx="16" formatCode="0.00%">
                  <c:v>3.3000000000000002E-2</c:v>
                </c:pt>
                <c:pt idx="18" formatCode="0.00%">
                  <c:v>4.4999999999999998E-2</c:v>
                </c:pt>
                <c:pt idx="19" formatCode="0.00%">
                  <c:v>8.5999999999999993E-2</c:v>
                </c:pt>
                <c:pt idx="20" formatCode="0.00%">
                  <c:v>2.5999999999999999E-2</c:v>
                </c:pt>
                <c:pt idx="21" formatCode="0.00%">
                  <c:v>0.06</c:v>
                </c:pt>
                <c:pt idx="22" formatCode="0.00%">
                  <c:v>8.1000000000000003E-2</c:v>
                </c:pt>
                <c:pt idx="23" formatCode="0.00%">
                  <c:v>3.3000000000000002E-2</c:v>
                </c:pt>
              </c:numCache>
            </c:numRef>
          </c:val>
          <c:extLst>
            <c:ext xmlns:c16="http://schemas.microsoft.com/office/drawing/2014/chart" uri="{C3380CC4-5D6E-409C-BE32-E72D297353CC}">
              <c16:uniqueId val="{00000003-AB59-4B9D-A7FB-CEB829E14555}"/>
            </c:ext>
          </c:extLst>
        </c:ser>
        <c:ser>
          <c:idx val="4"/>
          <c:order val="4"/>
          <c:tx>
            <c:strRef>
              <c:f>Arkusz1!$F$1</c:f>
              <c:strCache>
                <c:ptCount val="1"/>
                <c:pt idx="0">
                  <c:v>zdecydowanie nie popieram</c:v>
                </c:pt>
              </c:strCache>
            </c:strRef>
          </c:tx>
          <c:spPr>
            <a:solidFill>
              <a:schemeClr val="accent5"/>
            </a:solidFill>
            <a:ln>
              <a:noFill/>
            </a:ln>
            <a:effectLst/>
          </c:spPr>
          <c:invertIfNegative val="0"/>
          <c:dLbls>
            <c:numFmt formatCode="0%" sourceLinked="0"/>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Arkusz1!$A$2:$A$25</c:f>
              <c:strCache>
                <c:ptCount val="24"/>
                <c:pt idx="0">
                  <c:v>Ogółem</c:v>
                </c:pt>
                <c:pt idx="2">
                  <c:v>Kobieta</c:v>
                </c:pt>
                <c:pt idx="3">
                  <c:v>Mężczyzna</c:v>
                </c:pt>
                <c:pt idx="5">
                  <c:v>15–19 lat</c:v>
                </c:pt>
                <c:pt idx="6">
                  <c:v>20–24 lata</c:v>
                </c:pt>
                <c:pt idx="7">
                  <c:v>25–34 lata</c:v>
                </c:pt>
                <c:pt idx="8">
                  <c:v>35–44 lata</c:v>
                </c:pt>
                <c:pt idx="9">
                  <c:v>45–54 lata</c:v>
                </c:pt>
                <c:pt idx="10">
                  <c:v>55–64 lata</c:v>
                </c:pt>
                <c:pt idx="11">
                  <c:v>65+</c:v>
                </c:pt>
                <c:pt idx="13">
                  <c:v>Wyższe</c:v>
                </c:pt>
                <c:pt idx="14">
                  <c:v>Średnie</c:v>
                </c:pt>
                <c:pt idx="15">
                  <c:v>Zawodowe</c:v>
                </c:pt>
                <c:pt idx="16">
                  <c:v>Podstawowe</c:v>
                </c:pt>
                <c:pt idx="18">
                  <c:v>Wieś</c:v>
                </c:pt>
                <c:pt idx="19">
                  <c:v>Do 20 tys.</c:v>
                </c:pt>
                <c:pt idx="20">
                  <c:v>20–49 tys.</c:v>
                </c:pt>
                <c:pt idx="21">
                  <c:v>50–199 tys.</c:v>
                </c:pt>
                <c:pt idx="22">
                  <c:v>200–499 tys.</c:v>
                </c:pt>
                <c:pt idx="23">
                  <c:v>&gt;500 tys.</c:v>
                </c:pt>
              </c:strCache>
            </c:strRef>
          </c:cat>
          <c:val>
            <c:numRef>
              <c:f>Arkusz1!$F$2:$F$25</c:f>
              <c:numCache>
                <c:formatCode>General</c:formatCode>
                <c:ptCount val="24"/>
                <c:pt idx="0" formatCode="0.00%">
                  <c:v>4.3999999999999997E-2</c:v>
                </c:pt>
                <c:pt idx="2" formatCode="0.00%">
                  <c:v>4.3999999999999997E-2</c:v>
                </c:pt>
                <c:pt idx="3" formatCode="0.00%">
                  <c:v>4.3999999999999997E-2</c:v>
                </c:pt>
                <c:pt idx="5" formatCode="0.00%">
                  <c:v>3.2000000000000001E-2</c:v>
                </c:pt>
                <c:pt idx="6" formatCode="0.00%">
                  <c:v>6.6000000000000003E-2</c:v>
                </c:pt>
                <c:pt idx="7" formatCode="0.00%">
                  <c:v>3.9E-2</c:v>
                </c:pt>
                <c:pt idx="8" formatCode="0.00%">
                  <c:v>5.3999999999999999E-2</c:v>
                </c:pt>
                <c:pt idx="9" formatCode="0.00%">
                  <c:v>4.1000000000000002E-2</c:v>
                </c:pt>
                <c:pt idx="10" formatCode="0.00%">
                  <c:v>3.7999999999999999E-2</c:v>
                </c:pt>
                <c:pt idx="11" formatCode="0.00%">
                  <c:v>4.1000000000000002E-2</c:v>
                </c:pt>
                <c:pt idx="13" formatCode="0.00%">
                  <c:v>2.9000000000000001E-2</c:v>
                </c:pt>
                <c:pt idx="14" formatCode="0.00%">
                  <c:v>5.3999999999999999E-2</c:v>
                </c:pt>
                <c:pt idx="15" formatCode="0.00%">
                  <c:v>0.04</c:v>
                </c:pt>
                <c:pt idx="16" formatCode="0.00%">
                  <c:v>5.7000000000000002E-2</c:v>
                </c:pt>
                <c:pt idx="18" formatCode="0.00%">
                  <c:v>5.5E-2</c:v>
                </c:pt>
                <c:pt idx="19" formatCode="0.00%">
                  <c:v>1.6E-2</c:v>
                </c:pt>
                <c:pt idx="20" formatCode="0.00%">
                  <c:v>8.5000000000000006E-2</c:v>
                </c:pt>
                <c:pt idx="21" formatCode="0.00%">
                  <c:v>0.02</c:v>
                </c:pt>
                <c:pt idx="22" formatCode="0.00%">
                  <c:v>2.3E-2</c:v>
                </c:pt>
                <c:pt idx="23" formatCode="0.00%">
                  <c:v>4.1000000000000002E-2</c:v>
                </c:pt>
              </c:numCache>
            </c:numRef>
          </c:val>
          <c:extLst>
            <c:ext xmlns:c16="http://schemas.microsoft.com/office/drawing/2014/chart" uri="{C3380CC4-5D6E-409C-BE32-E72D297353CC}">
              <c16:uniqueId val="{00000004-AB59-4B9D-A7FB-CEB829E14555}"/>
            </c:ext>
          </c:extLst>
        </c:ser>
        <c:ser>
          <c:idx val="5"/>
          <c:order val="5"/>
          <c:tx>
            <c:strRef>
              <c:f>Arkusz1!$G$1</c:f>
              <c:strCache>
                <c:ptCount val="1"/>
                <c:pt idx="0">
                  <c:v>nie wiem</c:v>
                </c:pt>
              </c:strCache>
            </c:strRef>
          </c:tx>
          <c:spPr>
            <a:solidFill>
              <a:schemeClr val="accent6"/>
            </a:solidFill>
            <a:ln>
              <a:noFill/>
            </a:ln>
            <a:effectLst/>
          </c:spPr>
          <c:invertIfNegative val="0"/>
          <c:dLbls>
            <c:dLbl>
              <c:idx val="22"/>
              <c:delete val="1"/>
              <c:extLst>
                <c:ext xmlns:c15="http://schemas.microsoft.com/office/drawing/2012/chart" uri="{CE6537A1-D6FC-4f65-9D91-7224C49458BB}"/>
                <c:ext xmlns:c16="http://schemas.microsoft.com/office/drawing/2014/chart" uri="{C3380CC4-5D6E-409C-BE32-E72D297353CC}">
                  <c16:uniqueId val="{00000000-D5A6-40A9-B655-6D7D4DC4BC8A}"/>
                </c:ext>
              </c:extLst>
            </c:dLbl>
            <c:numFmt formatCode="0%" sourceLinked="0"/>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Arkusz1!$A$2:$A$25</c:f>
              <c:strCache>
                <c:ptCount val="24"/>
                <c:pt idx="0">
                  <c:v>Ogółem</c:v>
                </c:pt>
                <c:pt idx="2">
                  <c:v>Kobieta</c:v>
                </c:pt>
                <c:pt idx="3">
                  <c:v>Mężczyzna</c:v>
                </c:pt>
                <c:pt idx="5">
                  <c:v>15–19 lat</c:v>
                </c:pt>
                <c:pt idx="6">
                  <c:v>20–24 lata</c:v>
                </c:pt>
                <c:pt idx="7">
                  <c:v>25–34 lata</c:v>
                </c:pt>
                <c:pt idx="8">
                  <c:v>35–44 lata</c:v>
                </c:pt>
                <c:pt idx="9">
                  <c:v>45–54 lata</c:v>
                </c:pt>
                <c:pt idx="10">
                  <c:v>55–64 lata</c:v>
                </c:pt>
                <c:pt idx="11">
                  <c:v>65+</c:v>
                </c:pt>
                <c:pt idx="13">
                  <c:v>Wyższe</c:v>
                </c:pt>
                <c:pt idx="14">
                  <c:v>Średnie</c:v>
                </c:pt>
                <c:pt idx="15">
                  <c:v>Zawodowe</c:v>
                </c:pt>
                <c:pt idx="16">
                  <c:v>Podstawowe</c:v>
                </c:pt>
                <c:pt idx="18">
                  <c:v>Wieś</c:v>
                </c:pt>
                <c:pt idx="19">
                  <c:v>Do 20 tys.</c:v>
                </c:pt>
                <c:pt idx="20">
                  <c:v>20–49 tys.</c:v>
                </c:pt>
                <c:pt idx="21">
                  <c:v>50–199 tys.</c:v>
                </c:pt>
                <c:pt idx="22">
                  <c:v>200–499 tys.</c:v>
                </c:pt>
                <c:pt idx="23">
                  <c:v>&gt;500 tys.</c:v>
                </c:pt>
              </c:strCache>
            </c:strRef>
          </c:cat>
          <c:val>
            <c:numRef>
              <c:f>Arkusz1!$G$2:$G$25</c:f>
              <c:numCache>
                <c:formatCode>General</c:formatCode>
                <c:ptCount val="24"/>
                <c:pt idx="0" formatCode="0.00%">
                  <c:v>2.3E-2</c:v>
                </c:pt>
                <c:pt idx="2" formatCode="0.00%">
                  <c:v>1.9E-2</c:v>
                </c:pt>
                <c:pt idx="3" formatCode="0.00%">
                  <c:v>2.7E-2</c:v>
                </c:pt>
                <c:pt idx="5" formatCode="0.00%">
                  <c:v>1.6E-2</c:v>
                </c:pt>
                <c:pt idx="6" formatCode="0.00%">
                  <c:v>0</c:v>
                </c:pt>
                <c:pt idx="7" formatCode="0.00%">
                  <c:v>1.9E-2</c:v>
                </c:pt>
                <c:pt idx="8" formatCode="0.00%">
                  <c:v>3.9E-2</c:v>
                </c:pt>
                <c:pt idx="9" formatCode="0.00%">
                  <c:v>7.0000000000000001E-3</c:v>
                </c:pt>
                <c:pt idx="10" formatCode="0.00%">
                  <c:v>3.1E-2</c:v>
                </c:pt>
                <c:pt idx="11" formatCode="0.00%">
                  <c:v>2.5000000000000001E-2</c:v>
                </c:pt>
                <c:pt idx="13" formatCode="0.00%">
                  <c:v>3.5999999999999997E-2</c:v>
                </c:pt>
                <c:pt idx="14" formatCode="0.00%">
                  <c:v>1.4E-2</c:v>
                </c:pt>
                <c:pt idx="15" formatCode="0.00%">
                  <c:v>2.8000000000000001E-2</c:v>
                </c:pt>
                <c:pt idx="16" formatCode="0.00%">
                  <c:v>8.0000000000000002E-3</c:v>
                </c:pt>
                <c:pt idx="18" formatCode="0.00%">
                  <c:v>3.3000000000000002E-2</c:v>
                </c:pt>
                <c:pt idx="19" formatCode="0.00%">
                  <c:v>3.1E-2</c:v>
                </c:pt>
                <c:pt idx="20" formatCode="0.00%">
                  <c:v>1.7000000000000001E-2</c:v>
                </c:pt>
                <c:pt idx="21" formatCode="0.00%">
                  <c:v>0.02</c:v>
                </c:pt>
                <c:pt idx="22" formatCode="0.00%">
                  <c:v>0</c:v>
                </c:pt>
                <c:pt idx="23" formatCode="0.00%">
                  <c:v>8.0000000000000002E-3</c:v>
                </c:pt>
              </c:numCache>
            </c:numRef>
          </c:val>
          <c:extLst>
            <c:ext xmlns:c16="http://schemas.microsoft.com/office/drawing/2014/chart" uri="{C3380CC4-5D6E-409C-BE32-E72D297353CC}">
              <c16:uniqueId val="{00000005-AB59-4B9D-A7FB-CEB829E14555}"/>
            </c:ext>
          </c:extLst>
        </c:ser>
        <c:dLbls>
          <c:showLegendKey val="0"/>
          <c:showVal val="0"/>
          <c:showCatName val="0"/>
          <c:showSerName val="0"/>
          <c:showPercent val="0"/>
          <c:showBubbleSize val="0"/>
        </c:dLbls>
        <c:gapWidth val="70"/>
        <c:overlap val="100"/>
        <c:axId val="1827151967"/>
        <c:axId val="1827152927"/>
      </c:barChart>
      <c:catAx>
        <c:axId val="1827151967"/>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crossAx val="1827152927"/>
        <c:crosses val="autoZero"/>
        <c:auto val="1"/>
        <c:lblAlgn val="ctr"/>
        <c:lblOffset val="100"/>
        <c:noMultiLvlLbl val="0"/>
      </c:catAx>
      <c:valAx>
        <c:axId val="1827152927"/>
        <c:scaling>
          <c:orientation val="minMax"/>
        </c:scaling>
        <c:delete val="0"/>
        <c:axPos val="t"/>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crossAx val="1827151967"/>
        <c:crosses val="autoZero"/>
        <c:crossBetween val="between"/>
      </c:valAx>
      <c:spPr>
        <a:noFill/>
        <a:ln>
          <a:noFill/>
        </a:ln>
        <a:effectLst/>
      </c:spPr>
    </c:plotArea>
    <c:legend>
      <c:legendPos val="b"/>
      <c:layout>
        <c:manualLayout>
          <c:xMode val="edge"/>
          <c:yMode val="edge"/>
          <c:x val="1.6476502805014066E-2"/>
          <c:y val="0.87818908838386667"/>
          <c:w val="0.96691121339301189"/>
          <c:h val="0.10887936325677462"/>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pl-PL"/>
    </a:p>
  </c:txPr>
  <c:externalData r:id="rId3">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percentStacked"/>
        <c:varyColors val="0"/>
        <c:ser>
          <c:idx val="0"/>
          <c:order val="0"/>
          <c:tx>
            <c:strRef>
              <c:f>Arkusz1!$B$1</c:f>
              <c:strCache>
                <c:ptCount val="1"/>
                <c:pt idx="0">
                  <c:v>tak</c:v>
                </c:pt>
              </c:strCache>
            </c:strRef>
          </c:tx>
          <c:spPr>
            <a:solidFill>
              <a:srgbClr val="061A3D"/>
            </a:solidFill>
            <a:ln>
              <a:noFill/>
            </a:ln>
            <a:effectLst/>
          </c:spPr>
          <c:invertIfNegative val="0"/>
          <c:dLbls>
            <c:dLbl>
              <c:idx val="16"/>
              <c:numFmt formatCode="0%" sourceLinked="0"/>
              <c:spPr>
                <a:solidFill>
                  <a:srgbClr val="00B0F0"/>
                </a:solid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bg1"/>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extLst>
                <c:ext xmlns:c16="http://schemas.microsoft.com/office/drawing/2014/chart" uri="{C3380CC4-5D6E-409C-BE32-E72D297353CC}">
                  <c16:uniqueId val="{00000000-90C2-4FCC-8077-FBB0E603BB9F}"/>
                </c:ext>
              </c:extLst>
            </c:dLbl>
            <c:dLbl>
              <c:idx val="21"/>
              <c:numFmt formatCode="0%" sourceLinked="0"/>
              <c:spPr>
                <a:solidFill>
                  <a:srgbClr val="EE0000"/>
                </a:solid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bg1"/>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extLst>
                <c:ext xmlns:c16="http://schemas.microsoft.com/office/drawing/2014/chart" uri="{C3380CC4-5D6E-409C-BE32-E72D297353CC}">
                  <c16:uniqueId val="{00000000-9FE2-44D5-88C6-6E4B774E42D1}"/>
                </c:ext>
              </c:extLst>
            </c:dLbl>
            <c:numFmt formatCode="0%" sourceLinked="0"/>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bg1"/>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Arkusz1!$A$2:$A$25</c:f>
              <c:strCache>
                <c:ptCount val="24"/>
                <c:pt idx="0">
                  <c:v>Ogółem</c:v>
                </c:pt>
                <c:pt idx="2">
                  <c:v>Kobieta</c:v>
                </c:pt>
                <c:pt idx="3">
                  <c:v>Mężczyzna</c:v>
                </c:pt>
                <c:pt idx="5">
                  <c:v>15–19 lat</c:v>
                </c:pt>
                <c:pt idx="6">
                  <c:v>20–24 lata</c:v>
                </c:pt>
                <c:pt idx="7">
                  <c:v>25–34 lata</c:v>
                </c:pt>
                <c:pt idx="8">
                  <c:v>35–44 lata</c:v>
                </c:pt>
                <c:pt idx="9">
                  <c:v>45–54 lata</c:v>
                </c:pt>
                <c:pt idx="10">
                  <c:v>55–64 lata</c:v>
                </c:pt>
                <c:pt idx="11">
                  <c:v>65+</c:v>
                </c:pt>
                <c:pt idx="13">
                  <c:v>Wyższe</c:v>
                </c:pt>
                <c:pt idx="14">
                  <c:v>Średnie</c:v>
                </c:pt>
                <c:pt idx="15">
                  <c:v>Zawodowe</c:v>
                </c:pt>
                <c:pt idx="16">
                  <c:v>Podstawowe</c:v>
                </c:pt>
                <c:pt idx="18">
                  <c:v>Wieś</c:v>
                </c:pt>
                <c:pt idx="19">
                  <c:v>Do 20 tys. mieszkańców</c:v>
                </c:pt>
                <c:pt idx="20">
                  <c:v>20–49 tys. mieszkańców</c:v>
                </c:pt>
                <c:pt idx="21">
                  <c:v>50–199 tys. mieszkańców</c:v>
                </c:pt>
                <c:pt idx="22">
                  <c:v>200–499 tys. mieszkańców</c:v>
                </c:pt>
                <c:pt idx="23">
                  <c:v>powyżej 500 tys. mieszkańców</c:v>
                </c:pt>
              </c:strCache>
            </c:strRef>
          </c:cat>
          <c:val>
            <c:numRef>
              <c:f>Arkusz1!$B$2:$B$25</c:f>
              <c:numCache>
                <c:formatCode>General</c:formatCode>
                <c:ptCount val="24"/>
                <c:pt idx="0" formatCode="0.00%">
                  <c:v>0.68799999999999994</c:v>
                </c:pt>
                <c:pt idx="2" formatCode="0.00%">
                  <c:v>0.69399999999999995</c:v>
                </c:pt>
                <c:pt idx="3" formatCode="0.00%">
                  <c:v>0.68200000000000005</c:v>
                </c:pt>
                <c:pt idx="5" formatCode="0.00%">
                  <c:v>0.66100000000000003</c:v>
                </c:pt>
                <c:pt idx="6" formatCode="0.00%">
                  <c:v>0.70499999999999996</c:v>
                </c:pt>
                <c:pt idx="7" formatCode="0.00%">
                  <c:v>0.68700000000000006</c:v>
                </c:pt>
                <c:pt idx="8" formatCode="0.00%">
                  <c:v>0.67700000000000005</c:v>
                </c:pt>
                <c:pt idx="9" formatCode="0.00%">
                  <c:v>0.66</c:v>
                </c:pt>
                <c:pt idx="10" formatCode="0.00%">
                  <c:v>0.70899999999999996</c:v>
                </c:pt>
                <c:pt idx="11" formatCode="0.00%">
                  <c:v>0.70599999999999996</c:v>
                </c:pt>
                <c:pt idx="13" formatCode="0.00%">
                  <c:v>0.72</c:v>
                </c:pt>
                <c:pt idx="14" formatCode="0.00%">
                  <c:v>0.69599999999999995</c:v>
                </c:pt>
                <c:pt idx="15" formatCode="0.00%">
                  <c:v>0.68600000000000005</c:v>
                </c:pt>
                <c:pt idx="16" formatCode="0.00%">
                  <c:v>0.59699999999999998</c:v>
                </c:pt>
                <c:pt idx="18" formatCode="0.00%">
                  <c:v>0.68500000000000005</c:v>
                </c:pt>
                <c:pt idx="19" formatCode="0.00%">
                  <c:v>0.71299999999999997</c:v>
                </c:pt>
                <c:pt idx="20" formatCode="0.00%">
                  <c:v>0.628</c:v>
                </c:pt>
                <c:pt idx="21" formatCode="0.00%">
                  <c:v>0.748</c:v>
                </c:pt>
                <c:pt idx="22" formatCode="0.00%">
                  <c:v>0.66700000000000004</c:v>
                </c:pt>
                <c:pt idx="23" formatCode="0.00%">
                  <c:v>0.67</c:v>
                </c:pt>
              </c:numCache>
            </c:numRef>
          </c:val>
          <c:extLst>
            <c:ext xmlns:c16="http://schemas.microsoft.com/office/drawing/2014/chart" uri="{C3380CC4-5D6E-409C-BE32-E72D297353CC}">
              <c16:uniqueId val="{00000000-2AB6-40A3-9950-1AB605EA44AA}"/>
            </c:ext>
          </c:extLst>
        </c:ser>
        <c:ser>
          <c:idx val="1"/>
          <c:order val="1"/>
          <c:tx>
            <c:strRef>
              <c:f>Arkusz1!$C$1</c:f>
              <c:strCache>
                <c:ptCount val="1"/>
                <c:pt idx="0">
                  <c:v>nie</c:v>
                </c:pt>
              </c:strCache>
            </c:strRef>
          </c:tx>
          <c:spPr>
            <a:solidFill>
              <a:schemeClr val="bg1">
                <a:lumMod val="85000"/>
              </a:schemeClr>
            </a:solidFill>
            <a:ln>
              <a:noFill/>
            </a:ln>
            <a:effectLst/>
          </c:spPr>
          <c:invertIfNegative val="0"/>
          <c:dLbls>
            <c:dLbl>
              <c:idx val="6"/>
              <c:numFmt formatCode="0%" sourceLinked="0"/>
              <c:spPr>
                <a:solidFill>
                  <a:srgbClr val="00B0F0"/>
                </a:solid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bg1"/>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extLst>
                <c:ext xmlns:c16="http://schemas.microsoft.com/office/drawing/2014/chart" uri="{C3380CC4-5D6E-409C-BE32-E72D297353CC}">
                  <c16:uniqueId val="{00000003-90C2-4FCC-8077-FBB0E603BB9F}"/>
                </c:ext>
              </c:extLst>
            </c:dLbl>
            <c:dLbl>
              <c:idx val="20"/>
              <c:numFmt formatCode="0%" sourceLinked="0"/>
              <c:spPr>
                <a:solidFill>
                  <a:srgbClr val="EE0000"/>
                </a:solid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bg1"/>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extLst>
                <c:ext xmlns:c16="http://schemas.microsoft.com/office/drawing/2014/chart" uri="{C3380CC4-5D6E-409C-BE32-E72D297353CC}">
                  <c16:uniqueId val="{00000001-9FE2-44D5-88C6-6E4B774E42D1}"/>
                </c:ext>
              </c:extLst>
            </c:dLbl>
            <c:numFmt formatCode="0%" sourceLinked="0"/>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Arkusz1!$A$2:$A$25</c:f>
              <c:strCache>
                <c:ptCount val="24"/>
                <c:pt idx="0">
                  <c:v>Ogółem</c:v>
                </c:pt>
                <c:pt idx="2">
                  <c:v>Kobieta</c:v>
                </c:pt>
                <c:pt idx="3">
                  <c:v>Mężczyzna</c:v>
                </c:pt>
                <c:pt idx="5">
                  <c:v>15–19 lat</c:v>
                </c:pt>
                <c:pt idx="6">
                  <c:v>20–24 lata</c:v>
                </c:pt>
                <c:pt idx="7">
                  <c:v>25–34 lata</c:v>
                </c:pt>
                <c:pt idx="8">
                  <c:v>35–44 lata</c:v>
                </c:pt>
                <c:pt idx="9">
                  <c:v>45–54 lata</c:v>
                </c:pt>
                <c:pt idx="10">
                  <c:v>55–64 lata</c:v>
                </c:pt>
                <c:pt idx="11">
                  <c:v>65+</c:v>
                </c:pt>
                <c:pt idx="13">
                  <c:v>Wyższe</c:v>
                </c:pt>
                <c:pt idx="14">
                  <c:v>Średnie</c:v>
                </c:pt>
                <c:pt idx="15">
                  <c:v>Zawodowe</c:v>
                </c:pt>
                <c:pt idx="16">
                  <c:v>Podstawowe</c:v>
                </c:pt>
                <c:pt idx="18">
                  <c:v>Wieś</c:v>
                </c:pt>
                <c:pt idx="19">
                  <c:v>Do 20 tys. mieszkańców</c:v>
                </c:pt>
                <c:pt idx="20">
                  <c:v>20–49 tys. mieszkańców</c:v>
                </c:pt>
                <c:pt idx="21">
                  <c:v>50–199 tys. mieszkańców</c:v>
                </c:pt>
                <c:pt idx="22">
                  <c:v>200–499 tys. mieszkańców</c:v>
                </c:pt>
                <c:pt idx="23">
                  <c:v>powyżej 500 tys. mieszkańców</c:v>
                </c:pt>
              </c:strCache>
            </c:strRef>
          </c:cat>
          <c:val>
            <c:numRef>
              <c:f>Arkusz1!$C$2:$C$25</c:f>
              <c:numCache>
                <c:formatCode>General</c:formatCode>
                <c:ptCount val="24"/>
                <c:pt idx="0" formatCode="0.00%">
                  <c:v>0.127</c:v>
                </c:pt>
                <c:pt idx="2" formatCode="0.00%">
                  <c:v>0.11799999999999999</c:v>
                </c:pt>
                <c:pt idx="3" formatCode="0.00%">
                  <c:v>0.13500000000000001</c:v>
                </c:pt>
                <c:pt idx="5" formatCode="0.00%">
                  <c:v>0.13600000000000001</c:v>
                </c:pt>
                <c:pt idx="6" formatCode="0.00%">
                  <c:v>9.8000000000000004E-2</c:v>
                </c:pt>
                <c:pt idx="7" formatCode="0.00%">
                  <c:v>0.11600000000000001</c:v>
                </c:pt>
                <c:pt idx="8" formatCode="0.00%">
                  <c:v>0.14099999999999999</c:v>
                </c:pt>
                <c:pt idx="9" formatCode="0.00%">
                  <c:v>0.14199999999999999</c:v>
                </c:pt>
                <c:pt idx="10" formatCode="0.00%">
                  <c:v>0.10199999999999999</c:v>
                </c:pt>
                <c:pt idx="11" formatCode="0.00%">
                  <c:v>0.13200000000000001</c:v>
                </c:pt>
                <c:pt idx="13" formatCode="0.00%">
                  <c:v>0.10100000000000001</c:v>
                </c:pt>
                <c:pt idx="14" formatCode="0.00%">
                  <c:v>0.14000000000000001</c:v>
                </c:pt>
                <c:pt idx="15" formatCode="0.00%">
                  <c:v>0.113</c:v>
                </c:pt>
                <c:pt idx="16" formatCode="0.00%">
                  <c:v>0.17599999999999999</c:v>
                </c:pt>
                <c:pt idx="18" formatCode="0.00%">
                  <c:v>0.13900000000000001</c:v>
                </c:pt>
                <c:pt idx="19" formatCode="0.00%">
                  <c:v>0.107</c:v>
                </c:pt>
                <c:pt idx="20" formatCode="0.00%">
                  <c:v>0.159</c:v>
                </c:pt>
                <c:pt idx="21" formatCode="0.00%">
                  <c:v>0.11899999999999999</c:v>
                </c:pt>
                <c:pt idx="22" formatCode="0.00%">
                  <c:v>0.111</c:v>
                </c:pt>
                <c:pt idx="23" formatCode="0.00%">
                  <c:v>9.6000000000000002E-2</c:v>
                </c:pt>
              </c:numCache>
            </c:numRef>
          </c:val>
          <c:extLst>
            <c:ext xmlns:c16="http://schemas.microsoft.com/office/drawing/2014/chart" uri="{C3380CC4-5D6E-409C-BE32-E72D297353CC}">
              <c16:uniqueId val="{00000001-2AB6-40A3-9950-1AB605EA44AA}"/>
            </c:ext>
          </c:extLst>
        </c:ser>
        <c:ser>
          <c:idx val="2"/>
          <c:order val="2"/>
          <c:tx>
            <c:strRef>
              <c:f>Arkusz1!$D$1</c:f>
              <c:strCache>
                <c:ptCount val="1"/>
                <c:pt idx="0">
                  <c:v>nie wiem / trudno powiedzieć</c:v>
                </c:pt>
              </c:strCache>
            </c:strRef>
          </c:tx>
          <c:spPr>
            <a:solidFill>
              <a:schemeClr val="tx1">
                <a:lumMod val="50000"/>
                <a:lumOff val="50000"/>
              </a:schemeClr>
            </a:solidFill>
            <a:ln>
              <a:noFill/>
            </a:ln>
            <a:effectLst/>
          </c:spPr>
          <c:invertIfNegative val="0"/>
          <c:dLbls>
            <c:dLbl>
              <c:idx val="14"/>
              <c:numFmt formatCode="0%" sourceLinked="0"/>
              <c:spPr>
                <a:solidFill>
                  <a:srgbClr val="00B0F0"/>
                </a:solid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bg1"/>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extLst>
                <c:ext xmlns:c16="http://schemas.microsoft.com/office/drawing/2014/chart" uri="{C3380CC4-5D6E-409C-BE32-E72D297353CC}">
                  <c16:uniqueId val="{00000002-90C2-4FCC-8077-FBB0E603BB9F}"/>
                </c:ext>
              </c:extLst>
            </c:dLbl>
            <c:dLbl>
              <c:idx val="21"/>
              <c:numFmt formatCode="0%" sourceLinked="0"/>
              <c:spPr>
                <a:solidFill>
                  <a:srgbClr val="00B0F0"/>
                </a:solid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bg1"/>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extLst>
                <c:ext xmlns:c16="http://schemas.microsoft.com/office/drawing/2014/chart" uri="{C3380CC4-5D6E-409C-BE32-E72D297353CC}">
                  <c16:uniqueId val="{00000001-90C2-4FCC-8077-FBB0E603BB9F}"/>
                </c:ext>
              </c:extLst>
            </c:dLbl>
            <c:numFmt formatCode="0%" sourceLinked="0"/>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bg1"/>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Arkusz1!$A$2:$A$25</c:f>
              <c:strCache>
                <c:ptCount val="24"/>
                <c:pt idx="0">
                  <c:v>Ogółem</c:v>
                </c:pt>
                <c:pt idx="2">
                  <c:v>Kobieta</c:v>
                </c:pt>
                <c:pt idx="3">
                  <c:v>Mężczyzna</c:v>
                </c:pt>
                <c:pt idx="5">
                  <c:v>15–19 lat</c:v>
                </c:pt>
                <c:pt idx="6">
                  <c:v>20–24 lata</c:v>
                </c:pt>
                <c:pt idx="7">
                  <c:v>25–34 lata</c:v>
                </c:pt>
                <c:pt idx="8">
                  <c:v>35–44 lata</c:v>
                </c:pt>
                <c:pt idx="9">
                  <c:v>45–54 lata</c:v>
                </c:pt>
                <c:pt idx="10">
                  <c:v>55–64 lata</c:v>
                </c:pt>
                <c:pt idx="11">
                  <c:v>65+</c:v>
                </c:pt>
                <c:pt idx="13">
                  <c:v>Wyższe</c:v>
                </c:pt>
                <c:pt idx="14">
                  <c:v>Średnie</c:v>
                </c:pt>
                <c:pt idx="15">
                  <c:v>Zawodowe</c:v>
                </c:pt>
                <c:pt idx="16">
                  <c:v>Podstawowe</c:v>
                </c:pt>
                <c:pt idx="18">
                  <c:v>Wieś</c:v>
                </c:pt>
                <c:pt idx="19">
                  <c:v>Do 20 tys. mieszkańców</c:v>
                </c:pt>
                <c:pt idx="20">
                  <c:v>20–49 tys. mieszkańców</c:v>
                </c:pt>
                <c:pt idx="21">
                  <c:v>50–199 tys. mieszkańców</c:v>
                </c:pt>
                <c:pt idx="22">
                  <c:v>200–499 tys. mieszkańców</c:v>
                </c:pt>
                <c:pt idx="23">
                  <c:v>powyżej 500 tys. mieszkańców</c:v>
                </c:pt>
              </c:strCache>
            </c:strRef>
          </c:cat>
          <c:val>
            <c:numRef>
              <c:f>Arkusz1!$D$2:$D$25</c:f>
              <c:numCache>
                <c:formatCode>General</c:formatCode>
                <c:ptCount val="24"/>
                <c:pt idx="0" formatCode="0.00%">
                  <c:v>0.185</c:v>
                </c:pt>
                <c:pt idx="2" formatCode="0.00%">
                  <c:v>0.188</c:v>
                </c:pt>
                <c:pt idx="3" formatCode="0.00%">
                  <c:v>0.183</c:v>
                </c:pt>
                <c:pt idx="5" formatCode="0.00%">
                  <c:v>0.20300000000000001</c:v>
                </c:pt>
                <c:pt idx="6" formatCode="0.00%">
                  <c:v>0.19700000000000001</c:v>
                </c:pt>
                <c:pt idx="7" formatCode="0.00%">
                  <c:v>0.19700000000000001</c:v>
                </c:pt>
                <c:pt idx="8" formatCode="0.00%">
                  <c:v>0.182</c:v>
                </c:pt>
                <c:pt idx="9" formatCode="0.00%">
                  <c:v>0.19900000000000001</c:v>
                </c:pt>
                <c:pt idx="10" formatCode="0.00%">
                  <c:v>0.189</c:v>
                </c:pt>
                <c:pt idx="11" formatCode="0.00%">
                  <c:v>0.16200000000000001</c:v>
                </c:pt>
                <c:pt idx="13" formatCode="0.00%">
                  <c:v>0.17899999999999999</c:v>
                </c:pt>
                <c:pt idx="14" formatCode="0.00%">
                  <c:v>0.16400000000000001</c:v>
                </c:pt>
                <c:pt idx="15" formatCode="0.00%">
                  <c:v>0.20100000000000001</c:v>
                </c:pt>
                <c:pt idx="16" formatCode="0.00%">
                  <c:v>0.22700000000000001</c:v>
                </c:pt>
                <c:pt idx="18" formatCode="0.00%">
                  <c:v>0.17599999999999999</c:v>
                </c:pt>
                <c:pt idx="19" formatCode="0.00%">
                  <c:v>0.18</c:v>
                </c:pt>
                <c:pt idx="20" formatCode="0.00%">
                  <c:v>0.21199999999999999</c:v>
                </c:pt>
                <c:pt idx="21" formatCode="0.00%">
                  <c:v>0.13300000000000001</c:v>
                </c:pt>
                <c:pt idx="22" formatCode="0.00%">
                  <c:v>0.222</c:v>
                </c:pt>
                <c:pt idx="23" formatCode="0.00%">
                  <c:v>0.23499999999999999</c:v>
                </c:pt>
              </c:numCache>
            </c:numRef>
          </c:val>
          <c:extLst>
            <c:ext xmlns:c16="http://schemas.microsoft.com/office/drawing/2014/chart" uri="{C3380CC4-5D6E-409C-BE32-E72D297353CC}">
              <c16:uniqueId val="{00000002-2AB6-40A3-9950-1AB605EA44AA}"/>
            </c:ext>
          </c:extLst>
        </c:ser>
        <c:dLbls>
          <c:showLegendKey val="0"/>
          <c:showVal val="0"/>
          <c:showCatName val="0"/>
          <c:showSerName val="0"/>
          <c:showPercent val="0"/>
          <c:showBubbleSize val="0"/>
        </c:dLbls>
        <c:gapWidth val="60"/>
        <c:overlap val="100"/>
        <c:axId val="875697471"/>
        <c:axId val="875698911"/>
      </c:barChart>
      <c:catAx>
        <c:axId val="875697471"/>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875698911"/>
        <c:crosses val="autoZero"/>
        <c:auto val="1"/>
        <c:lblAlgn val="ctr"/>
        <c:lblOffset val="100"/>
        <c:noMultiLvlLbl val="0"/>
      </c:catAx>
      <c:valAx>
        <c:axId val="875698911"/>
        <c:scaling>
          <c:orientation val="minMax"/>
        </c:scaling>
        <c:delete val="0"/>
        <c:axPos val="t"/>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crossAx val="87569747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pl-PL"/>
    </a:p>
  </c:txPr>
  <c:externalData r:id="rId3">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Arkusz1!$B$1</c:f>
              <c:strCache>
                <c:ptCount val="1"/>
                <c:pt idx="0">
                  <c:v>% (ważne)</c:v>
                </c:pt>
              </c:strCache>
            </c:strRef>
          </c:tx>
          <c:spPr>
            <a:solidFill>
              <a:srgbClr val="061A3D"/>
            </a:solidFill>
            <a:ln>
              <a:noFill/>
            </a:ln>
            <a:effectLst/>
          </c:spPr>
          <c:invertIfNegative val="0"/>
          <c:dLbls>
            <c:numFmt formatCode="0%" sourceLinked="0"/>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Arkusz1!$A$2:$A$17</c:f>
              <c:strCache>
                <c:ptCount val="16"/>
                <c:pt idx="0">
                  <c:v>Brak zmian / brak zdania</c:v>
                </c:pt>
                <c:pt idx="1">
                  <c:v>Usługi społeczne i opiekuńcze (domy seniora, OPS, centra wsparcia, dom dziecka)</c:v>
                </c:pt>
                <c:pt idx="2">
                  <c:v>Obiekty kultury (domy kultury, biblioteki, amfiteatr)</c:v>
                </c:pt>
                <c:pt idx="3">
                  <c:v>Zieleń miejska i estetyka przestrzeni publicznej</c:v>
                </c:pt>
                <c:pt idx="4">
                  <c:v>Infrastruktura komunalna techniczna </c:v>
                </c:pt>
                <c:pt idx="5">
                  <c:v>Sport, rekreacja i wypoczynek (boiska, hale, ścieżki, place zabaw)</c:v>
                </c:pt>
                <c:pt idx="6">
                  <c:v>Infrastruktura zdrowotna (szpitale, przychodnie, ośrodki zdrowia)</c:v>
                </c:pt>
                <c:pt idx="7">
                  <c:v>Budownictwo mieszkaniowe i termomodernizacja</c:v>
                </c:pt>
                <c:pt idx="8">
                  <c:v>Zwykli ludzie / obywatele / społeczeństwo ogółem</c:v>
                </c:pt>
                <c:pt idx="9">
                  <c:v>Transport publiczny i kolej (autobusy, tramwaje, tory, dworce)</c:v>
                </c:pt>
                <c:pt idx="10">
                  <c:v>Administracja publiczna (urzędy, skarbówka, poczta, sądy, starostwo)</c:v>
                </c:pt>
                <c:pt idx="11">
                  <c:v>Samorządy / gminy / społeczność lokalna</c:v>
                </c:pt>
                <c:pt idx="12">
                  <c:v>Gospodarka, przedsiębiorstwa, rolnictwo i inwestycje lokalne</c:v>
                </c:pt>
                <c:pt idx="13">
                  <c:v>Przedsiębiorcy / firmy / biznes / pracownicy firm</c:v>
                </c:pt>
                <c:pt idx="14">
                  <c:v>Infrastruktura edukacyjna</c:v>
                </c:pt>
                <c:pt idx="15">
                  <c:v>Drogi, ulice, mosty i chodniki</c:v>
                </c:pt>
              </c:strCache>
            </c:strRef>
          </c:cat>
          <c:val>
            <c:numRef>
              <c:f>Arkusz1!$B$2:$B$17</c:f>
              <c:numCache>
                <c:formatCode>0.00%</c:formatCode>
                <c:ptCount val="16"/>
                <c:pt idx="0">
                  <c:v>1.2E-2</c:v>
                </c:pt>
                <c:pt idx="1">
                  <c:v>1.2E-2</c:v>
                </c:pt>
                <c:pt idx="2">
                  <c:v>1.4999999999999999E-2</c:v>
                </c:pt>
                <c:pt idx="3">
                  <c:v>4.1000000000000002E-2</c:v>
                </c:pt>
                <c:pt idx="4">
                  <c:v>4.2999999999999997E-2</c:v>
                </c:pt>
                <c:pt idx="5">
                  <c:v>4.3999999999999997E-2</c:v>
                </c:pt>
                <c:pt idx="6">
                  <c:v>5.8000000000000003E-2</c:v>
                </c:pt>
                <c:pt idx="7">
                  <c:v>6.5000000000000002E-2</c:v>
                </c:pt>
                <c:pt idx="8">
                  <c:v>8.2000000000000003E-2</c:v>
                </c:pt>
                <c:pt idx="9">
                  <c:v>8.4000000000000005E-2</c:v>
                </c:pt>
                <c:pt idx="10">
                  <c:v>0.1</c:v>
                </c:pt>
                <c:pt idx="11">
                  <c:v>0.11</c:v>
                </c:pt>
                <c:pt idx="12">
                  <c:v>0.113</c:v>
                </c:pt>
                <c:pt idx="13">
                  <c:v>0.121</c:v>
                </c:pt>
                <c:pt idx="14">
                  <c:v>0.13400000000000001</c:v>
                </c:pt>
                <c:pt idx="15">
                  <c:v>0.27900000000000003</c:v>
                </c:pt>
              </c:numCache>
            </c:numRef>
          </c:val>
          <c:extLst>
            <c:ext xmlns:c16="http://schemas.microsoft.com/office/drawing/2014/chart" uri="{C3380CC4-5D6E-409C-BE32-E72D297353CC}">
              <c16:uniqueId val="{00000000-0514-4F7B-82C3-4F81BDDA84FD}"/>
            </c:ext>
          </c:extLst>
        </c:ser>
        <c:dLbls>
          <c:showLegendKey val="0"/>
          <c:showVal val="0"/>
          <c:showCatName val="0"/>
          <c:showSerName val="0"/>
          <c:showPercent val="0"/>
          <c:showBubbleSize val="0"/>
        </c:dLbls>
        <c:gapWidth val="142"/>
        <c:axId val="432009056"/>
        <c:axId val="432009536"/>
      </c:barChart>
      <c:catAx>
        <c:axId val="43200905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crossAx val="432009536"/>
        <c:crosses val="autoZero"/>
        <c:auto val="1"/>
        <c:lblAlgn val="ctr"/>
        <c:lblOffset val="100"/>
        <c:noMultiLvlLbl val="0"/>
      </c:catAx>
      <c:valAx>
        <c:axId val="432009536"/>
        <c:scaling>
          <c:orientation val="minMax"/>
        </c:scaling>
        <c:delete val="0"/>
        <c:axPos val="b"/>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432009056"/>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Arkusz1!$B$1</c:f>
              <c:strCache>
                <c:ptCount val="1"/>
                <c:pt idx="0">
                  <c:v>Odsetek „tak”</c:v>
                </c:pt>
              </c:strCache>
            </c:strRef>
          </c:tx>
          <c:spPr>
            <a:ln w="28575" cap="rnd">
              <a:solidFill>
                <a:srgbClr val="061A3D"/>
              </a:solidFill>
              <a:round/>
            </a:ln>
            <a:effectLst/>
          </c:spPr>
          <c:marker>
            <c:symbol val="circle"/>
            <c:size val="5"/>
            <c:spPr>
              <a:solidFill>
                <a:srgbClr val="061A3D"/>
              </a:solidFill>
              <a:ln w="9525">
                <a:solidFill>
                  <a:srgbClr val="061A3D"/>
                </a:solidFill>
              </a:ln>
              <a:effectLst/>
            </c:spPr>
          </c:marker>
          <c:dLbls>
            <c:dLbl>
              <c:idx val="3"/>
              <c:numFmt formatCode="0%" sourceLinked="0"/>
              <c:spPr>
                <a:solidFill>
                  <a:srgbClr val="EE0000"/>
                </a:solidFill>
                <a:ln>
                  <a:noFill/>
                </a:ln>
                <a:effectLst/>
              </c:spPr>
              <c:txPr>
                <a:bodyPr rot="0" spcFirstLastPara="1" vertOverflow="ellipsis" vert="horz" wrap="square" anchor="ctr" anchorCtr="1"/>
                <a:lstStyle/>
                <a:p>
                  <a:pPr>
                    <a:defRPr sz="1100" b="0" i="0" u="none" strike="noStrike" kern="1200" baseline="0">
                      <a:solidFill>
                        <a:schemeClr val="bg1"/>
                      </a:solidFill>
                      <a:latin typeface="Arial" panose="020B0604020202020204" pitchFamily="34" charset="0"/>
                      <a:ea typeface="+mn-ea"/>
                      <a:cs typeface="Arial" panose="020B0604020202020204" pitchFamily="34" charset="0"/>
                    </a:defRPr>
                  </a:pPr>
                  <a:endParaRPr lang="pl-PL"/>
                </a:p>
              </c:txPr>
              <c:dLblPos val="t"/>
              <c:showLegendKey val="0"/>
              <c:showVal val="1"/>
              <c:showCatName val="0"/>
              <c:showSerName val="0"/>
              <c:showPercent val="0"/>
              <c:showBubbleSize val="0"/>
              <c:extLst>
                <c:ext xmlns:c16="http://schemas.microsoft.com/office/drawing/2014/chart" uri="{C3380CC4-5D6E-409C-BE32-E72D297353CC}">
                  <c16:uniqueId val="{00000000-43BE-4AF8-9F3D-BCFF0DF1A196}"/>
                </c:ext>
              </c:extLst>
            </c:dLbl>
            <c:dLbl>
              <c:idx val="5"/>
              <c:numFmt formatCode="0%" sourceLinked="0"/>
              <c:spPr>
                <a:solidFill>
                  <a:srgbClr val="EE0000"/>
                </a:solidFill>
                <a:ln>
                  <a:noFill/>
                </a:ln>
                <a:effectLst/>
              </c:spPr>
              <c:txPr>
                <a:bodyPr rot="0" spcFirstLastPara="1" vertOverflow="ellipsis" vert="horz" wrap="square" anchor="ctr" anchorCtr="1"/>
                <a:lstStyle/>
                <a:p>
                  <a:pPr>
                    <a:defRPr sz="1100" b="0" i="0" u="none" strike="noStrike" kern="1200" baseline="0">
                      <a:solidFill>
                        <a:schemeClr val="bg1"/>
                      </a:solidFill>
                      <a:latin typeface="Arial" panose="020B0604020202020204" pitchFamily="34" charset="0"/>
                      <a:ea typeface="+mn-ea"/>
                      <a:cs typeface="Arial" panose="020B0604020202020204" pitchFamily="34" charset="0"/>
                    </a:defRPr>
                  </a:pPr>
                  <a:endParaRPr lang="pl-PL"/>
                </a:p>
              </c:txPr>
              <c:dLblPos val="t"/>
              <c:showLegendKey val="0"/>
              <c:showVal val="1"/>
              <c:showCatName val="0"/>
              <c:showSerName val="0"/>
              <c:showPercent val="0"/>
              <c:showBubbleSize val="0"/>
              <c:extLst>
                <c:ext xmlns:c16="http://schemas.microsoft.com/office/drawing/2014/chart" uri="{C3380CC4-5D6E-409C-BE32-E72D297353CC}">
                  <c16:uniqueId val="{00000001-43BE-4AF8-9F3D-BCFF0DF1A196}"/>
                </c:ext>
              </c:extLst>
            </c:dLbl>
            <c:numFmt formatCode="0%" sourceLinked="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Arkusz1!$A$2:$A$13</c:f>
              <c:strCache>
                <c:ptCount val="12"/>
                <c:pt idx="0">
                  <c:v>2014 N=6352</c:v>
                </c:pt>
                <c:pt idx="1">
                  <c:v>2015 N=1642</c:v>
                </c:pt>
                <c:pt idx="2">
                  <c:v>2016 N=5366</c:v>
                </c:pt>
                <c:pt idx="3">
                  <c:v>2017 N=919</c:v>
                </c:pt>
                <c:pt idx="4">
                  <c:v>2018 N=5615</c:v>
                </c:pt>
                <c:pt idx="5">
                  <c:v>2019 N=905</c:v>
                </c:pt>
                <c:pt idx="6">
                  <c:v>2020 N=5514</c:v>
                </c:pt>
                <c:pt idx="7">
                  <c:v>2021 N=887</c:v>
                </c:pt>
                <c:pt idx="8">
                  <c:v>2022 N=5279</c:v>
                </c:pt>
                <c:pt idx="9">
                  <c:v>2023 N=888</c:v>
                </c:pt>
                <c:pt idx="10">
                  <c:v>2024 N=5707</c:v>
                </c:pt>
                <c:pt idx="11">
                  <c:v>2025 N=955</c:v>
                </c:pt>
              </c:strCache>
            </c:strRef>
          </c:cat>
          <c:val>
            <c:numRef>
              <c:f>Arkusz1!$B$2:$B$13</c:f>
              <c:numCache>
                <c:formatCode>0%</c:formatCode>
                <c:ptCount val="12"/>
                <c:pt idx="0">
                  <c:v>0.61</c:v>
                </c:pt>
                <c:pt idx="1">
                  <c:v>0.6</c:v>
                </c:pt>
                <c:pt idx="2">
                  <c:v>0.63</c:v>
                </c:pt>
                <c:pt idx="3">
                  <c:v>0.77</c:v>
                </c:pt>
                <c:pt idx="4">
                  <c:v>0.63</c:v>
                </c:pt>
                <c:pt idx="5">
                  <c:v>0.74</c:v>
                </c:pt>
                <c:pt idx="6">
                  <c:v>0.56999999999999995</c:v>
                </c:pt>
                <c:pt idx="7">
                  <c:v>0.56999999999999995</c:v>
                </c:pt>
                <c:pt idx="8">
                  <c:v>0.64</c:v>
                </c:pt>
                <c:pt idx="9">
                  <c:v>0.59</c:v>
                </c:pt>
                <c:pt idx="10">
                  <c:v>0.6</c:v>
                </c:pt>
                <c:pt idx="11">
                  <c:v>0.64</c:v>
                </c:pt>
              </c:numCache>
            </c:numRef>
          </c:val>
          <c:smooth val="0"/>
          <c:extLst>
            <c:ext xmlns:c16="http://schemas.microsoft.com/office/drawing/2014/chart" uri="{C3380CC4-5D6E-409C-BE32-E72D297353CC}">
              <c16:uniqueId val="{00000000-6456-43B1-8AB8-1569F1AFE755}"/>
            </c:ext>
          </c:extLst>
        </c:ser>
        <c:dLbls>
          <c:showLegendKey val="0"/>
          <c:showVal val="0"/>
          <c:showCatName val="0"/>
          <c:showSerName val="0"/>
          <c:showPercent val="0"/>
          <c:showBubbleSize val="0"/>
        </c:dLbls>
        <c:marker val="1"/>
        <c:smooth val="0"/>
        <c:axId val="877883119"/>
        <c:axId val="877885519"/>
      </c:lineChart>
      <c:catAx>
        <c:axId val="87788311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877885519"/>
        <c:crosses val="autoZero"/>
        <c:auto val="1"/>
        <c:lblAlgn val="ctr"/>
        <c:lblOffset val="100"/>
        <c:noMultiLvlLbl val="0"/>
      </c:catAx>
      <c:valAx>
        <c:axId val="877885519"/>
        <c:scaling>
          <c:orientation val="minMax"/>
          <c:max val="1"/>
          <c:min val="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877883119"/>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900"/>
      </a:pPr>
      <a:endParaRPr lang="pl-PL"/>
    </a:p>
  </c:txPr>
  <c:externalData r:id="rId3">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percentStacked"/>
        <c:varyColors val="0"/>
        <c:ser>
          <c:idx val="0"/>
          <c:order val="0"/>
          <c:tx>
            <c:strRef>
              <c:f>Arkusz1!$B$1</c:f>
              <c:strCache>
                <c:ptCount val="1"/>
                <c:pt idx="0">
                  <c:v>zdecydowanie tak</c:v>
                </c:pt>
              </c:strCache>
            </c:strRef>
          </c:tx>
          <c:spPr>
            <a:solidFill>
              <a:srgbClr val="061A3D"/>
            </a:solidFill>
            <a:ln>
              <a:noFill/>
            </a:ln>
            <a:effectLst/>
          </c:spPr>
          <c:invertIfNegative val="0"/>
          <c:dLbls>
            <c:dLbl>
              <c:idx val="3"/>
              <c:numFmt formatCode="0%" sourceLinked="0"/>
              <c:spPr>
                <a:solidFill>
                  <a:srgbClr val="EE0000"/>
                </a:solidFill>
                <a:ln>
                  <a:noFill/>
                </a:ln>
                <a:effectLst/>
              </c:spPr>
              <c:txPr>
                <a:bodyPr rot="0" spcFirstLastPara="1" vertOverflow="ellipsis" vert="horz" wrap="square" anchor="ctr" anchorCtr="1"/>
                <a:lstStyle/>
                <a:p>
                  <a:pPr>
                    <a:defRPr sz="1050" b="0" i="0" u="none" strike="noStrike" kern="1200" baseline="0">
                      <a:solidFill>
                        <a:schemeClr val="bg1"/>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extLst>
                <c:ext xmlns:c16="http://schemas.microsoft.com/office/drawing/2014/chart" uri="{C3380CC4-5D6E-409C-BE32-E72D297353CC}">
                  <c16:uniqueId val="{00000002-F351-4A6A-91E2-449B8880A42D}"/>
                </c:ext>
              </c:extLst>
            </c:dLbl>
            <c:dLbl>
              <c:idx val="5"/>
              <c:numFmt formatCode="0%" sourceLinked="0"/>
              <c:spPr>
                <a:solidFill>
                  <a:srgbClr val="00B0F0"/>
                </a:solidFill>
                <a:ln>
                  <a:noFill/>
                </a:ln>
                <a:effectLst/>
              </c:spPr>
              <c:txPr>
                <a:bodyPr rot="0" spcFirstLastPara="1" vertOverflow="ellipsis" vert="horz" wrap="square" anchor="ctr" anchorCtr="1"/>
                <a:lstStyle/>
                <a:p>
                  <a:pPr>
                    <a:defRPr sz="1050" b="0" i="0" u="none" strike="noStrike" kern="1200" baseline="0">
                      <a:solidFill>
                        <a:schemeClr val="bg1"/>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extLst>
                <c:ext xmlns:c16="http://schemas.microsoft.com/office/drawing/2014/chart" uri="{C3380CC4-5D6E-409C-BE32-E72D297353CC}">
                  <c16:uniqueId val="{00000003-F351-4A6A-91E2-449B8880A42D}"/>
                </c:ext>
              </c:extLst>
            </c:dLbl>
            <c:dLbl>
              <c:idx val="19"/>
              <c:numFmt formatCode="0%" sourceLinked="0"/>
              <c:spPr>
                <a:solidFill>
                  <a:srgbClr val="EE0000"/>
                </a:solidFill>
                <a:ln>
                  <a:noFill/>
                </a:ln>
                <a:effectLst/>
              </c:spPr>
              <c:txPr>
                <a:bodyPr rot="0" spcFirstLastPara="1" vertOverflow="ellipsis" vert="horz" wrap="square" anchor="ctr" anchorCtr="1"/>
                <a:lstStyle/>
                <a:p>
                  <a:pPr>
                    <a:defRPr sz="1050" b="0" i="0" u="none" strike="noStrike" kern="1200" baseline="0">
                      <a:solidFill>
                        <a:schemeClr val="bg1"/>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extLst>
                <c:ext xmlns:c16="http://schemas.microsoft.com/office/drawing/2014/chart" uri="{C3380CC4-5D6E-409C-BE32-E72D297353CC}">
                  <c16:uniqueId val="{00000000-F351-4A6A-91E2-449B8880A42D}"/>
                </c:ext>
              </c:extLst>
            </c:dLbl>
            <c:dLbl>
              <c:idx val="21"/>
              <c:numFmt formatCode="0%" sourceLinked="0"/>
              <c:spPr>
                <a:solidFill>
                  <a:srgbClr val="EE0000"/>
                </a:solidFill>
                <a:ln>
                  <a:noFill/>
                </a:ln>
                <a:effectLst/>
              </c:spPr>
              <c:txPr>
                <a:bodyPr rot="0" spcFirstLastPara="1" vertOverflow="ellipsis" vert="horz" wrap="square" anchor="ctr" anchorCtr="1"/>
                <a:lstStyle/>
                <a:p>
                  <a:pPr>
                    <a:defRPr sz="1050" b="0" i="0" u="none" strike="noStrike" kern="1200" baseline="0">
                      <a:solidFill>
                        <a:schemeClr val="bg1"/>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extLst>
                <c:ext xmlns:c16="http://schemas.microsoft.com/office/drawing/2014/chart" uri="{C3380CC4-5D6E-409C-BE32-E72D297353CC}">
                  <c16:uniqueId val="{00000001-F351-4A6A-91E2-449B8880A42D}"/>
                </c:ext>
              </c:extLst>
            </c:dLbl>
            <c:numFmt formatCode="0%" sourceLinked="0"/>
            <c:spPr>
              <a:noFill/>
              <a:ln>
                <a:noFill/>
              </a:ln>
              <a:effectLst/>
            </c:spPr>
            <c:txPr>
              <a:bodyPr rot="0" spcFirstLastPara="1" vertOverflow="ellipsis" vert="horz" wrap="square" anchor="ctr" anchorCtr="1"/>
              <a:lstStyle/>
              <a:p>
                <a:pPr>
                  <a:defRPr sz="1050" b="0" i="0" u="none" strike="noStrike" kern="1200" baseline="0">
                    <a:solidFill>
                      <a:schemeClr val="bg1"/>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Arkusz1!$A$2:$A$25</c:f>
              <c:strCache>
                <c:ptCount val="24"/>
                <c:pt idx="0">
                  <c:v>Ogółem</c:v>
                </c:pt>
                <c:pt idx="2">
                  <c:v>Kobieta</c:v>
                </c:pt>
                <c:pt idx="3">
                  <c:v>Mężczyzna</c:v>
                </c:pt>
                <c:pt idx="5">
                  <c:v>15–19</c:v>
                </c:pt>
                <c:pt idx="6">
                  <c:v>20–24</c:v>
                </c:pt>
                <c:pt idx="7">
                  <c:v>25–34</c:v>
                </c:pt>
                <c:pt idx="8">
                  <c:v>35–44</c:v>
                </c:pt>
                <c:pt idx="9">
                  <c:v>45–54</c:v>
                </c:pt>
                <c:pt idx="10">
                  <c:v>55–64</c:v>
                </c:pt>
                <c:pt idx="11">
                  <c:v>65+</c:v>
                </c:pt>
                <c:pt idx="13">
                  <c:v>Wyższe</c:v>
                </c:pt>
                <c:pt idx="14">
                  <c:v>Średnie</c:v>
                </c:pt>
                <c:pt idx="15">
                  <c:v>Zawodowe</c:v>
                </c:pt>
                <c:pt idx="16">
                  <c:v>Podstawowe</c:v>
                </c:pt>
                <c:pt idx="18">
                  <c:v>Wieś</c:v>
                </c:pt>
                <c:pt idx="19">
                  <c:v>Do 20 tys.</c:v>
                </c:pt>
                <c:pt idx="20">
                  <c:v>20–49 tys.</c:v>
                </c:pt>
                <c:pt idx="21">
                  <c:v>50–199 tys.</c:v>
                </c:pt>
                <c:pt idx="22">
                  <c:v>200–499 tys.</c:v>
                </c:pt>
                <c:pt idx="23">
                  <c:v>powyżej 500 tys.</c:v>
                </c:pt>
              </c:strCache>
            </c:strRef>
          </c:cat>
          <c:val>
            <c:numRef>
              <c:f>Arkusz1!$B$2:$B$25</c:f>
              <c:numCache>
                <c:formatCode>General</c:formatCode>
                <c:ptCount val="24"/>
                <c:pt idx="0" formatCode="0.00%">
                  <c:v>0.31</c:v>
                </c:pt>
                <c:pt idx="2" formatCode="0.00%">
                  <c:v>0.27700000000000002</c:v>
                </c:pt>
                <c:pt idx="3" formatCode="0.00%">
                  <c:v>0.34</c:v>
                </c:pt>
                <c:pt idx="5" formatCode="0.00%">
                  <c:v>0.22</c:v>
                </c:pt>
                <c:pt idx="6" formatCode="0.00%">
                  <c:v>0.29499999999999998</c:v>
                </c:pt>
                <c:pt idx="7" formatCode="0.00%">
                  <c:v>0.313</c:v>
                </c:pt>
                <c:pt idx="8" formatCode="0.00%">
                  <c:v>0.313</c:v>
                </c:pt>
                <c:pt idx="9" formatCode="0.00%">
                  <c:v>0.255</c:v>
                </c:pt>
                <c:pt idx="10" formatCode="0.00%">
                  <c:v>0.32300000000000001</c:v>
                </c:pt>
                <c:pt idx="11" formatCode="0.00%">
                  <c:v>0.36</c:v>
                </c:pt>
                <c:pt idx="13" formatCode="0.00%">
                  <c:v>0.30599999999999999</c:v>
                </c:pt>
                <c:pt idx="14" formatCode="0.00%">
                  <c:v>0.32500000000000001</c:v>
                </c:pt>
                <c:pt idx="15" formatCode="0.00%">
                  <c:v>0.32200000000000001</c:v>
                </c:pt>
                <c:pt idx="16" formatCode="0.00%">
                  <c:v>0.252</c:v>
                </c:pt>
                <c:pt idx="18" formatCode="0.00%">
                  <c:v>0.312</c:v>
                </c:pt>
                <c:pt idx="19" formatCode="0.00%">
                  <c:v>0.36899999999999999</c:v>
                </c:pt>
                <c:pt idx="20" formatCode="0.00%">
                  <c:v>0.23899999999999999</c:v>
                </c:pt>
                <c:pt idx="21" formatCode="0.00%">
                  <c:v>0.36399999999999999</c:v>
                </c:pt>
                <c:pt idx="22" formatCode="0.00%">
                  <c:v>0.28399999999999997</c:v>
                </c:pt>
                <c:pt idx="23" formatCode="0.00%">
                  <c:v>0.26100000000000001</c:v>
                </c:pt>
              </c:numCache>
            </c:numRef>
          </c:val>
          <c:extLst>
            <c:ext xmlns:c16="http://schemas.microsoft.com/office/drawing/2014/chart" uri="{C3380CC4-5D6E-409C-BE32-E72D297353CC}">
              <c16:uniqueId val="{00000000-17FA-4E6F-A5FC-AA128B1EA40E}"/>
            </c:ext>
          </c:extLst>
        </c:ser>
        <c:ser>
          <c:idx val="1"/>
          <c:order val="1"/>
          <c:tx>
            <c:strRef>
              <c:f>Arkusz1!$C$1</c:f>
              <c:strCache>
                <c:ptCount val="1"/>
                <c:pt idx="0">
                  <c:v>raczej tak</c:v>
                </c:pt>
              </c:strCache>
            </c:strRef>
          </c:tx>
          <c:spPr>
            <a:solidFill>
              <a:schemeClr val="bg1">
                <a:lumMod val="85000"/>
              </a:schemeClr>
            </a:solidFill>
            <a:ln>
              <a:noFill/>
            </a:ln>
            <a:effectLst/>
          </c:spPr>
          <c:invertIfNegative val="0"/>
          <c:dLbls>
            <c:numFmt formatCode="0%" sourceLinked="0"/>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Arkusz1!$A$2:$A$25</c:f>
              <c:strCache>
                <c:ptCount val="24"/>
                <c:pt idx="0">
                  <c:v>Ogółem</c:v>
                </c:pt>
                <c:pt idx="2">
                  <c:v>Kobieta</c:v>
                </c:pt>
                <c:pt idx="3">
                  <c:v>Mężczyzna</c:v>
                </c:pt>
                <c:pt idx="5">
                  <c:v>15–19</c:v>
                </c:pt>
                <c:pt idx="6">
                  <c:v>20–24</c:v>
                </c:pt>
                <c:pt idx="7">
                  <c:v>25–34</c:v>
                </c:pt>
                <c:pt idx="8">
                  <c:v>35–44</c:v>
                </c:pt>
                <c:pt idx="9">
                  <c:v>45–54</c:v>
                </c:pt>
                <c:pt idx="10">
                  <c:v>55–64</c:v>
                </c:pt>
                <c:pt idx="11">
                  <c:v>65+</c:v>
                </c:pt>
                <c:pt idx="13">
                  <c:v>Wyższe</c:v>
                </c:pt>
                <c:pt idx="14">
                  <c:v>Średnie</c:v>
                </c:pt>
                <c:pt idx="15">
                  <c:v>Zawodowe</c:v>
                </c:pt>
                <c:pt idx="16">
                  <c:v>Podstawowe</c:v>
                </c:pt>
                <c:pt idx="18">
                  <c:v>Wieś</c:v>
                </c:pt>
                <c:pt idx="19">
                  <c:v>Do 20 tys.</c:v>
                </c:pt>
                <c:pt idx="20">
                  <c:v>20–49 tys.</c:v>
                </c:pt>
                <c:pt idx="21">
                  <c:v>50–199 tys.</c:v>
                </c:pt>
                <c:pt idx="22">
                  <c:v>200–499 tys.</c:v>
                </c:pt>
                <c:pt idx="23">
                  <c:v>powyżej 500 tys.</c:v>
                </c:pt>
              </c:strCache>
            </c:strRef>
          </c:cat>
          <c:val>
            <c:numRef>
              <c:f>Arkusz1!$C$2:$C$25</c:f>
              <c:numCache>
                <c:formatCode>General</c:formatCode>
                <c:ptCount val="24"/>
                <c:pt idx="0" formatCode="0.00%">
                  <c:v>0.32800000000000001</c:v>
                </c:pt>
                <c:pt idx="2" formatCode="0.00%">
                  <c:v>0.32300000000000001</c:v>
                </c:pt>
                <c:pt idx="3" formatCode="0.00%">
                  <c:v>0.33200000000000002</c:v>
                </c:pt>
                <c:pt idx="5" formatCode="0.00%">
                  <c:v>0.33900000000000002</c:v>
                </c:pt>
                <c:pt idx="6" formatCode="0.00%">
                  <c:v>0.39300000000000002</c:v>
                </c:pt>
                <c:pt idx="7" formatCode="0.00%">
                  <c:v>0.36099999999999999</c:v>
                </c:pt>
                <c:pt idx="8" formatCode="0.00%">
                  <c:v>0.307</c:v>
                </c:pt>
                <c:pt idx="9" formatCode="0.00%">
                  <c:v>0.312</c:v>
                </c:pt>
                <c:pt idx="10" formatCode="0.00%">
                  <c:v>0.29099999999999998</c:v>
                </c:pt>
                <c:pt idx="11" formatCode="0.00%">
                  <c:v>0.33300000000000002</c:v>
                </c:pt>
                <c:pt idx="13" formatCode="0.00%">
                  <c:v>0.34699999999999998</c:v>
                </c:pt>
                <c:pt idx="14" formatCode="0.00%">
                  <c:v>0.316</c:v>
                </c:pt>
                <c:pt idx="15" formatCode="0.00%">
                  <c:v>0.33900000000000002</c:v>
                </c:pt>
                <c:pt idx="16" formatCode="0.00%">
                  <c:v>0.29399999999999998</c:v>
                </c:pt>
                <c:pt idx="18" formatCode="0.00%">
                  <c:v>0.33100000000000002</c:v>
                </c:pt>
                <c:pt idx="19" formatCode="0.00%">
                  <c:v>0.29499999999999998</c:v>
                </c:pt>
                <c:pt idx="20" formatCode="0.00%">
                  <c:v>0.372</c:v>
                </c:pt>
                <c:pt idx="21" formatCode="0.00%">
                  <c:v>0.28699999999999998</c:v>
                </c:pt>
                <c:pt idx="22" formatCode="0.00%">
                  <c:v>0.34599999999999997</c:v>
                </c:pt>
                <c:pt idx="23" formatCode="0.00%">
                  <c:v>0.34799999999999998</c:v>
                </c:pt>
              </c:numCache>
            </c:numRef>
          </c:val>
          <c:extLst>
            <c:ext xmlns:c16="http://schemas.microsoft.com/office/drawing/2014/chart" uri="{C3380CC4-5D6E-409C-BE32-E72D297353CC}">
              <c16:uniqueId val="{00000001-17FA-4E6F-A5FC-AA128B1EA40E}"/>
            </c:ext>
          </c:extLst>
        </c:ser>
        <c:ser>
          <c:idx val="2"/>
          <c:order val="2"/>
          <c:tx>
            <c:strRef>
              <c:f>Arkusz1!$D$1</c:f>
              <c:strCache>
                <c:ptCount val="1"/>
                <c:pt idx="0">
                  <c:v>ani tak, ani nie</c:v>
                </c:pt>
              </c:strCache>
            </c:strRef>
          </c:tx>
          <c:spPr>
            <a:solidFill>
              <a:schemeClr val="accent3"/>
            </a:solidFill>
            <a:ln>
              <a:noFill/>
            </a:ln>
            <a:effectLst/>
          </c:spPr>
          <c:invertIfNegative val="0"/>
          <c:dLbls>
            <c:numFmt formatCode="0%" sourceLinked="0"/>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Arkusz1!$A$2:$A$25</c:f>
              <c:strCache>
                <c:ptCount val="24"/>
                <c:pt idx="0">
                  <c:v>Ogółem</c:v>
                </c:pt>
                <c:pt idx="2">
                  <c:v>Kobieta</c:v>
                </c:pt>
                <c:pt idx="3">
                  <c:v>Mężczyzna</c:v>
                </c:pt>
                <c:pt idx="5">
                  <c:v>15–19</c:v>
                </c:pt>
                <c:pt idx="6">
                  <c:v>20–24</c:v>
                </c:pt>
                <c:pt idx="7">
                  <c:v>25–34</c:v>
                </c:pt>
                <c:pt idx="8">
                  <c:v>35–44</c:v>
                </c:pt>
                <c:pt idx="9">
                  <c:v>45–54</c:v>
                </c:pt>
                <c:pt idx="10">
                  <c:v>55–64</c:v>
                </c:pt>
                <c:pt idx="11">
                  <c:v>65+</c:v>
                </c:pt>
                <c:pt idx="13">
                  <c:v>Wyższe</c:v>
                </c:pt>
                <c:pt idx="14">
                  <c:v>Średnie</c:v>
                </c:pt>
                <c:pt idx="15">
                  <c:v>Zawodowe</c:v>
                </c:pt>
                <c:pt idx="16">
                  <c:v>Podstawowe</c:v>
                </c:pt>
                <c:pt idx="18">
                  <c:v>Wieś</c:v>
                </c:pt>
                <c:pt idx="19">
                  <c:v>Do 20 tys.</c:v>
                </c:pt>
                <c:pt idx="20">
                  <c:v>20–49 tys.</c:v>
                </c:pt>
                <c:pt idx="21">
                  <c:v>50–199 tys.</c:v>
                </c:pt>
                <c:pt idx="22">
                  <c:v>200–499 tys.</c:v>
                </c:pt>
                <c:pt idx="23">
                  <c:v>powyżej 500 tys.</c:v>
                </c:pt>
              </c:strCache>
            </c:strRef>
          </c:cat>
          <c:val>
            <c:numRef>
              <c:f>Arkusz1!$D$2:$D$25</c:f>
              <c:numCache>
                <c:formatCode>General</c:formatCode>
                <c:ptCount val="24"/>
                <c:pt idx="0" formatCode="0.00%">
                  <c:v>0.127</c:v>
                </c:pt>
                <c:pt idx="2" formatCode="0.00%">
                  <c:v>0.129</c:v>
                </c:pt>
                <c:pt idx="3" formatCode="0.00%">
                  <c:v>0.125</c:v>
                </c:pt>
                <c:pt idx="5" formatCode="0.00%">
                  <c:v>0.186</c:v>
                </c:pt>
                <c:pt idx="6" formatCode="0.00%">
                  <c:v>0.115</c:v>
                </c:pt>
                <c:pt idx="7" formatCode="0.00%">
                  <c:v>0.10199999999999999</c:v>
                </c:pt>
                <c:pt idx="8" formatCode="0.00%">
                  <c:v>0.14599999999999999</c:v>
                </c:pt>
                <c:pt idx="9" formatCode="0.00%">
                  <c:v>0.191</c:v>
                </c:pt>
                <c:pt idx="10" formatCode="0.00%">
                  <c:v>7.9000000000000001E-2</c:v>
                </c:pt>
                <c:pt idx="11" formatCode="0.00%">
                  <c:v>0.10100000000000001</c:v>
                </c:pt>
                <c:pt idx="13" formatCode="0.00%">
                  <c:v>0.14899999999999999</c:v>
                </c:pt>
                <c:pt idx="14" formatCode="0.00%">
                  <c:v>0.122</c:v>
                </c:pt>
                <c:pt idx="15" formatCode="0.00%">
                  <c:v>0.105</c:v>
                </c:pt>
                <c:pt idx="16" formatCode="0.00%">
                  <c:v>0.13400000000000001</c:v>
                </c:pt>
                <c:pt idx="18" formatCode="0.00%">
                  <c:v>0.13100000000000001</c:v>
                </c:pt>
                <c:pt idx="19" formatCode="0.00%">
                  <c:v>9.8000000000000004E-2</c:v>
                </c:pt>
                <c:pt idx="20" formatCode="0.00%">
                  <c:v>0.13300000000000001</c:v>
                </c:pt>
                <c:pt idx="21" formatCode="0.00%">
                  <c:v>0.14000000000000001</c:v>
                </c:pt>
                <c:pt idx="22" formatCode="0.00%">
                  <c:v>9.9000000000000005E-2</c:v>
                </c:pt>
                <c:pt idx="23" formatCode="0.00%">
                  <c:v>0.13900000000000001</c:v>
                </c:pt>
              </c:numCache>
            </c:numRef>
          </c:val>
          <c:extLst>
            <c:ext xmlns:c16="http://schemas.microsoft.com/office/drawing/2014/chart" uri="{C3380CC4-5D6E-409C-BE32-E72D297353CC}">
              <c16:uniqueId val="{00000002-17FA-4E6F-A5FC-AA128B1EA40E}"/>
            </c:ext>
          </c:extLst>
        </c:ser>
        <c:ser>
          <c:idx val="3"/>
          <c:order val="3"/>
          <c:tx>
            <c:strRef>
              <c:f>Arkusz1!$E$1</c:f>
              <c:strCache>
                <c:ptCount val="1"/>
                <c:pt idx="0">
                  <c:v>raczej nie</c:v>
                </c:pt>
              </c:strCache>
            </c:strRef>
          </c:tx>
          <c:spPr>
            <a:solidFill>
              <a:schemeClr val="accent4"/>
            </a:solidFill>
            <a:ln>
              <a:noFill/>
            </a:ln>
            <a:effectLst/>
          </c:spPr>
          <c:invertIfNegative val="0"/>
          <c:dLbls>
            <c:numFmt formatCode="0%" sourceLinked="0"/>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Arkusz1!$A$2:$A$25</c:f>
              <c:strCache>
                <c:ptCount val="24"/>
                <c:pt idx="0">
                  <c:v>Ogółem</c:v>
                </c:pt>
                <c:pt idx="2">
                  <c:v>Kobieta</c:v>
                </c:pt>
                <c:pt idx="3">
                  <c:v>Mężczyzna</c:v>
                </c:pt>
                <c:pt idx="5">
                  <c:v>15–19</c:v>
                </c:pt>
                <c:pt idx="6">
                  <c:v>20–24</c:v>
                </c:pt>
                <c:pt idx="7">
                  <c:v>25–34</c:v>
                </c:pt>
                <c:pt idx="8">
                  <c:v>35–44</c:v>
                </c:pt>
                <c:pt idx="9">
                  <c:v>45–54</c:v>
                </c:pt>
                <c:pt idx="10">
                  <c:v>55–64</c:v>
                </c:pt>
                <c:pt idx="11">
                  <c:v>65+</c:v>
                </c:pt>
                <c:pt idx="13">
                  <c:v>Wyższe</c:v>
                </c:pt>
                <c:pt idx="14">
                  <c:v>Średnie</c:v>
                </c:pt>
                <c:pt idx="15">
                  <c:v>Zawodowe</c:v>
                </c:pt>
                <c:pt idx="16">
                  <c:v>Podstawowe</c:v>
                </c:pt>
                <c:pt idx="18">
                  <c:v>Wieś</c:v>
                </c:pt>
                <c:pt idx="19">
                  <c:v>Do 20 tys.</c:v>
                </c:pt>
                <c:pt idx="20">
                  <c:v>20–49 tys.</c:v>
                </c:pt>
                <c:pt idx="21">
                  <c:v>50–199 tys.</c:v>
                </c:pt>
                <c:pt idx="22">
                  <c:v>200–499 tys.</c:v>
                </c:pt>
                <c:pt idx="23">
                  <c:v>powyżej 500 tys.</c:v>
                </c:pt>
              </c:strCache>
            </c:strRef>
          </c:cat>
          <c:val>
            <c:numRef>
              <c:f>Arkusz1!$E$2:$E$25</c:f>
              <c:numCache>
                <c:formatCode>General</c:formatCode>
                <c:ptCount val="24"/>
                <c:pt idx="0" formatCode="0.00%">
                  <c:v>0.13700000000000001</c:v>
                </c:pt>
                <c:pt idx="2" formatCode="0.00%">
                  <c:v>0.14799999999999999</c:v>
                </c:pt>
                <c:pt idx="3" formatCode="0.00%">
                  <c:v>0.127</c:v>
                </c:pt>
                <c:pt idx="5" formatCode="0.00%">
                  <c:v>0.20300000000000001</c:v>
                </c:pt>
                <c:pt idx="6" formatCode="0.00%">
                  <c:v>8.2000000000000003E-2</c:v>
                </c:pt>
                <c:pt idx="7" formatCode="0.00%">
                  <c:v>0.11600000000000001</c:v>
                </c:pt>
                <c:pt idx="8" formatCode="0.00%">
                  <c:v>0.151</c:v>
                </c:pt>
                <c:pt idx="9" formatCode="0.00%">
                  <c:v>0.14199999999999999</c:v>
                </c:pt>
                <c:pt idx="10" formatCode="0.00%">
                  <c:v>0.17299999999999999</c:v>
                </c:pt>
                <c:pt idx="11" formatCode="0.00%">
                  <c:v>0.114</c:v>
                </c:pt>
                <c:pt idx="13" formatCode="0.00%">
                  <c:v>0.11899999999999999</c:v>
                </c:pt>
                <c:pt idx="14" formatCode="0.00%">
                  <c:v>0.152</c:v>
                </c:pt>
                <c:pt idx="15" formatCode="0.00%">
                  <c:v>0.13</c:v>
                </c:pt>
                <c:pt idx="16" formatCode="0.00%">
                  <c:v>0.151</c:v>
                </c:pt>
                <c:pt idx="18" formatCode="0.00%">
                  <c:v>0.13400000000000001</c:v>
                </c:pt>
                <c:pt idx="19" formatCode="0.00%">
                  <c:v>0.156</c:v>
                </c:pt>
                <c:pt idx="20" formatCode="0.00%">
                  <c:v>0.13300000000000001</c:v>
                </c:pt>
                <c:pt idx="21" formatCode="0.00%">
                  <c:v>0.154</c:v>
                </c:pt>
                <c:pt idx="22" formatCode="0.00%">
                  <c:v>0.123</c:v>
                </c:pt>
                <c:pt idx="23" formatCode="0.00%">
                  <c:v>0.122</c:v>
                </c:pt>
              </c:numCache>
            </c:numRef>
          </c:val>
          <c:extLst>
            <c:ext xmlns:c16="http://schemas.microsoft.com/office/drawing/2014/chart" uri="{C3380CC4-5D6E-409C-BE32-E72D297353CC}">
              <c16:uniqueId val="{00000003-17FA-4E6F-A5FC-AA128B1EA40E}"/>
            </c:ext>
          </c:extLst>
        </c:ser>
        <c:ser>
          <c:idx val="4"/>
          <c:order val="4"/>
          <c:tx>
            <c:strRef>
              <c:f>Arkusz1!$F$1</c:f>
              <c:strCache>
                <c:ptCount val="1"/>
                <c:pt idx="0">
                  <c:v>zdecydowanie nie</c:v>
                </c:pt>
              </c:strCache>
            </c:strRef>
          </c:tx>
          <c:spPr>
            <a:solidFill>
              <a:schemeClr val="accent5"/>
            </a:solidFill>
            <a:ln>
              <a:noFill/>
            </a:ln>
            <a:effectLst/>
          </c:spPr>
          <c:invertIfNegative val="0"/>
          <c:dLbls>
            <c:numFmt formatCode="0%" sourceLinked="0"/>
            <c:spPr>
              <a:noFill/>
              <a:ln>
                <a:noFill/>
              </a:ln>
              <a:effectLst/>
            </c:spPr>
            <c:txPr>
              <a:bodyPr rot="0" spcFirstLastPara="1" vertOverflow="ellipsis" vert="horz" wrap="square" anchor="ctr" anchorCtr="1"/>
              <a:lstStyle/>
              <a:p>
                <a:pPr>
                  <a:defRPr sz="105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Arkusz1!$A$2:$A$25</c:f>
              <c:strCache>
                <c:ptCount val="24"/>
                <c:pt idx="0">
                  <c:v>Ogółem</c:v>
                </c:pt>
                <c:pt idx="2">
                  <c:v>Kobieta</c:v>
                </c:pt>
                <c:pt idx="3">
                  <c:v>Mężczyzna</c:v>
                </c:pt>
                <c:pt idx="5">
                  <c:v>15–19</c:v>
                </c:pt>
                <c:pt idx="6">
                  <c:v>20–24</c:v>
                </c:pt>
                <c:pt idx="7">
                  <c:v>25–34</c:v>
                </c:pt>
                <c:pt idx="8">
                  <c:v>35–44</c:v>
                </c:pt>
                <c:pt idx="9">
                  <c:v>45–54</c:v>
                </c:pt>
                <c:pt idx="10">
                  <c:v>55–64</c:v>
                </c:pt>
                <c:pt idx="11">
                  <c:v>65+</c:v>
                </c:pt>
                <c:pt idx="13">
                  <c:v>Wyższe</c:v>
                </c:pt>
                <c:pt idx="14">
                  <c:v>Średnie</c:v>
                </c:pt>
                <c:pt idx="15">
                  <c:v>Zawodowe</c:v>
                </c:pt>
                <c:pt idx="16">
                  <c:v>Podstawowe</c:v>
                </c:pt>
                <c:pt idx="18">
                  <c:v>Wieś</c:v>
                </c:pt>
                <c:pt idx="19">
                  <c:v>Do 20 tys.</c:v>
                </c:pt>
                <c:pt idx="20">
                  <c:v>20–49 tys.</c:v>
                </c:pt>
                <c:pt idx="21">
                  <c:v>50–199 tys.</c:v>
                </c:pt>
                <c:pt idx="22">
                  <c:v>200–499 tys.</c:v>
                </c:pt>
                <c:pt idx="23">
                  <c:v>powyżej 500 tys.</c:v>
                </c:pt>
              </c:strCache>
            </c:strRef>
          </c:cat>
          <c:val>
            <c:numRef>
              <c:f>Arkusz1!$F$2:$F$25</c:f>
              <c:numCache>
                <c:formatCode>General</c:formatCode>
                <c:ptCount val="24"/>
                <c:pt idx="0" formatCode="0.00%">
                  <c:v>1.7000000000000001E-2</c:v>
                </c:pt>
                <c:pt idx="2" formatCode="0.00%">
                  <c:v>2.1999999999999999E-2</c:v>
                </c:pt>
                <c:pt idx="3" formatCode="0.00%">
                  <c:v>1.2E-2</c:v>
                </c:pt>
                <c:pt idx="5" formatCode="0.00%">
                  <c:v>0</c:v>
                </c:pt>
                <c:pt idx="6" formatCode="0.00%">
                  <c:v>3.3000000000000002E-2</c:v>
                </c:pt>
                <c:pt idx="7" formatCode="0.00%">
                  <c:v>0.02</c:v>
                </c:pt>
                <c:pt idx="8" formatCode="0.00%">
                  <c:v>1.6E-2</c:v>
                </c:pt>
                <c:pt idx="9" formatCode="0.00%">
                  <c:v>1.4E-2</c:v>
                </c:pt>
                <c:pt idx="10" formatCode="0.00%">
                  <c:v>8.0000000000000002E-3</c:v>
                </c:pt>
                <c:pt idx="11" formatCode="0.00%">
                  <c:v>2.1999999999999999E-2</c:v>
                </c:pt>
                <c:pt idx="13" formatCode="0.00%">
                  <c:v>1.0999999999999999E-2</c:v>
                </c:pt>
                <c:pt idx="14" formatCode="0.00%">
                  <c:v>1.4999999999999999E-2</c:v>
                </c:pt>
                <c:pt idx="15" formatCode="0.00%">
                  <c:v>2.5000000000000001E-2</c:v>
                </c:pt>
                <c:pt idx="16" formatCode="0.00%">
                  <c:v>1.7000000000000001E-2</c:v>
                </c:pt>
                <c:pt idx="18" formatCode="0.00%">
                  <c:v>8.0000000000000002E-3</c:v>
                </c:pt>
                <c:pt idx="19" formatCode="0.00%">
                  <c:v>1.6E-2</c:v>
                </c:pt>
                <c:pt idx="20" formatCode="0.00%">
                  <c:v>1.7999999999999999E-2</c:v>
                </c:pt>
                <c:pt idx="21" formatCode="0.00%">
                  <c:v>1.4E-2</c:v>
                </c:pt>
                <c:pt idx="22" formatCode="0.00%">
                  <c:v>1.2E-2</c:v>
                </c:pt>
                <c:pt idx="23" formatCode="0.00%">
                  <c:v>5.1999999999999998E-2</c:v>
                </c:pt>
              </c:numCache>
            </c:numRef>
          </c:val>
          <c:extLst>
            <c:ext xmlns:c16="http://schemas.microsoft.com/office/drawing/2014/chart" uri="{C3380CC4-5D6E-409C-BE32-E72D297353CC}">
              <c16:uniqueId val="{00000004-17FA-4E6F-A5FC-AA128B1EA40E}"/>
            </c:ext>
          </c:extLst>
        </c:ser>
        <c:ser>
          <c:idx val="5"/>
          <c:order val="5"/>
          <c:tx>
            <c:strRef>
              <c:f>Arkusz1!$G$1</c:f>
              <c:strCache>
                <c:ptCount val="1"/>
                <c:pt idx="0">
                  <c:v>nie wiem</c:v>
                </c:pt>
              </c:strCache>
            </c:strRef>
          </c:tx>
          <c:spPr>
            <a:solidFill>
              <a:schemeClr val="accent6"/>
            </a:solidFill>
            <a:ln>
              <a:noFill/>
            </a:ln>
            <a:effectLst/>
          </c:spPr>
          <c:invertIfNegative val="0"/>
          <c:dLbls>
            <c:numFmt formatCode="0%" sourceLinked="0"/>
            <c:spPr>
              <a:noFill/>
              <a:ln>
                <a:noFill/>
              </a:ln>
              <a:effectLst/>
            </c:spPr>
            <c:txPr>
              <a:bodyPr rot="0" spcFirstLastPara="1" vertOverflow="ellipsis" vert="horz" wrap="square" anchor="ctr" anchorCtr="1"/>
              <a:lstStyle/>
              <a:p>
                <a:pPr>
                  <a:defRPr sz="105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Arkusz1!$A$2:$A$25</c:f>
              <c:strCache>
                <c:ptCount val="24"/>
                <c:pt idx="0">
                  <c:v>Ogółem</c:v>
                </c:pt>
                <c:pt idx="2">
                  <c:v>Kobieta</c:v>
                </c:pt>
                <c:pt idx="3">
                  <c:v>Mężczyzna</c:v>
                </c:pt>
                <c:pt idx="5">
                  <c:v>15–19</c:v>
                </c:pt>
                <c:pt idx="6">
                  <c:v>20–24</c:v>
                </c:pt>
                <c:pt idx="7">
                  <c:v>25–34</c:v>
                </c:pt>
                <c:pt idx="8">
                  <c:v>35–44</c:v>
                </c:pt>
                <c:pt idx="9">
                  <c:v>45–54</c:v>
                </c:pt>
                <c:pt idx="10">
                  <c:v>55–64</c:v>
                </c:pt>
                <c:pt idx="11">
                  <c:v>65+</c:v>
                </c:pt>
                <c:pt idx="13">
                  <c:v>Wyższe</c:v>
                </c:pt>
                <c:pt idx="14">
                  <c:v>Średnie</c:v>
                </c:pt>
                <c:pt idx="15">
                  <c:v>Zawodowe</c:v>
                </c:pt>
                <c:pt idx="16">
                  <c:v>Podstawowe</c:v>
                </c:pt>
                <c:pt idx="18">
                  <c:v>Wieś</c:v>
                </c:pt>
                <c:pt idx="19">
                  <c:v>Do 20 tys.</c:v>
                </c:pt>
                <c:pt idx="20">
                  <c:v>20–49 tys.</c:v>
                </c:pt>
                <c:pt idx="21">
                  <c:v>50–199 tys.</c:v>
                </c:pt>
                <c:pt idx="22">
                  <c:v>200–499 tys.</c:v>
                </c:pt>
                <c:pt idx="23">
                  <c:v>powyżej 500 tys.</c:v>
                </c:pt>
              </c:strCache>
            </c:strRef>
          </c:cat>
          <c:val>
            <c:numRef>
              <c:f>Arkusz1!$G$2:$G$25</c:f>
              <c:numCache>
                <c:formatCode>General</c:formatCode>
                <c:ptCount val="24"/>
                <c:pt idx="0" formatCode="0.00%">
                  <c:v>8.2000000000000003E-2</c:v>
                </c:pt>
                <c:pt idx="2" formatCode="0.00%">
                  <c:v>0.1</c:v>
                </c:pt>
                <c:pt idx="3" formatCode="0.00%">
                  <c:v>6.4000000000000001E-2</c:v>
                </c:pt>
                <c:pt idx="5" formatCode="0.00%">
                  <c:v>5.0999999999999997E-2</c:v>
                </c:pt>
                <c:pt idx="6" formatCode="0.00%">
                  <c:v>8.2000000000000003E-2</c:v>
                </c:pt>
                <c:pt idx="7" formatCode="0.00%">
                  <c:v>8.7999999999999995E-2</c:v>
                </c:pt>
                <c:pt idx="8" formatCode="0.00%">
                  <c:v>6.8000000000000005E-2</c:v>
                </c:pt>
                <c:pt idx="9" formatCode="0.00%">
                  <c:v>8.5000000000000006E-2</c:v>
                </c:pt>
                <c:pt idx="10" formatCode="0.00%">
                  <c:v>0.126</c:v>
                </c:pt>
                <c:pt idx="11" formatCode="0.00%">
                  <c:v>7.0000000000000007E-2</c:v>
                </c:pt>
                <c:pt idx="13" formatCode="0.00%">
                  <c:v>6.7000000000000004E-2</c:v>
                </c:pt>
                <c:pt idx="14" formatCode="0.00%">
                  <c:v>7.0000000000000007E-2</c:v>
                </c:pt>
                <c:pt idx="15" formatCode="0.00%">
                  <c:v>7.9000000000000001E-2</c:v>
                </c:pt>
                <c:pt idx="16" formatCode="0.00%">
                  <c:v>0.151</c:v>
                </c:pt>
                <c:pt idx="18" formatCode="0.00%">
                  <c:v>8.4000000000000005E-2</c:v>
                </c:pt>
                <c:pt idx="19" formatCode="0.00%">
                  <c:v>6.6000000000000003E-2</c:v>
                </c:pt>
                <c:pt idx="20" formatCode="0.00%">
                  <c:v>0.106</c:v>
                </c:pt>
                <c:pt idx="21" formatCode="0.00%">
                  <c:v>4.2000000000000003E-2</c:v>
                </c:pt>
                <c:pt idx="22" formatCode="0.00%">
                  <c:v>0.13600000000000001</c:v>
                </c:pt>
                <c:pt idx="23" formatCode="0.00%">
                  <c:v>7.8E-2</c:v>
                </c:pt>
              </c:numCache>
            </c:numRef>
          </c:val>
          <c:extLst>
            <c:ext xmlns:c16="http://schemas.microsoft.com/office/drawing/2014/chart" uri="{C3380CC4-5D6E-409C-BE32-E72D297353CC}">
              <c16:uniqueId val="{00000005-17FA-4E6F-A5FC-AA128B1EA40E}"/>
            </c:ext>
          </c:extLst>
        </c:ser>
        <c:dLbls>
          <c:showLegendKey val="0"/>
          <c:showVal val="0"/>
          <c:showCatName val="0"/>
          <c:showSerName val="0"/>
          <c:showPercent val="0"/>
          <c:showBubbleSize val="0"/>
        </c:dLbls>
        <c:gapWidth val="60"/>
        <c:overlap val="100"/>
        <c:axId val="875697471"/>
        <c:axId val="875698911"/>
      </c:barChart>
      <c:catAx>
        <c:axId val="875697471"/>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875698911"/>
        <c:crosses val="autoZero"/>
        <c:auto val="1"/>
        <c:lblAlgn val="ctr"/>
        <c:lblOffset val="100"/>
        <c:noMultiLvlLbl val="0"/>
      </c:catAx>
      <c:valAx>
        <c:axId val="875698911"/>
        <c:scaling>
          <c:orientation val="minMax"/>
        </c:scaling>
        <c:delete val="0"/>
        <c:axPos val="t"/>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875697471"/>
        <c:crosses val="autoZero"/>
        <c:crossBetween val="between"/>
      </c:valAx>
      <c:spPr>
        <a:noFill/>
        <a:ln>
          <a:noFill/>
        </a:ln>
        <a:effectLst/>
      </c:spPr>
    </c:plotArea>
    <c:legend>
      <c:legendPos val="b"/>
      <c:layout>
        <c:manualLayout>
          <c:xMode val="edge"/>
          <c:yMode val="edge"/>
          <c:x val="1.5327719451735215E-2"/>
          <c:y val="0.89344377205074887"/>
          <c:w val="0.97165937591134444"/>
          <c:h val="9.1719432697025635E-2"/>
        </c:manualLayout>
      </c:layout>
      <c:overlay val="0"/>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1050">
          <a:latin typeface="Arial" panose="020B0604020202020204" pitchFamily="34" charset="0"/>
          <a:cs typeface="Arial" panose="020B0604020202020204" pitchFamily="34" charset="0"/>
        </a:defRPr>
      </a:pPr>
      <a:endParaRPr lang="pl-PL"/>
    </a:p>
  </c:txPr>
  <c:externalData r:id="rId3">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Arkusz1!$B$1</c:f>
              <c:strCache>
                <c:ptCount val="1"/>
                <c:pt idx="0">
                  <c:v>Seria 1</c:v>
                </c:pt>
              </c:strCache>
            </c:strRef>
          </c:tx>
          <c:spPr>
            <a:solidFill>
              <a:srgbClr val="061A3D"/>
            </a:solidFill>
            <a:ln>
              <a:noFill/>
            </a:ln>
            <a:effectLst/>
          </c:spPr>
          <c:invertIfNegative val="0"/>
          <c:dLbls>
            <c:numFmt formatCode="0%" sourceLinked="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Arkusz1!$A$2:$A$12</c:f>
              <c:strCache>
                <c:ptCount val="11"/>
                <c:pt idx="0">
                  <c:v>Rozwój zawodowy i kwalifikacje</c:v>
                </c:pt>
                <c:pt idx="1">
                  <c:v>Zatrudnienie i stabilna praca</c:v>
                </c:pt>
                <c:pt idx="2">
                  <c:v>Rodzina i czas wolny</c:v>
                </c:pt>
                <c:pt idx="3">
                  <c:v>Rozwój firmy lub gospodarstwa</c:v>
                </c:pt>
                <c:pt idx="4">
                  <c:v>Warunki mieszkaniowe i energetyczne</c:v>
                </c:pt>
                <c:pt idx="5">
                  <c:v>Warunki pracy</c:v>
                </c:pt>
                <c:pt idx="6">
                  <c:v>Dostęp do edukacji i szkoleń</c:v>
                </c:pt>
                <c:pt idx="7">
                  <c:v>Otoczenie i środowisko</c:v>
                </c:pt>
                <c:pt idx="8">
                  <c:v>Mobilność i transport</c:v>
                </c:pt>
                <c:pt idx="9">
                  <c:v>Nowe usługi, infrastruktura, technologie</c:v>
                </c:pt>
                <c:pt idx="10">
                  <c:v>Samopoczucie i bezpieczeństwo</c:v>
                </c:pt>
              </c:strCache>
            </c:strRef>
          </c:cat>
          <c:val>
            <c:numRef>
              <c:f>Arkusz1!$B$2:$B$12</c:f>
              <c:numCache>
                <c:formatCode>0.00%</c:formatCode>
                <c:ptCount val="11"/>
                <c:pt idx="0">
                  <c:v>3.0000000000000001E-3</c:v>
                </c:pt>
                <c:pt idx="1">
                  <c:v>3.0000000000000001E-3</c:v>
                </c:pt>
                <c:pt idx="2">
                  <c:v>3.0000000000000001E-3</c:v>
                </c:pt>
                <c:pt idx="3">
                  <c:v>8.9999999999999993E-3</c:v>
                </c:pt>
                <c:pt idx="4">
                  <c:v>2.9000000000000001E-2</c:v>
                </c:pt>
                <c:pt idx="5">
                  <c:v>3.2000000000000001E-2</c:v>
                </c:pt>
                <c:pt idx="6">
                  <c:v>4.9000000000000002E-2</c:v>
                </c:pt>
                <c:pt idx="7">
                  <c:v>0.06</c:v>
                </c:pt>
                <c:pt idx="8">
                  <c:v>8.8999999999999996E-2</c:v>
                </c:pt>
                <c:pt idx="9">
                  <c:v>9.7000000000000003E-2</c:v>
                </c:pt>
                <c:pt idx="10">
                  <c:v>0.628</c:v>
                </c:pt>
              </c:numCache>
            </c:numRef>
          </c:val>
          <c:extLst>
            <c:ext xmlns:c16="http://schemas.microsoft.com/office/drawing/2014/chart" uri="{C3380CC4-5D6E-409C-BE32-E72D297353CC}">
              <c16:uniqueId val="{00000000-537E-4C81-92AC-3B8A502DE4D0}"/>
            </c:ext>
          </c:extLst>
        </c:ser>
        <c:dLbls>
          <c:showLegendKey val="0"/>
          <c:showVal val="0"/>
          <c:showCatName val="0"/>
          <c:showSerName val="0"/>
          <c:showPercent val="0"/>
          <c:showBubbleSize val="0"/>
        </c:dLbls>
        <c:gapWidth val="182"/>
        <c:axId val="1012821679"/>
        <c:axId val="1012819279"/>
      </c:barChart>
      <c:catAx>
        <c:axId val="1012821679"/>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012819279"/>
        <c:crosses val="autoZero"/>
        <c:auto val="1"/>
        <c:lblAlgn val="ctr"/>
        <c:lblOffset val="100"/>
        <c:noMultiLvlLbl val="0"/>
      </c:catAx>
      <c:valAx>
        <c:axId val="1012819279"/>
        <c:scaling>
          <c:orientation val="minMax"/>
        </c:scaling>
        <c:delete val="0"/>
        <c:axPos val="b"/>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012821679"/>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1100">
          <a:latin typeface="Arial" panose="020B0604020202020204" pitchFamily="34" charset="0"/>
          <a:cs typeface="Arial" panose="020B0604020202020204" pitchFamily="34" charset="0"/>
        </a:defRPr>
      </a:pPr>
      <a:endParaRPr lang="pl-PL"/>
    </a:p>
  </c:txPr>
  <c:externalData r:id="rId3">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Arkusz1!$B$1</c:f>
              <c:strCache>
                <c:ptCount val="1"/>
                <c:pt idx="0">
                  <c:v>Odsetek „tak”</c:v>
                </c:pt>
              </c:strCache>
            </c:strRef>
          </c:tx>
          <c:spPr>
            <a:ln w="28575" cap="rnd">
              <a:solidFill>
                <a:srgbClr val="061A3D"/>
              </a:solidFill>
              <a:round/>
            </a:ln>
            <a:effectLst/>
          </c:spPr>
          <c:marker>
            <c:symbol val="circle"/>
            <c:size val="5"/>
            <c:spPr>
              <a:solidFill>
                <a:srgbClr val="061A3D"/>
              </a:solidFill>
              <a:ln w="9525">
                <a:solidFill>
                  <a:srgbClr val="061A3D"/>
                </a:solidFill>
              </a:ln>
              <a:effectLst/>
            </c:spPr>
          </c:marker>
          <c:dLbls>
            <c:numFmt formatCode="0%" sourceLinked="0"/>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Arkusz1!$A$2:$A$10</c:f>
              <c:strCache>
                <c:ptCount val="9"/>
                <c:pt idx="0">
                  <c:v>2016 N=5366</c:v>
                </c:pt>
                <c:pt idx="1">
                  <c:v>2017 N=919</c:v>
                </c:pt>
                <c:pt idx="2">
                  <c:v>2018 N=5615</c:v>
                </c:pt>
                <c:pt idx="3">
                  <c:v>2019 N=905</c:v>
                </c:pt>
                <c:pt idx="4">
                  <c:v>2020 N=5514</c:v>
                </c:pt>
                <c:pt idx="5">
                  <c:v>2021 N=887</c:v>
                </c:pt>
                <c:pt idx="6">
                  <c:v>2022 N=5279</c:v>
                </c:pt>
                <c:pt idx="7">
                  <c:v>2023 N=888</c:v>
                </c:pt>
                <c:pt idx="8">
                  <c:v>2025 N=955</c:v>
                </c:pt>
              </c:strCache>
            </c:strRef>
          </c:cat>
          <c:val>
            <c:numRef>
              <c:f>Arkusz1!$B$2:$B$10</c:f>
              <c:numCache>
                <c:formatCode>0%</c:formatCode>
                <c:ptCount val="9"/>
                <c:pt idx="0">
                  <c:v>0.43</c:v>
                </c:pt>
                <c:pt idx="1">
                  <c:v>0.42</c:v>
                </c:pt>
                <c:pt idx="2">
                  <c:v>0.46</c:v>
                </c:pt>
                <c:pt idx="3">
                  <c:v>0.38</c:v>
                </c:pt>
                <c:pt idx="4">
                  <c:v>0.37</c:v>
                </c:pt>
                <c:pt idx="5">
                  <c:v>0.43</c:v>
                </c:pt>
                <c:pt idx="6">
                  <c:v>0.47</c:v>
                </c:pt>
                <c:pt idx="7">
                  <c:v>0.45</c:v>
                </c:pt>
                <c:pt idx="8" formatCode="0.00%">
                  <c:v>0.45</c:v>
                </c:pt>
              </c:numCache>
            </c:numRef>
          </c:val>
          <c:smooth val="0"/>
          <c:extLst>
            <c:ext xmlns:c16="http://schemas.microsoft.com/office/drawing/2014/chart" uri="{C3380CC4-5D6E-409C-BE32-E72D297353CC}">
              <c16:uniqueId val="{00000000-E670-48F6-8521-8BB5B8F74412}"/>
            </c:ext>
          </c:extLst>
        </c:ser>
        <c:dLbls>
          <c:showLegendKey val="0"/>
          <c:showVal val="0"/>
          <c:showCatName val="0"/>
          <c:showSerName val="0"/>
          <c:showPercent val="0"/>
          <c:showBubbleSize val="0"/>
        </c:dLbls>
        <c:marker val="1"/>
        <c:smooth val="0"/>
        <c:axId val="877883119"/>
        <c:axId val="877885519"/>
      </c:lineChart>
      <c:catAx>
        <c:axId val="87788311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crossAx val="877885519"/>
        <c:crosses val="autoZero"/>
        <c:auto val="1"/>
        <c:lblAlgn val="ctr"/>
        <c:lblOffset val="100"/>
        <c:noMultiLvlLbl val="0"/>
      </c:catAx>
      <c:valAx>
        <c:axId val="877885519"/>
        <c:scaling>
          <c:orientation val="minMax"/>
          <c:max val="1"/>
          <c:min val="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crossAx val="877883119"/>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1100"/>
      </a:pPr>
      <a:endParaRPr lang="pl-PL"/>
    </a:p>
  </c:txPr>
  <c:externalData r:id="rId3">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percentStacked"/>
        <c:varyColors val="0"/>
        <c:ser>
          <c:idx val="0"/>
          <c:order val="0"/>
          <c:tx>
            <c:strRef>
              <c:f>Arkusz1!$B$1</c:f>
              <c:strCache>
                <c:ptCount val="1"/>
                <c:pt idx="0">
                  <c:v>tak</c:v>
                </c:pt>
              </c:strCache>
            </c:strRef>
          </c:tx>
          <c:spPr>
            <a:solidFill>
              <a:srgbClr val="061A3D"/>
            </a:solidFill>
            <a:ln>
              <a:noFill/>
            </a:ln>
            <a:effectLst/>
          </c:spPr>
          <c:invertIfNegative val="0"/>
          <c:dLbls>
            <c:dLbl>
              <c:idx val="9"/>
              <c:numFmt formatCode="0%" sourceLinked="0"/>
              <c:spPr>
                <a:solidFill>
                  <a:srgbClr val="EE0000"/>
                </a:solidFill>
                <a:ln>
                  <a:noFill/>
                </a:ln>
                <a:effectLst/>
              </c:spPr>
              <c:txPr>
                <a:bodyPr rot="0" spcFirstLastPara="1" vertOverflow="ellipsis" vert="horz" wrap="square" anchor="ctr" anchorCtr="1"/>
                <a:lstStyle/>
                <a:p>
                  <a:pPr>
                    <a:defRPr sz="1100" b="0" i="0" u="none" strike="noStrike" kern="1200" baseline="0">
                      <a:solidFill>
                        <a:schemeClr val="bg1"/>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extLst>
                <c:ext xmlns:c16="http://schemas.microsoft.com/office/drawing/2014/chart" uri="{C3380CC4-5D6E-409C-BE32-E72D297353CC}">
                  <c16:uniqueId val="{00000000-F73F-43C6-9865-7712DE3F73E2}"/>
                </c:ext>
              </c:extLst>
            </c:dLbl>
            <c:dLbl>
              <c:idx val="20"/>
              <c:numFmt formatCode="0%" sourceLinked="0"/>
              <c:spPr>
                <a:solidFill>
                  <a:srgbClr val="EE0000"/>
                </a:solidFill>
                <a:ln>
                  <a:noFill/>
                </a:ln>
                <a:effectLst/>
              </c:spPr>
              <c:txPr>
                <a:bodyPr rot="0" spcFirstLastPara="1" vertOverflow="ellipsis" vert="horz" wrap="square" anchor="ctr" anchorCtr="1"/>
                <a:lstStyle/>
                <a:p>
                  <a:pPr>
                    <a:defRPr sz="1100" b="0" i="0" u="none" strike="noStrike" kern="1200" baseline="0">
                      <a:solidFill>
                        <a:schemeClr val="bg1"/>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extLst>
                <c:ext xmlns:c16="http://schemas.microsoft.com/office/drawing/2014/chart" uri="{C3380CC4-5D6E-409C-BE32-E72D297353CC}">
                  <c16:uniqueId val="{00000002-5A8B-4CDF-8834-06D0D6A04AAD}"/>
                </c:ext>
              </c:extLst>
            </c:dLbl>
            <c:numFmt formatCode="0%" sourceLinked="0"/>
            <c:spPr>
              <a:noFill/>
              <a:ln>
                <a:noFill/>
              </a:ln>
              <a:effectLst/>
            </c:spPr>
            <c:txPr>
              <a:bodyPr rot="0" spcFirstLastPara="1" vertOverflow="ellipsis" vert="horz" wrap="square" anchor="ctr" anchorCtr="1"/>
              <a:lstStyle/>
              <a:p>
                <a:pPr>
                  <a:defRPr sz="1100" b="0" i="0" u="none" strike="noStrike" kern="1200" baseline="0">
                    <a:solidFill>
                      <a:schemeClr val="bg1"/>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Arkusz1!$A$2:$A$25</c:f>
              <c:strCache>
                <c:ptCount val="24"/>
                <c:pt idx="0">
                  <c:v>Ogółem</c:v>
                </c:pt>
                <c:pt idx="2">
                  <c:v> kobiety</c:v>
                </c:pt>
                <c:pt idx="3">
                  <c:v> mężczyźni</c:v>
                </c:pt>
                <c:pt idx="5">
                  <c:v> 15–19</c:v>
                </c:pt>
                <c:pt idx="6">
                  <c:v> 20–24</c:v>
                </c:pt>
                <c:pt idx="7">
                  <c:v> 25–34</c:v>
                </c:pt>
                <c:pt idx="8">
                  <c:v> 35–44</c:v>
                </c:pt>
                <c:pt idx="9">
                  <c:v> 45–54</c:v>
                </c:pt>
                <c:pt idx="10">
                  <c:v> 55–64</c:v>
                </c:pt>
                <c:pt idx="11">
                  <c:v> 65+</c:v>
                </c:pt>
                <c:pt idx="13">
                  <c:v> wyższe</c:v>
                </c:pt>
                <c:pt idx="14">
                  <c:v> średnie</c:v>
                </c:pt>
                <c:pt idx="15">
                  <c:v> zawodowe</c:v>
                </c:pt>
                <c:pt idx="16">
                  <c:v> podstawowe</c:v>
                </c:pt>
                <c:pt idx="18">
                  <c:v>Wieś</c:v>
                </c:pt>
                <c:pt idx="19">
                  <c:v>Miasta do 20 tys.</c:v>
                </c:pt>
                <c:pt idx="20">
                  <c:v>Miasta 20–49 tys.</c:v>
                </c:pt>
                <c:pt idx="21">
                  <c:v>Miasta 50–199 tys.</c:v>
                </c:pt>
                <c:pt idx="22">
                  <c:v>Miasta 200–499 tys.</c:v>
                </c:pt>
                <c:pt idx="23">
                  <c:v>Miasta powyżej 500 tys.</c:v>
                </c:pt>
              </c:strCache>
            </c:strRef>
          </c:cat>
          <c:val>
            <c:numRef>
              <c:f>Arkusz1!$B$2:$B$25</c:f>
              <c:numCache>
                <c:formatCode>General</c:formatCode>
                <c:ptCount val="24"/>
                <c:pt idx="0" formatCode="0.00%">
                  <c:v>0.44800000000000001</c:v>
                </c:pt>
                <c:pt idx="2" formatCode="0.00%">
                  <c:v>0.45</c:v>
                </c:pt>
                <c:pt idx="3" formatCode="0.00%">
                  <c:v>0.44700000000000001</c:v>
                </c:pt>
                <c:pt idx="5" formatCode="0.00%">
                  <c:v>0.45800000000000002</c:v>
                </c:pt>
                <c:pt idx="6" formatCode="0.00%">
                  <c:v>0.39300000000000002</c:v>
                </c:pt>
                <c:pt idx="7" formatCode="0.00%">
                  <c:v>0.46899999999999997</c:v>
                </c:pt>
                <c:pt idx="8" formatCode="0.00%">
                  <c:v>0.432</c:v>
                </c:pt>
                <c:pt idx="9" formatCode="0.00%">
                  <c:v>0.51800000000000002</c:v>
                </c:pt>
                <c:pt idx="10" formatCode="0.00%">
                  <c:v>0.45700000000000002</c:v>
                </c:pt>
                <c:pt idx="11" formatCode="0.00%">
                  <c:v>0.41199999999999998</c:v>
                </c:pt>
                <c:pt idx="13" formatCode="0.00%">
                  <c:v>0.42899999999999999</c:v>
                </c:pt>
                <c:pt idx="14" formatCode="0.00%">
                  <c:v>0.46200000000000002</c:v>
                </c:pt>
                <c:pt idx="15" formatCode="0.00%">
                  <c:v>0.439</c:v>
                </c:pt>
                <c:pt idx="16" formatCode="0.00%">
                  <c:v>0.47099999999999997</c:v>
                </c:pt>
                <c:pt idx="18" formatCode="0.00%">
                  <c:v>0.45100000000000001</c:v>
                </c:pt>
                <c:pt idx="19" formatCode="0.00%">
                  <c:v>0.443</c:v>
                </c:pt>
                <c:pt idx="20" formatCode="0.00%">
                  <c:v>0.496</c:v>
                </c:pt>
                <c:pt idx="21" formatCode="0.00%">
                  <c:v>0.42699999999999999</c:v>
                </c:pt>
                <c:pt idx="22" formatCode="0.00%">
                  <c:v>0.39500000000000002</c:v>
                </c:pt>
                <c:pt idx="23" formatCode="0.00%">
                  <c:v>0.46100000000000002</c:v>
                </c:pt>
              </c:numCache>
            </c:numRef>
          </c:val>
          <c:extLst>
            <c:ext xmlns:c16="http://schemas.microsoft.com/office/drawing/2014/chart" uri="{C3380CC4-5D6E-409C-BE32-E72D297353CC}">
              <c16:uniqueId val="{00000000-57FE-40E0-85D6-7CDBE100760B}"/>
            </c:ext>
          </c:extLst>
        </c:ser>
        <c:ser>
          <c:idx val="1"/>
          <c:order val="1"/>
          <c:tx>
            <c:strRef>
              <c:f>Arkusz1!$C$1</c:f>
              <c:strCache>
                <c:ptCount val="1"/>
                <c:pt idx="0">
                  <c:v>nie</c:v>
                </c:pt>
              </c:strCache>
            </c:strRef>
          </c:tx>
          <c:spPr>
            <a:solidFill>
              <a:schemeClr val="bg1">
                <a:lumMod val="85000"/>
              </a:schemeClr>
            </a:solidFill>
            <a:ln>
              <a:noFill/>
            </a:ln>
            <a:effectLst/>
          </c:spPr>
          <c:invertIfNegative val="0"/>
          <c:dLbls>
            <c:dLbl>
              <c:idx val="10"/>
              <c:numFmt formatCode="0%" sourceLinked="0"/>
              <c:spPr>
                <a:solidFill>
                  <a:srgbClr val="00B0F0"/>
                </a:solid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extLst>
                <c:ext xmlns:c16="http://schemas.microsoft.com/office/drawing/2014/chart" uri="{C3380CC4-5D6E-409C-BE32-E72D297353CC}">
                  <c16:uniqueId val="{00000003-5A8B-4CDF-8834-06D0D6A04AAD}"/>
                </c:ext>
              </c:extLst>
            </c:dLbl>
            <c:dLbl>
              <c:idx val="22"/>
              <c:numFmt formatCode="0%" sourceLinked="0"/>
              <c:spPr>
                <a:solidFill>
                  <a:srgbClr val="00B0F0"/>
                </a:solid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extLst>
                <c:ext xmlns:c16="http://schemas.microsoft.com/office/drawing/2014/chart" uri="{C3380CC4-5D6E-409C-BE32-E72D297353CC}">
                  <c16:uniqueId val="{00000000-D08F-4BF2-BBF0-276E635CAD4D}"/>
                </c:ext>
              </c:extLst>
            </c:dLbl>
            <c:numFmt formatCode="0%" sourceLinked="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Arkusz1!$A$2:$A$25</c:f>
              <c:strCache>
                <c:ptCount val="24"/>
                <c:pt idx="0">
                  <c:v>Ogółem</c:v>
                </c:pt>
                <c:pt idx="2">
                  <c:v> kobiety</c:v>
                </c:pt>
                <c:pt idx="3">
                  <c:v> mężczyźni</c:v>
                </c:pt>
                <c:pt idx="5">
                  <c:v> 15–19</c:v>
                </c:pt>
                <c:pt idx="6">
                  <c:v> 20–24</c:v>
                </c:pt>
                <c:pt idx="7">
                  <c:v> 25–34</c:v>
                </c:pt>
                <c:pt idx="8">
                  <c:v> 35–44</c:v>
                </c:pt>
                <c:pt idx="9">
                  <c:v> 45–54</c:v>
                </c:pt>
                <c:pt idx="10">
                  <c:v> 55–64</c:v>
                </c:pt>
                <c:pt idx="11">
                  <c:v> 65+</c:v>
                </c:pt>
                <c:pt idx="13">
                  <c:v> wyższe</c:v>
                </c:pt>
                <c:pt idx="14">
                  <c:v> średnie</c:v>
                </c:pt>
                <c:pt idx="15">
                  <c:v> zawodowe</c:v>
                </c:pt>
                <c:pt idx="16">
                  <c:v> podstawowe</c:v>
                </c:pt>
                <c:pt idx="18">
                  <c:v>Wieś</c:v>
                </c:pt>
                <c:pt idx="19">
                  <c:v>Miasta do 20 tys.</c:v>
                </c:pt>
                <c:pt idx="20">
                  <c:v>Miasta 20–49 tys.</c:v>
                </c:pt>
                <c:pt idx="21">
                  <c:v>Miasta 50–199 tys.</c:v>
                </c:pt>
                <c:pt idx="22">
                  <c:v>Miasta 200–499 tys.</c:v>
                </c:pt>
                <c:pt idx="23">
                  <c:v>Miasta powyżej 500 tys.</c:v>
                </c:pt>
              </c:strCache>
            </c:strRef>
          </c:cat>
          <c:val>
            <c:numRef>
              <c:f>Arkusz1!$C$2:$C$25</c:f>
              <c:numCache>
                <c:formatCode>General</c:formatCode>
                <c:ptCount val="24"/>
                <c:pt idx="0" formatCode="0.00%">
                  <c:v>0.41199999999999998</c:v>
                </c:pt>
                <c:pt idx="2" formatCode="0.00%">
                  <c:v>0.432</c:v>
                </c:pt>
                <c:pt idx="3" formatCode="0.00%">
                  <c:v>0.39200000000000002</c:v>
                </c:pt>
                <c:pt idx="5" formatCode="0.00%">
                  <c:v>0.39</c:v>
                </c:pt>
                <c:pt idx="6" formatCode="0.00%">
                  <c:v>0.52500000000000002</c:v>
                </c:pt>
                <c:pt idx="7" formatCode="0.00%">
                  <c:v>0.41499999999999998</c:v>
                </c:pt>
                <c:pt idx="8" formatCode="0.00%">
                  <c:v>0.438</c:v>
                </c:pt>
                <c:pt idx="9" formatCode="0.00%">
                  <c:v>0.35499999999999998</c:v>
                </c:pt>
                <c:pt idx="10" formatCode="0.00%">
                  <c:v>0.33100000000000002</c:v>
                </c:pt>
                <c:pt idx="11" formatCode="0.00%">
                  <c:v>0.443</c:v>
                </c:pt>
                <c:pt idx="13" formatCode="0.00%">
                  <c:v>0.42499999999999999</c:v>
                </c:pt>
                <c:pt idx="14" formatCode="0.00%">
                  <c:v>0.38300000000000001</c:v>
                </c:pt>
                <c:pt idx="15" formatCode="0.00%">
                  <c:v>0.42699999999999999</c:v>
                </c:pt>
                <c:pt idx="16" formatCode="0.00%">
                  <c:v>0.42899999999999999</c:v>
                </c:pt>
                <c:pt idx="18" formatCode="0.00%">
                  <c:v>0.40200000000000002</c:v>
                </c:pt>
                <c:pt idx="19" formatCode="0.00%">
                  <c:v>0.434</c:v>
                </c:pt>
                <c:pt idx="20" formatCode="0.00%">
                  <c:v>0.38100000000000001</c:v>
                </c:pt>
                <c:pt idx="21" formatCode="0.00%">
                  <c:v>0.441</c:v>
                </c:pt>
                <c:pt idx="22" formatCode="0.00%">
                  <c:v>0.49399999999999999</c:v>
                </c:pt>
                <c:pt idx="23" formatCode="0.00%">
                  <c:v>0.35699999999999998</c:v>
                </c:pt>
              </c:numCache>
            </c:numRef>
          </c:val>
          <c:extLst>
            <c:ext xmlns:c16="http://schemas.microsoft.com/office/drawing/2014/chart" uri="{C3380CC4-5D6E-409C-BE32-E72D297353CC}">
              <c16:uniqueId val="{00000001-57FE-40E0-85D6-7CDBE100760B}"/>
            </c:ext>
          </c:extLst>
        </c:ser>
        <c:ser>
          <c:idx val="2"/>
          <c:order val="2"/>
          <c:tx>
            <c:strRef>
              <c:f>Arkusz1!$D$1</c:f>
              <c:strCache>
                <c:ptCount val="1"/>
                <c:pt idx="0">
                  <c:v>nie wiem</c:v>
                </c:pt>
              </c:strCache>
            </c:strRef>
          </c:tx>
          <c:spPr>
            <a:solidFill>
              <a:schemeClr val="tx1">
                <a:lumMod val="50000"/>
                <a:lumOff val="50000"/>
              </a:schemeClr>
            </a:solidFill>
            <a:ln>
              <a:noFill/>
            </a:ln>
            <a:effectLst/>
          </c:spPr>
          <c:invertIfNegative val="0"/>
          <c:dLbls>
            <c:dLbl>
              <c:idx val="10"/>
              <c:numFmt formatCode="0%" sourceLinked="0"/>
              <c:spPr>
                <a:solidFill>
                  <a:srgbClr val="EE0000"/>
                </a:solidFill>
                <a:ln>
                  <a:noFill/>
                </a:ln>
                <a:effectLst/>
              </c:spPr>
              <c:txPr>
                <a:bodyPr rot="0" spcFirstLastPara="1" vertOverflow="ellipsis" vert="horz" wrap="square" anchor="ctr" anchorCtr="1"/>
                <a:lstStyle/>
                <a:p>
                  <a:pPr>
                    <a:defRPr sz="1100" b="0" i="0" u="none" strike="noStrike" kern="1200" baseline="0">
                      <a:solidFill>
                        <a:schemeClr val="bg1"/>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extLst>
                <c:ext xmlns:c16="http://schemas.microsoft.com/office/drawing/2014/chart" uri="{C3380CC4-5D6E-409C-BE32-E72D297353CC}">
                  <c16:uniqueId val="{00000000-5A8B-4CDF-8834-06D0D6A04AAD}"/>
                </c:ext>
              </c:extLst>
            </c:dLbl>
            <c:dLbl>
              <c:idx val="23"/>
              <c:numFmt formatCode="0%" sourceLinked="0"/>
              <c:spPr>
                <a:solidFill>
                  <a:srgbClr val="EE0000"/>
                </a:solidFill>
                <a:ln>
                  <a:noFill/>
                </a:ln>
                <a:effectLst/>
              </c:spPr>
              <c:txPr>
                <a:bodyPr rot="0" spcFirstLastPara="1" vertOverflow="ellipsis" vert="horz" wrap="square" anchor="ctr" anchorCtr="1"/>
                <a:lstStyle/>
                <a:p>
                  <a:pPr>
                    <a:defRPr sz="1100" b="0" i="0" u="none" strike="noStrike" kern="1200" baseline="0">
                      <a:solidFill>
                        <a:schemeClr val="bg1"/>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extLst>
                <c:ext xmlns:c16="http://schemas.microsoft.com/office/drawing/2014/chart" uri="{C3380CC4-5D6E-409C-BE32-E72D297353CC}">
                  <c16:uniqueId val="{00000001-5A8B-4CDF-8834-06D0D6A04AAD}"/>
                </c:ext>
              </c:extLst>
            </c:dLbl>
            <c:numFmt formatCode="0%" sourceLinked="0"/>
            <c:spPr>
              <a:noFill/>
              <a:ln>
                <a:noFill/>
              </a:ln>
              <a:effectLst/>
            </c:spPr>
            <c:txPr>
              <a:bodyPr rot="0" spcFirstLastPara="1" vertOverflow="ellipsis" vert="horz" wrap="square" anchor="ctr" anchorCtr="1"/>
              <a:lstStyle/>
              <a:p>
                <a:pPr>
                  <a:defRPr sz="1100" b="0" i="0" u="none" strike="noStrike" kern="1200" baseline="0">
                    <a:solidFill>
                      <a:schemeClr val="bg1"/>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Arkusz1!$A$2:$A$25</c:f>
              <c:strCache>
                <c:ptCount val="24"/>
                <c:pt idx="0">
                  <c:v>Ogółem</c:v>
                </c:pt>
                <c:pt idx="2">
                  <c:v> kobiety</c:v>
                </c:pt>
                <c:pt idx="3">
                  <c:v> mężczyźni</c:v>
                </c:pt>
                <c:pt idx="5">
                  <c:v> 15–19</c:v>
                </c:pt>
                <c:pt idx="6">
                  <c:v> 20–24</c:v>
                </c:pt>
                <c:pt idx="7">
                  <c:v> 25–34</c:v>
                </c:pt>
                <c:pt idx="8">
                  <c:v> 35–44</c:v>
                </c:pt>
                <c:pt idx="9">
                  <c:v> 45–54</c:v>
                </c:pt>
                <c:pt idx="10">
                  <c:v> 55–64</c:v>
                </c:pt>
                <c:pt idx="11">
                  <c:v> 65+</c:v>
                </c:pt>
                <c:pt idx="13">
                  <c:v> wyższe</c:v>
                </c:pt>
                <c:pt idx="14">
                  <c:v> średnie</c:v>
                </c:pt>
                <c:pt idx="15">
                  <c:v> zawodowe</c:v>
                </c:pt>
                <c:pt idx="16">
                  <c:v> podstawowe</c:v>
                </c:pt>
                <c:pt idx="18">
                  <c:v>Wieś</c:v>
                </c:pt>
                <c:pt idx="19">
                  <c:v>Miasta do 20 tys.</c:v>
                </c:pt>
                <c:pt idx="20">
                  <c:v>Miasta 20–49 tys.</c:v>
                </c:pt>
                <c:pt idx="21">
                  <c:v>Miasta 50–199 tys.</c:v>
                </c:pt>
                <c:pt idx="22">
                  <c:v>Miasta 200–499 tys.</c:v>
                </c:pt>
                <c:pt idx="23">
                  <c:v>Miasta powyżej 500 tys.</c:v>
                </c:pt>
              </c:strCache>
            </c:strRef>
          </c:cat>
          <c:val>
            <c:numRef>
              <c:f>Arkusz1!$D$2:$D$25</c:f>
              <c:numCache>
                <c:formatCode>General</c:formatCode>
                <c:ptCount val="24"/>
                <c:pt idx="0" formatCode="0.00%">
                  <c:v>0.14000000000000001</c:v>
                </c:pt>
                <c:pt idx="2" formatCode="0.00%">
                  <c:v>0.11799999999999999</c:v>
                </c:pt>
                <c:pt idx="3" formatCode="0.00%">
                  <c:v>0.161</c:v>
                </c:pt>
                <c:pt idx="5" formatCode="0.00%">
                  <c:v>0.153</c:v>
                </c:pt>
                <c:pt idx="6" formatCode="0.00%">
                  <c:v>8.2000000000000003E-2</c:v>
                </c:pt>
                <c:pt idx="7" formatCode="0.00%">
                  <c:v>0.11600000000000001</c:v>
                </c:pt>
                <c:pt idx="8" formatCode="0.00%">
                  <c:v>0.13</c:v>
                </c:pt>
                <c:pt idx="9" formatCode="0.00%">
                  <c:v>0.128</c:v>
                </c:pt>
                <c:pt idx="10" formatCode="0.00%">
                  <c:v>0.21299999999999999</c:v>
                </c:pt>
                <c:pt idx="11" formatCode="0.00%">
                  <c:v>0.14499999999999999</c:v>
                </c:pt>
                <c:pt idx="13" formatCode="0.00%">
                  <c:v>0.14599999999999999</c:v>
                </c:pt>
                <c:pt idx="14" formatCode="0.00%">
                  <c:v>0.155</c:v>
                </c:pt>
                <c:pt idx="15" formatCode="0.00%">
                  <c:v>0.13400000000000001</c:v>
                </c:pt>
                <c:pt idx="16" formatCode="0.00%">
                  <c:v>0.10100000000000001</c:v>
                </c:pt>
                <c:pt idx="18" formatCode="0.00%">
                  <c:v>0.14699999999999999</c:v>
                </c:pt>
                <c:pt idx="19" formatCode="0.00%">
                  <c:v>0.123</c:v>
                </c:pt>
                <c:pt idx="20" formatCode="0.00%">
                  <c:v>0.124</c:v>
                </c:pt>
                <c:pt idx="21" formatCode="0.00%">
                  <c:v>0.13300000000000001</c:v>
                </c:pt>
                <c:pt idx="22" formatCode="0.00%">
                  <c:v>0.111</c:v>
                </c:pt>
                <c:pt idx="23" formatCode="0.00%">
                  <c:v>0.183</c:v>
                </c:pt>
              </c:numCache>
            </c:numRef>
          </c:val>
          <c:extLst>
            <c:ext xmlns:c16="http://schemas.microsoft.com/office/drawing/2014/chart" uri="{C3380CC4-5D6E-409C-BE32-E72D297353CC}">
              <c16:uniqueId val="{00000002-57FE-40E0-85D6-7CDBE100760B}"/>
            </c:ext>
          </c:extLst>
        </c:ser>
        <c:dLbls>
          <c:showLegendKey val="0"/>
          <c:showVal val="0"/>
          <c:showCatName val="0"/>
          <c:showSerName val="0"/>
          <c:showPercent val="0"/>
          <c:showBubbleSize val="0"/>
        </c:dLbls>
        <c:gapWidth val="60"/>
        <c:overlap val="100"/>
        <c:axId val="875697471"/>
        <c:axId val="875698911"/>
      </c:barChart>
      <c:catAx>
        <c:axId val="875697471"/>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875698911"/>
        <c:crosses val="autoZero"/>
        <c:auto val="1"/>
        <c:lblAlgn val="ctr"/>
        <c:lblOffset val="100"/>
        <c:noMultiLvlLbl val="0"/>
      </c:catAx>
      <c:valAx>
        <c:axId val="875698911"/>
        <c:scaling>
          <c:orientation val="minMax"/>
        </c:scaling>
        <c:delete val="0"/>
        <c:axPos val="t"/>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87569747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1100">
          <a:latin typeface="Arial" panose="020B0604020202020204" pitchFamily="34" charset="0"/>
          <a:cs typeface="Arial" panose="020B0604020202020204" pitchFamily="34" charset="0"/>
        </a:defRPr>
      </a:pPr>
      <a:endParaRPr lang="pl-PL"/>
    </a:p>
  </c:txPr>
  <c:externalData r:id="rId3">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rgbClr val="061A3D"/>
            </a:solidFill>
            <a:ln>
              <a:noFill/>
            </a:ln>
            <a:effectLst/>
          </c:spPr>
          <c:invertIfNegative val="0"/>
          <c:dLbls>
            <c:numFmt formatCode="0%" sourceLinked="0"/>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Arkusz1!$A$2:$A$12</c:f>
              <c:strCache>
                <c:ptCount val="11"/>
                <c:pt idx="0">
                  <c:v>Brak merytorycznej odpowiedzi</c:v>
                </c:pt>
                <c:pt idx="1">
                  <c:v>Inne</c:v>
                </c:pt>
                <c:pt idx="2">
                  <c:v>Poprawa jakości życia</c:v>
                </c:pt>
                <c:pt idx="3">
                  <c:v>Szkolenia</c:v>
                </c:pt>
                <c:pt idx="4">
                  <c:v>Transport</c:v>
                </c:pt>
                <c:pt idx="5">
                  <c:v>Poprawa lokalnej infrastruktury</c:v>
                </c:pt>
                <c:pt idx="6">
                  <c:v>Edukacja</c:v>
                </c:pt>
                <c:pt idx="7">
                  <c:v>Działania w poprawie ekologii</c:v>
                </c:pt>
                <c:pt idx="8">
                  <c:v>Dotacje ogólnie</c:v>
                </c:pt>
                <c:pt idx="9">
                  <c:v>Wsparcie rolnictwa</c:v>
                </c:pt>
                <c:pt idx="10">
                  <c:v>Przedsiębiorczość</c:v>
                </c:pt>
              </c:strCache>
            </c:strRef>
          </c:cat>
          <c:val>
            <c:numRef>
              <c:f>Arkusz1!$B$2:$B$12</c:f>
              <c:numCache>
                <c:formatCode>0.00%</c:formatCode>
                <c:ptCount val="11"/>
                <c:pt idx="0">
                  <c:v>4.7699999999999999E-2</c:v>
                </c:pt>
                <c:pt idx="1">
                  <c:v>0.04</c:v>
                </c:pt>
                <c:pt idx="2">
                  <c:v>3.2399999999999998E-2</c:v>
                </c:pt>
                <c:pt idx="3">
                  <c:v>6.2899999999999998E-2</c:v>
                </c:pt>
                <c:pt idx="4">
                  <c:v>6.2899999999999998E-2</c:v>
                </c:pt>
                <c:pt idx="5">
                  <c:v>7.0499999999999993E-2</c:v>
                </c:pt>
                <c:pt idx="6">
                  <c:v>8.2000000000000003E-2</c:v>
                </c:pt>
                <c:pt idx="7">
                  <c:v>8.3900000000000002E-2</c:v>
                </c:pt>
                <c:pt idx="8">
                  <c:v>0.10489999999999999</c:v>
                </c:pt>
                <c:pt idx="9">
                  <c:v>0.1678</c:v>
                </c:pt>
                <c:pt idx="10">
                  <c:v>0.245</c:v>
                </c:pt>
              </c:numCache>
            </c:numRef>
          </c:val>
          <c:extLst>
            <c:ext xmlns:c16="http://schemas.microsoft.com/office/drawing/2014/chart" uri="{C3380CC4-5D6E-409C-BE32-E72D297353CC}">
              <c16:uniqueId val="{00000000-08FA-483D-8066-165CFB642F1E}"/>
            </c:ext>
          </c:extLst>
        </c:ser>
        <c:dLbls>
          <c:showLegendKey val="0"/>
          <c:showVal val="0"/>
          <c:showCatName val="0"/>
          <c:showSerName val="0"/>
          <c:showPercent val="0"/>
          <c:showBubbleSize val="0"/>
        </c:dLbls>
        <c:gapWidth val="112"/>
        <c:axId val="432009056"/>
        <c:axId val="432009536"/>
      </c:barChart>
      <c:catAx>
        <c:axId val="43200905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crossAx val="432009536"/>
        <c:crosses val="autoZero"/>
        <c:auto val="1"/>
        <c:lblAlgn val="ctr"/>
        <c:lblOffset val="100"/>
        <c:noMultiLvlLbl val="0"/>
      </c:catAx>
      <c:valAx>
        <c:axId val="432009536"/>
        <c:scaling>
          <c:orientation val="minMax"/>
        </c:scaling>
        <c:delete val="0"/>
        <c:axPos val="b"/>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crossAx val="432009056"/>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3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Arkusz1!$B$1</c:f>
              <c:strCache>
                <c:ptCount val="1"/>
                <c:pt idx="0">
                  <c:v>% „tak”</c:v>
                </c:pt>
              </c:strCache>
            </c:strRef>
          </c:tx>
          <c:spPr>
            <a:ln w="28575" cap="rnd">
              <a:solidFill>
                <a:srgbClr val="061A3D"/>
              </a:solidFill>
              <a:round/>
            </a:ln>
            <a:effectLst/>
          </c:spPr>
          <c:marker>
            <c:symbol val="circle"/>
            <c:size val="5"/>
            <c:spPr>
              <a:solidFill>
                <a:srgbClr val="061A3D"/>
              </a:solidFill>
              <a:ln w="9525">
                <a:solidFill>
                  <a:srgbClr val="061A3D"/>
                </a:solidFill>
              </a:ln>
              <a:effectLst/>
            </c:spPr>
          </c:marker>
          <c:dLbls>
            <c:dLbl>
              <c:idx val="5"/>
              <c:numFmt formatCode="0%" sourceLinked="0"/>
              <c:spPr>
                <a:solidFill>
                  <a:srgbClr val="00B0F0"/>
                </a:solid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bg1"/>
                      </a:solidFill>
                      <a:latin typeface="Arial" panose="020B0604020202020204" pitchFamily="34" charset="0"/>
                      <a:ea typeface="+mn-ea"/>
                      <a:cs typeface="Arial" panose="020B0604020202020204" pitchFamily="34" charset="0"/>
                    </a:defRPr>
                  </a:pPr>
                  <a:endParaRPr lang="pl-PL"/>
                </a:p>
              </c:txPr>
              <c:dLblPos val="t"/>
              <c:showLegendKey val="0"/>
              <c:showVal val="1"/>
              <c:showCatName val="0"/>
              <c:showSerName val="0"/>
              <c:showPercent val="0"/>
              <c:showBubbleSize val="0"/>
              <c:extLst>
                <c:ext xmlns:c16="http://schemas.microsoft.com/office/drawing/2014/chart" uri="{C3380CC4-5D6E-409C-BE32-E72D297353CC}">
                  <c16:uniqueId val="{00000001-7559-4994-AB87-308F37632B47}"/>
                </c:ext>
              </c:extLst>
            </c:dLbl>
            <c:dLbl>
              <c:idx val="7"/>
              <c:numFmt formatCode="0%" sourceLinked="0"/>
              <c:spPr>
                <a:solidFill>
                  <a:srgbClr val="00B0F0"/>
                </a:solid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bg1"/>
                      </a:solidFill>
                      <a:latin typeface="Arial" panose="020B0604020202020204" pitchFamily="34" charset="0"/>
                      <a:ea typeface="+mn-ea"/>
                      <a:cs typeface="Arial" panose="020B0604020202020204" pitchFamily="34" charset="0"/>
                    </a:defRPr>
                  </a:pPr>
                  <a:endParaRPr lang="pl-PL"/>
                </a:p>
              </c:txPr>
              <c:dLblPos val="t"/>
              <c:showLegendKey val="0"/>
              <c:showVal val="1"/>
              <c:showCatName val="0"/>
              <c:showSerName val="0"/>
              <c:showPercent val="0"/>
              <c:showBubbleSize val="0"/>
              <c:extLst>
                <c:ext xmlns:c16="http://schemas.microsoft.com/office/drawing/2014/chart" uri="{C3380CC4-5D6E-409C-BE32-E72D297353CC}">
                  <c16:uniqueId val="{00000000-7559-4994-AB87-308F37632B47}"/>
                </c:ext>
              </c:extLst>
            </c:dLbl>
            <c:numFmt formatCode="0%" sourceLinked="0"/>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Arkusz1!$A$2:$A$10</c:f>
              <c:strCache>
                <c:ptCount val="9"/>
                <c:pt idx="0">
                  <c:v>2016 N=5366</c:v>
                </c:pt>
                <c:pt idx="1">
                  <c:v>2018 N=5615</c:v>
                </c:pt>
                <c:pt idx="2">
                  <c:v>2019 N=905</c:v>
                </c:pt>
                <c:pt idx="3">
                  <c:v>2020 N=5514</c:v>
                </c:pt>
                <c:pt idx="4">
                  <c:v>2021 N=887</c:v>
                </c:pt>
                <c:pt idx="5">
                  <c:v>2022 N=5279</c:v>
                </c:pt>
                <c:pt idx="6">
                  <c:v>2023 N=888</c:v>
                </c:pt>
                <c:pt idx="7">
                  <c:v>2024 N=5707</c:v>
                </c:pt>
                <c:pt idx="8">
                  <c:v>2025 N=955</c:v>
                </c:pt>
              </c:strCache>
            </c:strRef>
          </c:cat>
          <c:val>
            <c:numRef>
              <c:f>Arkusz1!$B$2:$B$10</c:f>
              <c:numCache>
                <c:formatCode>0%</c:formatCode>
                <c:ptCount val="9"/>
                <c:pt idx="0">
                  <c:v>0.1</c:v>
                </c:pt>
                <c:pt idx="1">
                  <c:v>0.08</c:v>
                </c:pt>
                <c:pt idx="2">
                  <c:v>0.08</c:v>
                </c:pt>
                <c:pt idx="3">
                  <c:v>0.08</c:v>
                </c:pt>
                <c:pt idx="4">
                  <c:v>0.08</c:v>
                </c:pt>
                <c:pt idx="5">
                  <c:v>7.0000000000000007E-2</c:v>
                </c:pt>
                <c:pt idx="6">
                  <c:v>0.1</c:v>
                </c:pt>
                <c:pt idx="7" formatCode="0.00%">
                  <c:v>7.0000000000000007E-2</c:v>
                </c:pt>
                <c:pt idx="8" formatCode="0.00%">
                  <c:v>0.11</c:v>
                </c:pt>
              </c:numCache>
            </c:numRef>
          </c:val>
          <c:smooth val="0"/>
          <c:extLst>
            <c:ext xmlns:c16="http://schemas.microsoft.com/office/drawing/2014/chart" uri="{C3380CC4-5D6E-409C-BE32-E72D297353CC}">
              <c16:uniqueId val="{00000000-D40E-44E2-8201-A42196552B94}"/>
            </c:ext>
          </c:extLst>
        </c:ser>
        <c:dLbls>
          <c:showLegendKey val="0"/>
          <c:showVal val="0"/>
          <c:showCatName val="0"/>
          <c:showSerName val="0"/>
          <c:showPercent val="0"/>
          <c:showBubbleSize val="0"/>
        </c:dLbls>
        <c:marker val="1"/>
        <c:smooth val="0"/>
        <c:axId val="877883119"/>
        <c:axId val="877885519"/>
      </c:lineChart>
      <c:catAx>
        <c:axId val="87788311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crossAx val="877885519"/>
        <c:crosses val="autoZero"/>
        <c:auto val="1"/>
        <c:lblAlgn val="ctr"/>
        <c:lblOffset val="100"/>
        <c:noMultiLvlLbl val="0"/>
      </c:catAx>
      <c:valAx>
        <c:axId val="877885519"/>
        <c:scaling>
          <c:orientation val="minMax"/>
          <c:max val="0.30000000000000004"/>
          <c:min val="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crossAx val="877883119"/>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pl-PL"/>
    </a:p>
  </c:txPr>
  <c:externalData r:id="rId3">
    <c:autoUpdate val="0"/>
  </c:externalData>
</c:chartSpace>
</file>

<file path=word/charts/chart3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percentStacked"/>
        <c:varyColors val="0"/>
        <c:ser>
          <c:idx val="0"/>
          <c:order val="0"/>
          <c:tx>
            <c:strRef>
              <c:f>Arkusz1!$B$1</c:f>
              <c:strCache>
                <c:ptCount val="1"/>
                <c:pt idx="0">
                  <c:v>Promotorzy</c:v>
                </c:pt>
              </c:strCache>
            </c:strRef>
          </c:tx>
          <c:spPr>
            <a:solidFill>
              <a:srgbClr val="061A3D"/>
            </a:solidFill>
            <a:ln>
              <a:noFill/>
            </a:ln>
            <a:effectLst/>
          </c:spPr>
          <c:invertIfNegative val="0"/>
          <c:dLbls>
            <c:dLbl>
              <c:idx val="1"/>
              <c:numFmt formatCode="0%" sourceLinked="0"/>
              <c:spPr>
                <a:solidFill>
                  <a:srgbClr val="00B0F0"/>
                </a:solid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bg1"/>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extLst>
                <c:ext xmlns:c16="http://schemas.microsoft.com/office/drawing/2014/chart" uri="{C3380CC4-5D6E-409C-BE32-E72D297353CC}">
                  <c16:uniqueId val="{00000000-0CE7-4C19-B214-5D274E51173E}"/>
                </c:ext>
              </c:extLst>
            </c:dLbl>
            <c:dLbl>
              <c:idx val="2"/>
              <c:numFmt formatCode="0%" sourceLinked="0"/>
              <c:spPr>
                <a:solidFill>
                  <a:srgbClr val="EE0000"/>
                </a:solid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bg1"/>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extLst>
                <c:ext xmlns:c16="http://schemas.microsoft.com/office/drawing/2014/chart" uri="{C3380CC4-5D6E-409C-BE32-E72D297353CC}">
                  <c16:uniqueId val="{00000002-43AD-46A7-B8D5-82FB7F6AE015}"/>
                </c:ext>
              </c:extLst>
            </c:dLbl>
            <c:dLbl>
              <c:idx val="5"/>
              <c:numFmt formatCode="0%" sourceLinked="0"/>
              <c:spPr>
                <a:solidFill>
                  <a:srgbClr val="EE0000"/>
                </a:solid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bg1"/>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extLst>
                <c:ext xmlns:c16="http://schemas.microsoft.com/office/drawing/2014/chart" uri="{C3380CC4-5D6E-409C-BE32-E72D297353CC}">
                  <c16:uniqueId val="{00000002-0CE7-4C19-B214-5D274E51173E}"/>
                </c:ext>
              </c:extLst>
            </c:dLbl>
            <c:dLbl>
              <c:idx val="7"/>
              <c:numFmt formatCode="0%" sourceLinked="0"/>
              <c:spPr>
                <a:solidFill>
                  <a:srgbClr val="00B0F0"/>
                </a:solid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bg1"/>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extLst>
                <c:ext xmlns:c16="http://schemas.microsoft.com/office/drawing/2014/chart" uri="{C3380CC4-5D6E-409C-BE32-E72D297353CC}">
                  <c16:uniqueId val="{00000001-0CE7-4C19-B214-5D274E51173E}"/>
                </c:ext>
              </c:extLst>
            </c:dLbl>
            <c:numFmt formatCode="0%" sourceLinked="0"/>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bg1"/>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Arkusz1!$A$2:$A$9</c:f>
              <c:strCache>
                <c:ptCount val="8"/>
                <c:pt idx="0">
                  <c:v>2018 [NPS = 30] N=5615</c:v>
                </c:pt>
                <c:pt idx="1">
                  <c:v>2019 [NPS = -1] N=905</c:v>
                </c:pt>
                <c:pt idx="2">
                  <c:v>2020 [NPS = 38] N=5514</c:v>
                </c:pt>
                <c:pt idx="3">
                  <c:v>2021 [NPS = 15] N=887</c:v>
                </c:pt>
                <c:pt idx="4">
                  <c:v>2022 [NPS = 40] N=5279</c:v>
                </c:pt>
                <c:pt idx="5">
                  <c:v>2023 [NPS = 37] N=888</c:v>
                </c:pt>
                <c:pt idx="6">
                  <c:v>2024 [NPS = 38] N=5707</c:v>
                </c:pt>
                <c:pt idx="7">
                  <c:v>2025 [NPS = 16] N=955</c:v>
                </c:pt>
              </c:strCache>
            </c:strRef>
          </c:cat>
          <c:val>
            <c:numRef>
              <c:f>Arkusz1!$B$2:$B$9</c:f>
              <c:numCache>
                <c:formatCode>0%</c:formatCode>
                <c:ptCount val="8"/>
                <c:pt idx="0">
                  <c:v>0.46</c:v>
                </c:pt>
                <c:pt idx="1">
                  <c:v>0.31</c:v>
                </c:pt>
                <c:pt idx="2">
                  <c:v>0.53</c:v>
                </c:pt>
                <c:pt idx="3">
                  <c:v>0.42</c:v>
                </c:pt>
                <c:pt idx="4">
                  <c:v>0.52</c:v>
                </c:pt>
                <c:pt idx="5">
                  <c:v>0.59</c:v>
                </c:pt>
                <c:pt idx="6">
                  <c:v>0.46</c:v>
                </c:pt>
                <c:pt idx="7" formatCode="0.00%">
                  <c:v>0.28699999999999998</c:v>
                </c:pt>
              </c:numCache>
            </c:numRef>
          </c:val>
          <c:extLst>
            <c:ext xmlns:c16="http://schemas.microsoft.com/office/drawing/2014/chart" uri="{C3380CC4-5D6E-409C-BE32-E72D297353CC}">
              <c16:uniqueId val="{00000000-E2B6-49D3-B5FE-436067DD25D9}"/>
            </c:ext>
          </c:extLst>
        </c:ser>
        <c:ser>
          <c:idx val="1"/>
          <c:order val="1"/>
          <c:tx>
            <c:strRef>
              <c:f>Arkusz1!$C$1</c:f>
              <c:strCache>
                <c:ptCount val="1"/>
                <c:pt idx="0">
                  <c:v>Pasywni</c:v>
                </c:pt>
              </c:strCache>
            </c:strRef>
          </c:tx>
          <c:spPr>
            <a:solidFill>
              <a:schemeClr val="bg1">
                <a:lumMod val="85000"/>
              </a:schemeClr>
            </a:solidFill>
            <a:ln>
              <a:noFill/>
            </a:ln>
            <a:effectLst/>
          </c:spPr>
          <c:invertIfNegative val="0"/>
          <c:dLbls>
            <c:dLbl>
              <c:idx val="7"/>
              <c:numFmt formatCode="0%" sourceLinked="0"/>
              <c:spPr>
                <a:solidFill>
                  <a:srgbClr val="EE0000"/>
                </a:solid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bg1"/>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extLst>
                <c:ext xmlns:c16="http://schemas.microsoft.com/office/drawing/2014/chart" uri="{C3380CC4-5D6E-409C-BE32-E72D297353CC}">
                  <c16:uniqueId val="{00000003-0CE7-4C19-B214-5D274E51173E}"/>
                </c:ext>
              </c:extLst>
            </c:dLbl>
            <c:numFmt formatCode="0%" sourceLinked="0"/>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rgbClr val="061A3D"/>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Arkusz1!$A$2:$A$9</c:f>
              <c:strCache>
                <c:ptCount val="8"/>
                <c:pt idx="0">
                  <c:v>2018 [NPS = 30] N=5615</c:v>
                </c:pt>
                <c:pt idx="1">
                  <c:v>2019 [NPS = -1] N=905</c:v>
                </c:pt>
                <c:pt idx="2">
                  <c:v>2020 [NPS = 38] N=5514</c:v>
                </c:pt>
                <c:pt idx="3">
                  <c:v>2021 [NPS = 15] N=887</c:v>
                </c:pt>
                <c:pt idx="4">
                  <c:v>2022 [NPS = 40] N=5279</c:v>
                </c:pt>
                <c:pt idx="5">
                  <c:v>2023 [NPS = 37] N=888</c:v>
                </c:pt>
                <c:pt idx="6">
                  <c:v>2024 [NPS = 38] N=5707</c:v>
                </c:pt>
                <c:pt idx="7">
                  <c:v>2025 [NPS = 16] N=955</c:v>
                </c:pt>
              </c:strCache>
            </c:strRef>
          </c:cat>
          <c:val>
            <c:numRef>
              <c:f>Arkusz1!$C$2:$C$9</c:f>
              <c:numCache>
                <c:formatCode>0%</c:formatCode>
                <c:ptCount val="8"/>
                <c:pt idx="0">
                  <c:v>0.38</c:v>
                </c:pt>
                <c:pt idx="1">
                  <c:v>0.37</c:v>
                </c:pt>
                <c:pt idx="2">
                  <c:v>0.32</c:v>
                </c:pt>
                <c:pt idx="3">
                  <c:v>0.32</c:v>
                </c:pt>
                <c:pt idx="4">
                  <c:v>0.34</c:v>
                </c:pt>
                <c:pt idx="5">
                  <c:v>0.19</c:v>
                </c:pt>
                <c:pt idx="6">
                  <c:v>0.44</c:v>
                </c:pt>
                <c:pt idx="7" formatCode="0.00%">
                  <c:v>0.58399999999999996</c:v>
                </c:pt>
              </c:numCache>
            </c:numRef>
          </c:val>
          <c:extLst>
            <c:ext xmlns:c16="http://schemas.microsoft.com/office/drawing/2014/chart" uri="{C3380CC4-5D6E-409C-BE32-E72D297353CC}">
              <c16:uniqueId val="{00000001-E2B6-49D3-B5FE-436067DD25D9}"/>
            </c:ext>
          </c:extLst>
        </c:ser>
        <c:ser>
          <c:idx val="2"/>
          <c:order val="2"/>
          <c:tx>
            <c:strRef>
              <c:f>Arkusz1!$D$1</c:f>
              <c:strCache>
                <c:ptCount val="1"/>
                <c:pt idx="0">
                  <c:v>Krytycy</c:v>
                </c:pt>
              </c:strCache>
            </c:strRef>
          </c:tx>
          <c:spPr>
            <a:solidFill>
              <a:schemeClr val="tx1">
                <a:lumMod val="50000"/>
                <a:lumOff val="50000"/>
              </a:schemeClr>
            </a:solidFill>
            <a:ln>
              <a:noFill/>
            </a:ln>
            <a:effectLst/>
          </c:spPr>
          <c:invertIfNegative val="0"/>
          <c:dLbls>
            <c:dLbl>
              <c:idx val="1"/>
              <c:numFmt formatCode="0%" sourceLinked="0"/>
              <c:spPr>
                <a:solidFill>
                  <a:srgbClr val="EE0000"/>
                </a:solid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bg1"/>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extLst>
                <c:ext xmlns:c16="http://schemas.microsoft.com/office/drawing/2014/chart" uri="{C3380CC4-5D6E-409C-BE32-E72D297353CC}">
                  <c16:uniqueId val="{00000004-0CE7-4C19-B214-5D274E51173E}"/>
                </c:ext>
              </c:extLst>
            </c:dLbl>
            <c:dLbl>
              <c:idx val="4"/>
              <c:numFmt formatCode="0%" sourceLinked="0"/>
              <c:spPr>
                <a:solidFill>
                  <a:srgbClr val="00B0F0"/>
                </a:solid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bg1"/>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extLst>
                <c:ext xmlns:c16="http://schemas.microsoft.com/office/drawing/2014/chart" uri="{C3380CC4-5D6E-409C-BE32-E72D297353CC}">
                  <c16:uniqueId val="{00000000-43AD-46A7-B8D5-82FB7F6AE015}"/>
                </c:ext>
              </c:extLst>
            </c:dLbl>
            <c:dLbl>
              <c:idx val="6"/>
              <c:numFmt formatCode="0%" sourceLinked="0"/>
              <c:spPr>
                <a:solidFill>
                  <a:srgbClr val="00B0F0"/>
                </a:solid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bg1"/>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extLst>
                <c:ext xmlns:c16="http://schemas.microsoft.com/office/drawing/2014/chart" uri="{C3380CC4-5D6E-409C-BE32-E72D297353CC}">
                  <c16:uniqueId val="{00000001-43AD-46A7-B8D5-82FB7F6AE015}"/>
                </c:ext>
              </c:extLst>
            </c:dLbl>
            <c:numFmt formatCode="0%" sourceLinked="0"/>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bg1"/>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Arkusz1!$A$2:$A$9</c:f>
              <c:strCache>
                <c:ptCount val="8"/>
                <c:pt idx="0">
                  <c:v>2018 [NPS = 30] N=5615</c:v>
                </c:pt>
                <c:pt idx="1">
                  <c:v>2019 [NPS = -1] N=905</c:v>
                </c:pt>
                <c:pt idx="2">
                  <c:v>2020 [NPS = 38] N=5514</c:v>
                </c:pt>
                <c:pt idx="3">
                  <c:v>2021 [NPS = 15] N=887</c:v>
                </c:pt>
                <c:pt idx="4">
                  <c:v>2022 [NPS = 40] N=5279</c:v>
                </c:pt>
                <c:pt idx="5">
                  <c:v>2023 [NPS = 37] N=888</c:v>
                </c:pt>
                <c:pt idx="6">
                  <c:v>2024 [NPS = 38] N=5707</c:v>
                </c:pt>
                <c:pt idx="7">
                  <c:v>2025 [NPS = 16] N=955</c:v>
                </c:pt>
              </c:strCache>
            </c:strRef>
          </c:cat>
          <c:val>
            <c:numRef>
              <c:f>Arkusz1!$D$2:$D$9</c:f>
              <c:numCache>
                <c:formatCode>0%</c:formatCode>
                <c:ptCount val="8"/>
                <c:pt idx="0">
                  <c:v>0.16</c:v>
                </c:pt>
                <c:pt idx="1">
                  <c:v>0.32</c:v>
                </c:pt>
                <c:pt idx="2">
                  <c:v>0.15</c:v>
                </c:pt>
                <c:pt idx="3">
                  <c:v>0.26</c:v>
                </c:pt>
                <c:pt idx="4">
                  <c:v>0.12</c:v>
                </c:pt>
                <c:pt idx="5">
                  <c:v>0.22</c:v>
                </c:pt>
                <c:pt idx="6">
                  <c:v>0.09</c:v>
                </c:pt>
                <c:pt idx="7" formatCode="0.00%">
                  <c:v>0.129</c:v>
                </c:pt>
              </c:numCache>
            </c:numRef>
          </c:val>
          <c:extLst>
            <c:ext xmlns:c16="http://schemas.microsoft.com/office/drawing/2014/chart" uri="{C3380CC4-5D6E-409C-BE32-E72D297353CC}">
              <c16:uniqueId val="{00000003-E2B6-49D3-B5FE-436067DD25D9}"/>
            </c:ext>
          </c:extLst>
        </c:ser>
        <c:dLbls>
          <c:showLegendKey val="0"/>
          <c:showVal val="0"/>
          <c:showCatName val="0"/>
          <c:showSerName val="0"/>
          <c:showPercent val="0"/>
          <c:showBubbleSize val="0"/>
        </c:dLbls>
        <c:gapWidth val="60"/>
        <c:overlap val="100"/>
        <c:axId val="875697471"/>
        <c:axId val="875698911"/>
      </c:barChart>
      <c:catAx>
        <c:axId val="875697471"/>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crossAx val="875698911"/>
        <c:crosses val="autoZero"/>
        <c:auto val="1"/>
        <c:lblAlgn val="ctr"/>
        <c:lblOffset val="100"/>
        <c:noMultiLvlLbl val="0"/>
      </c:catAx>
      <c:valAx>
        <c:axId val="875698911"/>
        <c:scaling>
          <c:orientation val="minMax"/>
        </c:scaling>
        <c:delete val="0"/>
        <c:axPos val="b"/>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pl-PL"/>
          </a:p>
        </c:txPr>
        <c:crossAx val="875697471"/>
        <c:crosses val="autoZero"/>
        <c:crossBetween val="between"/>
      </c:valAx>
      <c:spPr>
        <a:noFill/>
        <a:ln w="25400">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rgbClr val="061A3D"/>
              </a:solidFill>
              <a:latin typeface="Arial" panose="020B0604020202020204" pitchFamily="34" charset="0"/>
              <a:ea typeface="+mn-ea"/>
              <a:cs typeface="Arial" panose="020B0604020202020204" pitchFamily="34" charset="0"/>
            </a:defRPr>
          </a:pPr>
          <a:endParaRPr lang="pl-P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pl-PL"/>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7834970896554874"/>
          <c:y val="2.7957809124412251E-2"/>
          <c:w val="0.47476482552875798"/>
          <c:h val="0.94408438175117548"/>
        </c:manualLayout>
      </c:layout>
      <c:barChart>
        <c:barDir val="bar"/>
        <c:grouping val="clustered"/>
        <c:varyColors val="0"/>
        <c:ser>
          <c:idx val="0"/>
          <c:order val="0"/>
          <c:tx>
            <c:strRef>
              <c:f>Arkusz1!$B$1</c:f>
              <c:strCache>
                <c:ptCount val="1"/>
                <c:pt idx="0">
                  <c:v>Procent wskazań</c:v>
                </c:pt>
              </c:strCache>
            </c:strRef>
          </c:tx>
          <c:spPr>
            <a:solidFill>
              <a:srgbClr val="061A3D"/>
            </a:solidFill>
            <a:ln>
              <a:noFill/>
            </a:ln>
            <a:effectLst/>
          </c:spPr>
          <c:invertIfNegative val="0"/>
          <c:dLbls>
            <c:numFmt formatCode="0%" sourceLinked="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Arkusz1!$A$2:$A$12</c:f>
              <c:strCache>
                <c:ptCount val="11"/>
                <c:pt idx="0">
                  <c:v>Nie wiem / trudno powiedzieć</c:v>
                </c:pt>
                <c:pt idx="1">
                  <c:v>Rozwój edukacji i nauki</c:v>
                </c:pt>
                <c:pt idx="2">
                  <c:v>Rozwój rolnictwa</c:v>
                </c:pt>
                <c:pt idx="3">
                  <c:v>Zawodowe</c:v>
                </c:pt>
                <c:pt idx="4">
                  <c:v>Wzrost prestiżu i znaczenia Polski</c:v>
                </c:pt>
                <c:pt idx="5">
                  <c:v>Wzrost jakości życia Polaków</c:v>
                </c:pt>
                <c:pt idx="6">
                  <c:v>Poprawa i rozbudowa infrastruktury</c:v>
                </c:pt>
                <c:pt idx="7">
                  <c:v>Poprawa bezpieczeństwa Polski</c:v>
                </c:pt>
                <c:pt idx="8">
                  <c:v>Możliwość pracy za granicą i łatwego przemieszczania się</c:v>
                </c:pt>
                <c:pt idx="9">
                  <c:v>Dofinansowanie, dotacje, fundusze unijne</c:v>
                </c:pt>
                <c:pt idx="10">
                  <c:v>Rozwój gospodarczy</c:v>
                </c:pt>
              </c:strCache>
            </c:strRef>
          </c:cat>
          <c:val>
            <c:numRef>
              <c:f>Arkusz1!$B$2:$B$12</c:f>
              <c:numCache>
                <c:formatCode>0.00%</c:formatCode>
                <c:ptCount val="11"/>
                <c:pt idx="0">
                  <c:v>2.3E-2</c:v>
                </c:pt>
                <c:pt idx="1">
                  <c:v>0.16500000000000001</c:v>
                </c:pt>
                <c:pt idx="2">
                  <c:v>0.23300000000000001</c:v>
                </c:pt>
                <c:pt idx="3">
                  <c:v>0.248</c:v>
                </c:pt>
                <c:pt idx="4">
                  <c:v>0.26900000000000002</c:v>
                </c:pt>
                <c:pt idx="5">
                  <c:v>0.29899999999999999</c:v>
                </c:pt>
                <c:pt idx="6">
                  <c:v>0.33900000000000002</c:v>
                </c:pt>
                <c:pt idx="7">
                  <c:v>0.38300000000000001</c:v>
                </c:pt>
                <c:pt idx="8">
                  <c:v>0.39700000000000002</c:v>
                </c:pt>
                <c:pt idx="9">
                  <c:v>0.42799999999999999</c:v>
                </c:pt>
                <c:pt idx="10">
                  <c:v>0.45300000000000001</c:v>
                </c:pt>
              </c:numCache>
            </c:numRef>
          </c:val>
          <c:extLst>
            <c:ext xmlns:c16="http://schemas.microsoft.com/office/drawing/2014/chart" uri="{C3380CC4-5D6E-409C-BE32-E72D297353CC}">
              <c16:uniqueId val="{00000000-F327-42D1-A8D2-94B0FED7D43C}"/>
            </c:ext>
          </c:extLst>
        </c:ser>
        <c:dLbls>
          <c:showLegendKey val="0"/>
          <c:showVal val="0"/>
          <c:showCatName val="0"/>
          <c:showSerName val="0"/>
          <c:showPercent val="0"/>
          <c:showBubbleSize val="0"/>
        </c:dLbls>
        <c:gapWidth val="112"/>
        <c:axId val="1115546271"/>
        <c:axId val="1115545311"/>
      </c:barChart>
      <c:catAx>
        <c:axId val="1115546271"/>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115545311"/>
        <c:crosses val="autoZero"/>
        <c:auto val="1"/>
        <c:lblAlgn val="ctr"/>
        <c:lblOffset val="100"/>
        <c:noMultiLvlLbl val="0"/>
      </c:catAx>
      <c:valAx>
        <c:axId val="1115545311"/>
        <c:scaling>
          <c:orientation val="minMax"/>
        </c:scaling>
        <c:delete val="1"/>
        <c:axPos val="b"/>
        <c:numFmt formatCode="0%" sourceLinked="0"/>
        <c:majorTickMark val="none"/>
        <c:minorTickMark val="none"/>
        <c:tickLblPos val="nextTo"/>
        <c:crossAx val="1115546271"/>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1200">
          <a:latin typeface="Arial" panose="020B0604020202020204" pitchFamily="34" charset="0"/>
          <a:cs typeface="Arial" panose="020B0604020202020204" pitchFamily="34" charset="0"/>
        </a:defRPr>
      </a:pPr>
      <a:endParaRPr lang="pl-PL"/>
    </a:p>
  </c:txPr>
  <c:externalData r:id="rId3">
    <c:autoUpdate val="0"/>
  </c:externalData>
</c:chartSpace>
</file>

<file path=word/charts/chart4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percentStacked"/>
        <c:varyColors val="0"/>
        <c:ser>
          <c:idx val="0"/>
          <c:order val="0"/>
          <c:tx>
            <c:strRef>
              <c:f>Arkusz1!$B$1</c:f>
              <c:strCache>
                <c:ptCount val="1"/>
                <c:pt idx="0">
                  <c:v>tak</c:v>
                </c:pt>
              </c:strCache>
            </c:strRef>
          </c:tx>
          <c:spPr>
            <a:solidFill>
              <a:srgbClr val="061A3D"/>
            </a:solidFill>
            <a:ln>
              <a:noFill/>
            </a:ln>
            <a:effectLst/>
          </c:spPr>
          <c:invertIfNegative val="0"/>
          <c:dLbls>
            <c:dLbl>
              <c:idx val="6"/>
              <c:numFmt formatCode="0%" sourceLinked="0"/>
              <c:spPr>
                <a:solidFill>
                  <a:srgbClr val="EE0000"/>
                </a:solidFill>
                <a:ln>
                  <a:noFill/>
                </a:ln>
                <a:effectLst/>
              </c:spPr>
              <c:txPr>
                <a:bodyPr rot="0" spcFirstLastPara="1" vertOverflow="ellipsis" vert="horz" wrap="square" anchor="ctr" anchorCtr="1"/>
                <a:lstStyle/>
                <a:p>
                  <a:pPr>
                    <a:defRPr sz="1100" b="0" i="0" u="none" strike="noStrike" kern="1200" baseline="0">
                      <a:solidFill>
                        <a:schemeClr val="bg1"/>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extLst>
                <c:ext xmlns:c16="http://schemas.microsoft.com/office/drawing/2014/chart" uri="{C3380CC4-5D6E-409C-BE32-E72D297353CC}">
                  <c16:uniqueId val="{00000000-BAC8-4EF6-B08C-49DAA4D387BD}"/>
                </c:ext>
              </c:extLst>
            </c:dLbl>
            <c:dLbl>
              <c:idx val="19"/>
              <c:numFmt formatCode="0%" sourceLinked="0"/>
              <c:spPr>
                <a:solidFill>
                  <a:srgbClr val="EE0000"/>
                </a:solidFill>
                <a:ln>
                  <a:noFill/>
                </a:ln>
                <a:effectLst/>
              </c:spPr>
              <c:txPr>
                <a:bodyPr rot="0" spcFirstLastPara="1" vertOverflow="ellipsis" vert="horz" wrap="square" anchor="ctr" anchorCtr="1"/>
                <a:lstStyle/>
                <a:p>
                  <a:pPr>
                    <a:defRPr sz="1100" b="0" i="0" u="none" strike="noStrike" kern="1200" baseline="0">
                      <a:solidFill>
                        <a:schemeClr val="bg1"/>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extLst>
                <c:ext xmlns:c16="http://schemas.microsoft.com/office/drawing/2014/chart" uri="{C3380CC4-5D6E-409C-BE32-E72D297353CC}">
                  <c16:uniqueId val="{00000001-BAC8-4EF6-B08C-49DAA4D387BD}"/>
                </c:ext>
              </c:extLst>
            </c:dLbl>
            <c:numFmt formatCode="0%" sourceLinked="0"/>
            <c:spPr>
              <a:noFill/>
              <a:ln>
                <a:noFill/>
              </a:ln>
              <a:effectLst/>
            </c:spPr>
            <c:txPr>
              <a:bodyPr rot="0" spcFirstLastPara="1" vertOverflow="ellipsis" vert="horz" wrap="square" anchor="ctr" anchorCtr="1"/>
              <a:lstStyle/>
              <a:p>
                <a:pPr>
                  <a:defRPr sz="1100" b="0" i="0" u="none" strike="noStrike" kern="1200" baseline="0">
                    <a:solidFill>
                      <a:schemeClr val="bg1"/>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Arkusz1!$A$2:$A$25</c:f>
              <c:strCache>
                <c:ptCount val="24"/>
                <c:pt idx="0">
                  <c:v>Ogółem</c:v>
                </c:pt>
                <c:pt idx="2">
                  <c:v>Kobieta</c:v>
                </c:pt>
                <c:pt idx="3">
                  <c:v>Mężczyzna</c:v>
                </c:pt>
                <c:pt idx="5">
                  <c:v>15–19 lat</c:v>
                </c:pt>
                <c:pt idx="6">
                  <c:v>20–24 lata</c:v>
                </c:pt>
                <c:pt idx="7">
                  <c:v>25–34 lata</c:v>
                </c:pt>
                <c:pt idx="8">
                  <c:v>35–44 lata</c:v>
                </c:pt>
                <c:pt idx="9">
                  <c:v>45–54 lata</c:v>
                </c:pt>
                <c:pt idx="10">
                  <c:v>55–64 lata</c:v>
                </c:pt>
                <c:pt idx="11">
                  <c:v>65+</c:v>
                </c:pt>
                <c:pt idx="13">
                  <c:v>Wyższe</c:v>
                </c:pt>
                <c:pt idx="14">
                  <c:v>Średnie</c:v>
                </c:pt>
                <c:pt idx="15">
                  <c:v>Zawodowe</c:v>
                </c:pt>
                <c:pt idx="16">
                  <c:v>Podstawowe</c:v>
                </c:pt>
                <c:pt idx="18">
                  <c:v>Wieś</c:v>
                </c:pt>
                <c:pt idx="19">
                  <c:v>Do 20 tys.</c:v>
                </c:pt>
                <c:pt idx="20">
                  <c:v>20–49 tys.</c:v>
                </c:pt>
                <c:pt idx="21">
                  <c:v>50–199 tys.</c:v>
                </c:pt>
                <c:pt idx="22">
                  <c:v>200–499 tys.</c:v>
                </c:pt>
                <c:pt idx="23">
                  <c:v>&gt;500 tys.</c:v>
                </c:pt>
              </c:strCache>
            </c:strRef>
          </c:cat>
          <c:val>
            <c:numRef>
              <c:f>Arkusz1!$B$2:$B$25</c:f>
              <c:numCache>
                <c:formatCode>General</c:formatCode>
                <c:ptCount val="24"/>
                <c:pt idx="0" formatCode="0.00%">
                  <c:v>0.183</c:v>
                </c:pt>
                <c:pt idx="2" formatCode="0.00%">
                  <c:v>0.19900000000000001</c:v>
                </c:pt>
                <c:pt idx="3" formatCode="0.00%">
                  <c:v>0.16900000000000001</c:v>
                </c:pt>
                <c:pt idx="5" formatCode="0.00%">
                  <c:v>0.16900000000000001</c:v>
                </c:pt>
                <c:pt idx="6" formatCode="0.00%">
                  <c:v>0.23</c:v>
                </c:pt>
                <c:pt idx="7" formatCode="0.00%">
                  <c:v>0.16300000000000001</c:v>
                </c:pt>
                <c:pt idx="8" formatCode="0.00%">
                  <c:v>0.161</c:v>
                </c:pt>
                <c:pt idx="9" formatCode="0.00%">
                  <c:v>0.21299999999999999</c:v>
                </c:pt>
                <c:pt idx="10" formatCode="0.00%">
                  <c:v>0.22</c:v>
                </c:pt>
                <c:pt idx="11" formatCode="0.00%">
                  <c:v>0.16700000000000001</c:v>
                </c:pt>
                <c:pt idx="13" formatCode="0.00%">
                  <c:v>0.17499999999999999</c:v>
                </c:pt>
                <c:pt idx="14" formatCode="0.00%">
                  <c:v>0.20100000000000001</c:v>
                </c:pt>
                <c:pt idx="15" formatCode="0.00%">
                  <c:v>0.17199999999999999</c:v>
                </c:pt>
                <c:pt idx="16" formatCode="0.00%">
                  <c:v>0.17599999999999999</c:v>
                </c:pt>
                <c:pt idx="18" formatCode="0.00%">
                  <c:v>0.17799999999999999</c:v>
                </c:pt>
                <c:pt idx="19" formatCode="0.00%">
                  <c:v>0.23799999999999999</c:v>
                </c:pt>
                <c:pt idx="20" formatCode="0.00%">
                  <c:v>0.21199999999999999</c:v>
                </c:pt>
                <c:pt idx="21" formatCode="0.00%">
                  <c:v>0.14699999999999999</c:v>
                </c:pt>
                <c:pt idx="22" formatCode="0.00%">
                  <c:v>0.123</c:v>
                </c:pt>
                <c:pt idx="23" formatCode="0.00%">
                  <c:v>0.2</c:v>
                </c:pt>
              </c:numCache>
            </c:numRef>
          </c:val>
          <c:extLst>
            <c:ext xmlns:c16="http://schemas.microsoft.com/office/drawing/2014/chart" uri="{C3380CC4-5D6E-409C-BE32-E72D297353CC}">
              <c16:uniqueId val="{00000002-BAC8-4EF6-B08C-49DAA4D387BD}"/>
            </c:ext>
          </c:extLst>
        </c:ser>
        <c:ser>
          <c:idx val="1"/>
          <c:order val="1"/>
          <c:tx>
            <c:strRef>
              <c:f>Arkusz1!$C$1</c:f>
              <c:strCache>
                <c:ptCount val="1"/>
                <c:pt idx="0">
                  <c:v>nie</c:v>
                </c:pt>
              </c:strCache>
            </c:strRef>
          </c:tx>
          <c:spPr>
            <a:solidFill>
              <a:schemeClr val="accent5">
                <a:lumMod val="75000"/>
              </a:schemeClr>
            </a:solidFill>
            <a:ln>
              <a:noFill/>
            </a:ln>
            <a:effectLst/>
          </c:spPr>
          <c:invertIfNegative val="0"/>
          <c:dLbls>
            <c:dLbl>
              <c:idx val="6"/>
              <c:numFmt formatCode="0%" sourceLinked="0"/>
              <c:spPr>
                <a:solidFill>
                  <a:srgbClr val="00B0F0"/>
                </a:solidFill>
                <a:ln>
                  <a:noFill/>
                </a:ln>
                <a:effectLst/>
              </c:spPr>
              <c:txPr>
                <a:bodyPr rot="0" spcFirstLastPara="1" vertOverflow="ellipsis" vert="horz" wrap="square" anchor="ctr" anchorCtr="1"/>
                <a:lstStyle/>
                <a:p>
                  <a:pPr>
                    <a:defRPr sz="1100" b="0" i="0" u="none" strike="noStrike" kern="1200" baseline="0">
                      <a:solidFill>
                        <a:schemeClr val="bg1"/>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extLst>
                <c:ext xmlns:c16="http://schemas.microsoft.com/office/drawing/2014/chart" uri="{C3380CC4-5D6E-409C-BE32-E72D297353CC}">
                  <c16:uniqueId val="{00000003-BAC8-4EF6-B08C-49DAA4D387BD}"/>
                </c:ext>
              </c:extLst>
            </c:dLbl>
            <c:dLbl>
              <c:idx val="10"/>
              <c:numFmt formatCode="0%" sourceLinked="0"/>
              <c:spPr>
                <a:solidFill>
                  <a:schemeClr val="accent5"/>
                </a:solidFill>
                <a:ln>
                  <a:noFill/>
                </a:ln>
                <a:effectLst/>
              </c:spPr>
              <c:txPr>
                <a:bodyPr rot="0" spcFirstLastPara="1" vertOverflow="ellipsis" vert="horz" wrap="square" anchor="ctr" anchorCtr="1"/>
                <a:lstStyle/>
                <a:p>
                  <a:pPr>
                    <a:defRPr sz="1100" b="0" i="0" u="none" strike="noStrike" kern="1200" baseline="0">
                      <a:solidFill>
                        <a:schemeClr val="bg1"/>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extLst>
                <c:ext xmlns:c16="http://schemas.microsoft.com/office/drawing/2014/chart" uri="{C3380CC4-5D6E-409C-BE32-E72D297353CC}">
                  <c16:uniqueId val="{00000004-BAC8-4EF6-B08C-49DAA4D387BD}"/>
                </c:ext>
              </c:extLst>
            </c:dLbl>
            <c:dLbl>
              <c:idx val="19"/>
              <c:numFmt formatCode="0%" sourceLinked="0"/>
              <c:spPr>
                <a:solidFill>
                  <a:srgbClr val="00B0F0"/>
                </a:solidFill>
                <a:ln>
                  <a:noFill/>
                </a:ln>
                <a:effectLst/>
              </c:spPr>
              <c:txPr>
                <a:bodyPr rot="0" spcFirstLastPara="1" vertOverflow="ellipsis" vert="horz" wrap="square" anchor="ctr" anchorCtr="1"/>
                <a:lstStyle/>
                <a:p>
                  <a:pPr>
                    <a:defRPr sz="1100" b="0" i="0" u="none" strike="noStrike" kern="1200" baseline="0">
                      <a:solidFill>
                        <a:schemeClr val="bg1"/>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extLst>
                <c:ext xmlns:c16="http://schemas.microsoft.com/office/drawing/2014/chart" uri="{C3380CC4-5D6E-409C-BE32-E72D297353CC}">
                  <c16:uniqueId val="{00000005-BAC8-4EF6-B08C-49DAA4D387BD}"/>
                </c:ext>
              </c:extLst>
            </c:dLbl>
            <c:dLbl>
              <c:idx val="22"/>
              <c:numFmt formatCode="0%" sourceLinked="0"/>
              <c:spPr>
                <a:solidFill>
                  <a:srgbClr val="EE0000"/>
                </a:solidFill>
                <a:ln>
                  <a:noFill/>
                </a:ln>
                <a:effectLst/>
              </c:spPr>
              <c:txPr>
                <a:bodyPr rot="0" spcFirstLastPara="1" vertOverflow="ellipsis" vert="horz" wrap="square" anchor="ctr" anchorCtr="1"/>
                <a:lstStyle/>
                <a:p>
                  <a:pPr>
                    <a:defRPr sz="1100" b="0" i="0" u="none" strike="noStrike" kern="1200" baseline="0">
                      <a:solidFill>
                        <a:schemeClr val="bg1"/>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extLst>
                <c:ext xmlns:c16="http://schemas.microsoft.com/office/drawing/2014/chart" uri="{C3380CC4-5D6E-409C-BE32-E72D297353CC}">
                  <c16:uniqueId val="{00000006-BAC8-4EF6-B08C-49DAA4D387BD}"/>
                </c:ext>
              </c:extLst>
            </c:dLbl>
            <c:dLbl>
              <c:idx val="23"/>
              <c:numFmt formatCode="0%" sourceLinked="0"/>
              <c:spPr>
                <a:solidFill>
                  <a:srgbClr val="00B0F0"/>
                </a:solidFill>
                <a:ln>
                  <a:noFill/>
                </a:ln>
                <a:effectLst/>
              </c:spPr>
              <c:txPr>
                <a:bodyPr rot="0" spcFirstLastPara="1" vertOverflow="ellipsis" vert="horz" wrap="square" anchor="ctr" anchorCtr="1"/>
                <a:lstStyle/>
                <a:p>
                  <a:pPr>
                    <a:defRPr sz="1100" b="0" i="0" u="none" strike="noStrike" kern="1200" baseline="0">
                      <a:solidFill>
                        <a:schemeClr val="bg1"/>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extLst>
                <c:ext xmlns:c16="http://schemas.microsoft.com/office/drawing/2014/chart" uri="{C3380CC4-5D6E-409C-BE32-E72D297353CC}">
                  <c16:uniqueId val="{00000007-BAC8-4EF6-B08C-49DAA4D387BD}"/>
                </c:ext>
              </c:extLst>
            </c:dLbl>
            <c:numFmt formatCode="0%" sourceLinked="0"/>
            <c:spPr>
              <a:noFill/>
              <a:ln>
                <a:noFill/>
              </a:ln>
              <a:effectLst/>
            </c:spPr>
            <c:txPr>
              <a:bodyPr rot="0" spcFirstLastPara="1" vertOverflow="ellipsis" vert="horz" wrap="square" anchor="ctr" anchorCtr="1"/>
              <a:lstStyle/>
              <a:p>
                <a:pPr>
                  <a:defRPr sz="1100" b="0" i="0" u="none" strike="noStrike" kern="1200" baseline="0">
                    <a:solidFill>
                      <a:schemeClr val="bg1"/>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Arkusz1!$A$2:$A$25</c:f>
              <c:strCache>
                <c:ptCount val="24"/>
                <c:pt idx="0">
                  <c:v>Ogółem</c:v>
                </c:pt>
                <c:pt idx="2">
                  <c:v>Kobieta</c:v>
                </c:pt>
                <c:pt idx="3">
                  <c:v>Mężczyzna</c:v>
                </c:pt>
                <c:pt idx="5">
                  <c:v>15–19 lat</c:v>
                </c:pt>
                <c:pt idx="6">
                  <c:v>20–24 lata</c:v>
                </c:pt>
                <c:pt idx="7">
                  <c:v>25–34 lata</c:v>
                </c:pt>
                <c:pt idx="8">
                  <c:v>35–44 lata</c:v>
                </c:pt>
                <c:pt idx="9">
                  <c:v>45–54 lata</c:v>
                </c:pt>
                <c:pt idx="10">
                  <c:v>55–64 lata</c:v>
                </c:pt>
                <c:pt idx="11">
                  <c:v>65+</c:v>
                </c:pt>
                <c:pt idx="13">
                  <c:v>Wyższe</c:v>
                </c:pt>
                <c:pt idx="14">
                  <c:v>Średnie</c:v>
                </c:pt>
                <c:pt idx="15">
                  <c:v>Zawodowe</c:v>
                </c:pt>
                <c:pt idx="16">
                  <c:v>Podstawowe</c:v>
                </c:pt>
                <c:pt idx="18">
                  <c:v>Wieś</c:v>
                </c:pt>
                <c:pt idx="19">
                  <c:v>Do 20 tys.</c:v>
                </c:pt>
                <c:pt idx="20">
                  <c:v>20–49 tys.</c:v>
                </c:pt>
                <c:pt idx="21">
                  <c:v>50–199 tys.</c:v>
                </c:pt>
                <c:pt idx="22">
                  <c:v>200–499 tys.</c:v>
                </c:pt>
                <c:pt idx="23">
                  <c:v>&gt;500 tys.</c:v>
                </c:pt>
              </c:strCache>
            </c:strRef>
          </c:cat>
          <c:val>
            <c:numRef>
              <c:f>Arkusz1!$C$2:$C$25</c:f>
              <c:numCache>
                <c:formatCode>General</c:formatCode>
                <c:ptCount val="24"/>
                <c:pt idx="0" formatCode="0.00%">
                  <c:v>0.76300000000000001</c:v>
                </c:pt>
                <c:pt idx="2" formatCode="0.00%">
                  <c:v>0.74</c:v>
                </c:pt>
                <c:pt idx="3" formatCode="0.00%">
                  <c:v>0.78500000000000003</c:v>
                </c:pt>
                <c:pt idx="5" formatCode="0.00%">
                  <c:v>0.76300000000000001</c:v>
                </c:pt>
                <c:pt idx="6" formatCode="0.00%">
                  <c:v>0.73799999999999999</c:v>
                </c:pt>
                <c:pt idx="7" formatCode="0.00%">
                  <c:v>0.79600000000000004</c:v>
                </c:pt>
                <c:pt idx="8" formatCode="0.00%">
                  <c:v>0.78100000000000003</c:v>
                </c:pt>
                <c:pt idx="9" formatCode="0.00%">
                  <c:v>0.72299999999999998</c:v>
                </c:pt>
                <c:pt idx="10" formatCode="0.00%">
                  <c:v>0.74</c:v>
                </c:pt>
                <c:pt idx="11" formatCode="0.00%">
                  <c:v>0.77200000000000002</c:v>
                </c:pt>
                <c:pt idx="13" formatCode="0.00%">
                  <c:v>0.79100000000000004</c:v>
                </c:pt>
                <c:pt idx="14" formatCode="0.00%">
                  <c:v>0.72299999999999998</c:v>
                </c:pt>
                <c:pt idx="15" formatCode="0.00%">
                  <c:v>0.77800000000000002</c:v>
                </c:pt>
                <c:pt idx="16" formatCode="0.00%">
                  <c:v>0.78200000000000003</c:v>
                </c:pt>
                <c:pt idx="18" formatCode="0.00%">
                  <c:v>0.75600000000000001</c:v>
                </c:pt>
                <c:pt idx="19" formatCode="0.00%">
                  <c:v>0.71299999999999997</c:v>
                </c:pt>
                <c:pt idx="20" formatCode="0.00%">
                  <c:v>0.74299999999999999</c:v>
                </c:pt>
                <c:pt idx="21" formatCode="0.00%">
                  <c:v>0.83199999999999996</c:v>
                </c:pt>
                <c:pt idx="22" formatCode="0.00%">
                  <c:v>0.86399999999999999</c:v>
                </c:pt>
                <c:pt idx="23" formatCode="0.00%">
                  <c:v>0.70399999999999996</c:v>
                </c:pt>
              </c:numCache>
            </c:numRef>
          </c:val>
          <c:extLst>
            <c:ext xmlns:c16="http://schemas.microsoft.com/office/drawing/2014/chart" uri="{C3380CC4-5D6E-409C-BE32-E72D297353CC}">
              <c16:uniqueId val="{00000008-BAC8-4EF6-B08C-49DAA4D387BD}"/>
            </c:ext>
          </c:extLst>
        </c:ser>
        <c:ser>
          <c:idx val="2"/>
          <c:order val="2"/>
          <c:tx>
            <c:strRef>
              <c:f>Arkusz1!$D$1</c:f>
              <c:strCache>
                <c:ptCount val="1"/>
                <c:pt idx="0">
                  <c:v>nie wiem / nie pamiętam</c:v>
                </c:pt>
              </c:strCache>
            </c:strRef>
          </c:tx>
          <c:spPr>
            <a:solidFill>
              <a:schemeClr val="accent3"/>
            </a:solidFill>
            <a:ln>
              <a:noFill/>
            </a:ln>
            <a:effectLst/>
          </c:spPr>
          <c:invertIfNegative val="0"/>
          <c:dLbls>
            <c:dLbl>
              <c:idx val="14"/>
              <c:numFmt formatCode="0%" sourceLinked="0"/>
              <c:spPr>
                <a:solidFill>
                  <a:srgbClr val="EE0000"/>
                </a:solidFill>
                <a:ln>
                  <a:noFill/>
                </a:ln>
                <a:effectLst/>
              </c:spPr>
              <c:txPr>
                <a:bodyPr rot="0" spcFirstLastPara="1" vertOverflow="ellipsis" vert="horz" wrap="square" anchor="ctr" anchorCtr="1"/>
                <a:lstStyle/>
                <a:p>
                  <a:pPr>
                    <a:defRPr sz="1100" b="0" i="0" u="none" strike="noStrike" kern="1200" baseline="0">
                      <a:solidFill>
                        <a:schemeClr val="bg1"/>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extLst>
                <c:ext xmlns:c16="http://schemas.microsoft.com/office/drawing/2014/chart" uri="{C3380CC4-5D6E-409C-BE32-E72D297353CC}">
                  <c16:uniqueId val="{00000009-BAC8-4EF6-B08C-49DAA4D387BD}"/>
                </c:ext>
              </c:extLst>
            </c:dLbl>
            <c:dLbl>
              <c:idx val="23"/>
              <c:numFmt formatCode="0%" sourceLinked="0"/>
              <c:spPr>
                <a:solidFill>
                  <a:srgbClr val="EE0000"/>
                </a:solidFill>
                <a:ln>
                  <a:noFill/>
                </a:ln>
                <a:effectLst/>
              </c:spPr>
              <c:txPr>
                <a:bodyPr rot="0" spcFirstLastPara="1" vertOverflow="ellipsis" vert="horz" wrap="square" anchor="ctr" anchorCtr="1"/>
                <a:lstStyle/>
                <a:p>
                  <a:pPr>
                    <a:defRPr sz="1100" b="0" i="0" u="none" strike="noStrike" kern="1200" baseline="0">
                      <a:solidFill>
                        <a:schemeClr val="bg1"/>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extLst>
                <c:ext xmlns:c16="http://schemas.microsoft.com/office/drawing/2014/chart" uri="{C3380CC4-5D6E-409C-BE32-E72D297353CC}">
                  <c16:uniqueId val="{0000000A-BAC8-4EF6-B08C-49DAA4D387BD}"/>
                </c:ext>
              </c:extLst>
            </c:dLbl>
            <c:numFmt formatCode="0%" sourceLinked="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Arkusz1!$A$2:$A$25</c:f>
              <c:strCache>
                <c:ptCount val="24"/>
                <c:pt idx="0">
                  <c:v>Ogółem</c:v>
                </c:pt>
                <c:pt idx="2">
                  <c:v>Kobieta</c:v>
                </c:pt>
                <c:pt idx="3">
                  <c:v>Mężczyzna</c:v>
                </c:pt>
                <c:pt idx="5">
                  <c:v>15–19 lat</c:v>
                </c:pt>
                <c:pt idx="6">
                  <c:v>20–24 lata</c:v>
                </c:pt>
                <c:pt idx="7">
                  <c:v>25–34 lata</c:v>
                </c:pt>
                <c:pt idx="8">
                  <c:v>35–44 lata</c:v>
                </c:pt>
                <c:pt idx="9">
                  <c:v>45–54 lata</c:v>
                </c:pt>
                <c:pt idx="10">
                  <c:v>55–64 lata</c:v>
                </c:pt>
                <c:pt idx="11">
                  <c:v>65+</c:v>
                </c:pt>
                <c:pt idx="13">
                  <c:v>Wyższe</c:v>
                </c:pt>
                <c:pt idx="14">
                  <c:v>Średnie</c:v>
                </c:pt>
                <c:pt idx="15">
                  <c:v>Zawodowe</c:v>
                </c:pt>
                <c:pt idx="16">
                  <c:v>Podstawowe</c:v>
                </c:pt>
                <c:pt idx="18">
                  <c:v>Wieś</c:v>
                </c:pt>
                <c:pt idx="19">
                  <c:v>Do 20 tys.</c:v>
                </c:pt>
                <c:pt idx="20">
                  <c:v>20–49 tys.</c:v>
                </c:pt>
                <c:pt idx="21">
                  <c:v>50–199 tys.</c:v>
                </c:pt>
                <c:pt idx="22">
                  <c:v>200–499 tys.</c:v>
                </c:pt>
                <c:pt idx="23">
                  <c:v>&gt;500 tys.</c:v>
                </c:pt>
              </c:strCache>
            </c:strRef>
          </c:cat>
          <c:val>
            <c:numRef>
              <c:f>Arkusz1!$D$2:$D$25</c:f>
              <c:numCache>
                <c:formatCode>General</c:formatCode>
                <c:ptCount val="24"/>
                <c:pt idx="0" formatCode="0.00%">
                  <c:v>5.2999999999999999E-2</c:v>
                </c:pt>
                <c:pt idx="2" formatCode="0.00%">
                  <c:v>6.0999999999999999E-2</c:v>
                </c:pt>
                <c:pt idx="3" formatCode="0.00%">
                  <c:v>4.5999999999999999E-2</c:v>
                </c:pt>
                <c:pt idx="5" formatCode="0.00%">
                  <c:v>6.8000000000000005E-2</c:v>
                </c:pt>
                <c:pt idx="6" formatCode="0.00%">
                  <c:v>3.3000000000000002E-2</c:v>
                </c:pt>
                <c:pt idx="7" formatCode="0.00%">
                  <c:v>4.1000000000000002E-2</c:v>
                </c:pt>
                <c:pt idx="8" formatCode="0.00%">
                  <c:v>5.7000000000000002E-2</c:v>
                </c:pt>
                <c:pt idx="9" formatCode="0.00%">
                  <c:v>6.4000000000000001E-2</c:v>
                </c:pt>
                <c:pt idx="10" formatCode="0.00%">
                  <c:v>3.9E-2</c:v>
                </c:pt>
                <c:pt idx="11" formatCode="0.00%">
                  <c:v>6.0999999999999999E-2</c:v>
                </c:pt>
                <c:pt idx="13" formatCode="0.00%">
                  <c:v>3.4000000000000002E-2</c:v>
                </c:pt>
                <c:pt idx="14" formatCode="0.00%">
                  <c:v>7.5999999999999998E-2</c:v>
                </c:pt>
                <c:pt idx="15" formatCode="0.00%">
                  <c:v>0.05</c:v>
                </c:pt>
                <c:pt idx="16" formatCode="0.00%">
                  <c:v>4.2000000000000003E-2</c:v>
                </c:pt>
                <c:pt idx="18" formatCode="0.00%">
                  <c:v>6.6000000000000003E-2</c:v>
                </c:pt>
                <c:pt idx="19" formatCode="0.00%">
                  <c:v>4.9000000000000002E-2</c:v>
                </c:pt>
                <c:pt idx="20" formatCode="0.00%">
                  <c:v>4.3999999999999997E-2</c:v>
                </c:pt>
                <c:pt idx="21" formatCode="0.00%">
                  <c:v>2.1000000000000001E-2</c:v>
                </c:pt>
                <c:pt idx="22" formatCode="0.00%">
                  <c:v>1.2E-2</c:v>
                </c:pt>
                <c:pt idx="23" formatCode="0.00%">
                  <c:v>9.6000000000000002E-2</c:v>
                </c:pt>
              </c:numCache>
            </c:numRef>
          </c:val>
          <c:extLst>
            <c:ext xmlns:c16="http://schemas.microsoft.com/office/drawing/2014/chart" uri="{C3380CC4-5D6E-409C-BE32-E72D297353CC}">
              <c16:uniqueId val="{0000000B-BAC8-4EF6-B08C-49DAA4D387BD}"/>
            </c:ext>
          </c:extLst>
        </c:ser>
        <c:dLbls>
          <c:showLegendKey val="0"/>
          <c:showVal val="0"/>
          <c:showCatName val="0"/>
          <c:showSerName val="0"/>
          <c:showPercent val="0"/>
          <c:showBubbleSize val="0"/>
        </c:dLbls>
        <c:gapWidth val="65"/>
        <c:overlap val="100"/>
        <c:axId val="1707236319"/>
        <c:axId val="1707237279"/>
      </c:barChart>
      <c:catAx>
        <c:axId val="1707236319"/>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707237279"/>
        <c:crosses val="autoZero"/>
        <c:auto val="1"/>
        <c:lblAlgn val="ctr"/>
        <c:lblOffset val="100"/>
        <c:noMultiLvlLbl val="0"/>
      </c:catAx>
      <c:valAx>
        <c:axId val="1707237279"/>
        <c:scaling>
          <c:orientation val="minMax"/>
        </c:scaling>
        <c:delete val="0"/>
        <c:axPos val="t"/>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70723631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1100">
          <a:latin typeface="Arial" panose="020B0604020202020204" pitchFamily="34" charset="0"/>
          <a:cs typeface="Arial" panose="020B0604020202020204" pitchFamily="34" charset="0"/>
        </a:defRPr>
      </a:pPr>
      <a:endParaRPr lang="pl-PL"/>
    </a:p>
  </c:txPr>
  <c:externalData r:id="rId3">
    <c:autoUpdate val="0"/>
  </c:externalData>
</c:chartSpace>
</file>

<file path=word/charts/chart4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percentStacked"/>
        <c:varyColors val="0"/>
        <c:ser>
          <c:idx val="0"/>
          <c:order val="0"/>
          <c:tx>
            <c:strRef>
              <c:f>Arkusz1!$B$1</c:f>
              <c:strCache>
                <c:ptCount val="1"/>
                <c:pt idx="0">
                  <c:v>Tak</c:v>
                </c:pt>
              </c:strCache>
            </c:strRef>
          </c:tx>
          <c:spPr>
            <a:solidFill>
              <a:srgbClr val="061A3D"/>
            </a:solidFill>
            <a:ln>
              <a:noFill/>
            </a:ln>
            <a:effectLst/>
          </c:spPr>
          <c:invertIfNegative val="0"/>
          <c:dLbls>
            <c:dLbl>
              <c:idx val="1"/>
              <c:numFmt formatCode="0%" sourceLinked="0"/>
              <c:spPr>
                <a:solidFill>
                  <a:srgbClr val="EE0000"/>
                </a:solidFill>
                <a:ln>
                  <a:noFill/>
                </a:ln>
                <a:effectLst/>
              </c:spPr>
              <c:txPr>
                <a:bodyPr rot="0" spcFirstLastPara="1" vertOverflow="ellipsis" vert="horz" wrap="square" anchor="ctr" anchorCtr="1"/>
                <a:lstStyle/>
                <a:p>
                  <a:pPr>
                    <a:defRPr sz="1100" b="0" i="0" u="none" strike="noStrike" kern="1200" baseline="0">
                      <a:solidFill>
                        <a:schemeClr val="bg1"/>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extLst>
                <c:ext xmlns:c16="http://schemas.microsoft.com/office/drawing/2014/chart" uri="{C3380CC4-5D6E-409C-BE32-E72D297353CC}">
                  <c16:uniqueId val="{00000000-06AB-4432-B985-FA71BFA93C04}"/>
                </c:ext>
              </c:extLst>
            </c:dLbl>
            <c:dLbl>
              <c:idx val="7"/>
              <c:numFmt formatCode="0%" sourceLinked="0"/>
              <c:spPr>
                <a:solidFill>
                  <a:srgbClr val="EE0000"/>
                </a:solidFill>
                <a:ln>
                  <a:noFill/>
                </a:ln>
                <a:effectLst/>
              </c:spPr>
              <c:txPr>
                <a:bodyPr rot="0" spcFirstLastPara="1" vertOverflow="ellipsis" vert="horz" wrap="square" anchor="ctr" anchorCtr="1"/>
                <a:lstStyle/>
                <a:p>
                  <a:pPr>
                    <a:defRPr sz="1100" b="0" i="0" u="none" strike="noStrike" kern="1200" baseline="0">
                      <a:solidFill>
                        <a:schemeClr val="bg1"/>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extLst>
                <c:ext xmlns:c16="http://schemas.microsoft.com/office/drawing/2014/chart" uri="{C3380CC4-5D6E-409C-BE32-E72D297353CC}">
                  <c16:uniqueId val="{00000001-06AB-4432-B985-FA71BFA93C04}"/>
                </c:ext>
              </c:extLst>
            </c:dLbl>
            <c:numFmt formatCode="0%" sourceLinked="0"/>
            <c:spPr>
              <a:noFill/>
              <a:ln>
                <a:noFill/>
              </a:ln>
              <a:effectLst/>
            </c:spPr>
            <c:txPr>
              <a:bodyPr rot="0" spcFirstLastPara="1" vertOverflow="ellipsis" vert="horz" wrap="square" anchor="ctr" anchorCtr="1"/>
              <a:lstStyle/>
              <a:p>
                <a:pPr>
                  <a:defRPr sz="1100" b="0" i="0" u="none" strike="noStrike" kern="1200" baseline="0">
                    <a:solidFill>
                      <a:schemeClr val="bg1"/>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Arkusz1!$A$2:$A$13</c:f>
              <c:strCache>
                <c:ptCount val="12"/>
                <c:pt idx="0">
                  <c:v>2014 N=6352</c:v>
                </c:pt>
                <c:pt idx="1">
                  <c:v>2015 N=1642</c:v>
                </c:pt>
                <c:pt idx="2">
                  <c:v>2016 N=5366</c:v>
                </c:pt>
                <c:pt idx="3">
                  <c:v>2017 N=919</c:v>
                </c:pt>
                <c:pt idx="4">
                  <c:v>2018 N=5615</c:v>
                </c:pt>
                <c:pt idx="5">
                  <c:v>2019 N=905</c:v>
                </c:pt>
                <c:pt idx="6">
                  <c:v>2020 N=5514</c:v>
                </c:pt>
                <c:pt idx="7">
                  <c:v>2021 N=887</c:v>
                </c:pt>
                <c:pt idx="8">
                  <c:v>2022 N=5279</c:v>
                </c:pt>
                <c:pt idx="9">
                  <c:v>2023 N=888</c:v>
                </c:pt>
                <c:pt idx="10">
                  <c:v>2024 N=5707</c:v>
                </c:pt>
                <c:pt idx="11">
                  <c:v>2025 N=955</c:v>
                </c:pt>
              </c:strCache>
            </c:strRef>
          </c:cat>
          <c:val>
            <c:numRef>
              <c:f>Arkusz1!$B$2:$B$13</c:f>
              <c:numCache>
                <c:formatCode>0%</c:formatCode>
                <c:ptCount val="12"/>
                <c:pt idx="0">
                  <c:v>0.16</c:v>
                </c:pt>
                <c:pt idx="1">
                  <c:v>0.21</c:v>
                </c:pt>
                <c:pt idx="2">
                  <c:v>0.09</c:v>
                </c:pt>
                <c:pt idx="3">
                  <c:v>0.08</c:v>
                </c:pt>
                <c:pt idx="4">
                  <c:v>0.08</c:v>
                </c:pt>
                <c:pt idx="5">
                  <c:v>0.04</c:v>
                </c:pt>
                <c:pt idx="6">
                  <c:v>0.1</c:v>
                </c:pt>
                <c:pt idx="7">
                  <c:v>0.13</c:v>
                </c:pt>
                <c:pt idx="8">
                  <c:v>0.08</c:v>
                </c:pt>
                <c:pt idx="9">
                  <c:v>0.08</c:v>
                </c:pt>
                <c:pt idx="10">
                  <c:v>0.08</c:v>
                </c:pt>
                <c:pt idx="11">
                  <c:v>0.08</c:v>
                </c:pt>
              </c:numCache>
            </c:numRef>
          </c:val>
          <c:extLst>
            <c:ext xmlns:c16="http://schemas.microsoft.com/office/drawing/2014/chart" uri="{C3380CC4-5D6E-409C-BE32-E72D297353CC}">
              <c16:uniqueId val="{00000000-ADD9-42AA-AECF-BD22EE459963}"/>
            </c:ext>
          </c:extLst>
        </c:ser>
        <c:ser>
          <c:idx val="1"/>
          <c:order val="1"/>
          <c:tx>
            <c:strRef>
              <c:f>Arkusz1!$C$1</c:f>
              <c:strCache>
                <c:ptCount val="1"/>
                <c:pt idx="0">
                  <c:v>Nie</c:v>
                </c:pt>
              </c:strCache>
            </c:strRef>
          </c:tx>
          <c:spPr>
            <a:solidFill>
              <a:schemeClr val="bg1">
                <a:lumMod val="85000"/>
              </a:schemeClr>
            </a:solidFill>
            <a:ln>
              <a:noFill/>
            </a:ln>
            <a:effectLst/>
          </c:spPr>
          <c:invertIfNegative val="0"/>
          <c:dLbls>
            <c:dLbl>
              <c:idx val="0"/>
              <c:numFmt formatCode="0%" sourceLinked="0"/>
              <c:spPr>
                <a:solidFill>
                  <a:srgbClr val="EE0000"/>
                </a:solidFill>
                <a:ln>
                  <a:noFill/>
                </a:ln>
                <a:effectLst/>
              </c:spPr>
              <c:txPr>
                <a:bodyPr rot="0" spcFirstLastPara="1" vertOverflow="ellipsis" vert="horz" wrap="square" anchor="ctr" anchorCtr="1"/>
                <a:lstStyle/>
                <a:p>
                  <a:pPr>
                    <a:defRPr sz="1100" b="0" i="0" u="none" strike="noStrike" kern="1200" baseline="0">
                      <a:solidFill>
                        <a:schemeClr val="bg1"/>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extLst>
                <c:ext xmlns:c16="http://schemas.microsoft.com/office/drawing/2014/chart" uri="{C3380CC4-5D6E-409C-BE32-E72D297353CC}">
                  <c16:uniqueId val="{00000002-06AB-4432-B985-FA71BFA93C04}"/>
                </c:ext>
              </c:extLst>
            </c:dLbl>
            <c:dLbl>
              <c:idx val="5"/>
              <c:numFmt formatCode="0%" sourceLinked="0"/>
              <c:spPr>
                <a:solidFill>
                  <a:srgbClr val="EE0000"/>
                </a:solidFill>
                <a:ln>
                  <a:noFill/>
                </a:ln>
                <a:effectLst/>
              </c:spPr>
              <c:txPr>
                <a:bodyPr rot="0" spcFirstLastPara="1" vertOverflow="ellipsis" vert="horz" wrap="square" anchor="ctr" anchorCtr="1"/>
                <a:lstStyle/>
                <a:p>
                  <a:pPr>
                    <a:defRPr sz="1100" b="0" i="0" u="none" strike="noStrike" kern="1200" baseline="0">
                      <a:solidFill>
                        <a:schemeClr val="bg1"/>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extLst>
                <c:ext xmlns:c16="http://schemas.microsoft.com/office/drawing/2014/chart" uri="{C3380CC4-5D6E-409C-BE32-E72D297353CC}">
                  <c16:uniqueId val="{00000003-06AB-4432-B985-FA71BFA93C04}"/>
                </c:ext>
              </c:extLst>
            </c:dLbl>
            <c:dLbl>
              <c:idx val="7"/>
              <c:numFmt formatCode="0%" sourceLinked="0"/>
              <c:spPr>
                <a:solidFill>
                  <a:srgbClr val="00B0F0"/>
                </a:solidFill>
                <a:ln>
                  <a:noFill/>
                </a:ln>
                <a:effectLst/>
              </c:spPr>
              <c:txPr>
                <a:bodyPr rot="0" spcFirstLastPara="1" vertOverflow="ellipsis" vert="horz" wrap="square" anchor="ctr" anchorCtr="1"/>
                <a:lstStyle/>
                <a:p>
                  <a:pPr>
                    <a:defRPr sz="1100" b="0" i="0" u="none" strike="noStrike" kern="1200" baseline="0">
                      <a:solidFill>
                        <a:schemeClr val="bg1"/>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extLst>
                <c:ext xmlns:c16="http://schemas.microsoft.com/office/drawing/2014/chart" uri="{C3380CC4-5D6E-409C-BE32-E72D297353CC}">
                  <c16:uniqueId val="{00000004-06AB-4432-B985-FA71BFA93C04}"/>
                </c:ext>
              </c:extLst>
            </c:dLbl>
            <c:numFmt formatCode="0%" sourceLinked="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Arkusz1!$A$2:$A$13</c:f>
              <c:strCache>
                <c:ptCount val="12"/>
                <c:pt idx="0">
                  <c:v>2014 N=6352</c:v>
                </c:pt>
                <c:pt idx="1">
                  <c:v>2015 N=1642</c:v>
                </c:pt>
                <c:pt idx="2">
                  <c:v>2016 N=5366</c:v>
                </c:pt>
                <c:pt idx="3">
                  <c:v>2017 N=919</c:v>
                </c:pt>
                <c:pt idx="4">
                  <c:v>2018 N=5615</c:v>
                </c:pt>
                <c:pt idx="5">
                  <c:v>2019 N=905</c:v>
                </c:pt>
                <c:pt idx="6">
                  <c:v>2020 N=5514</c:v>
                </c:pt>
                <c:pt idx="7">
                  <c:v>2021 N=887</c:v>
                </c:pt>
                <c:pt idx="8">
                  <c:v>2022 N=5279</c:v>
                </c:pt>
                <c:pt idx="9">
                  <c:v>2023 N=888</c:v>
                </c:pt>
                <c:pt idx="10">
                  <c:v>2024 N=5707</c:v>
                </c:pt>
                <c:pt idx="11">
                  <c:v>2025 N=955</c:v>
                </c:pt>
              </c:strCache>
            </c:strRef>
          </c:cat>
          <c:val>
            <c:numRef>
              <c:f>Arkusz1!$C$2:$C$13</c:f>
              <c:numCache>
                <c:formatCode>0%</c:formatCode>
                <c:ptCount val="12"/>
                <c:pt idx="0">
                  <c:v>0.74</c:v>
                </c:pt>
                <c:pt idx="1">
                  <c:v>0.56000000000000005</c:v>
                </c:pt>
                <c:pt idx="2">
                  <c:v>0.63</c:v>
                </c:pt>
                <c:pt idx="3">
                  <c:v>0.63</c:v>
                </c:pt>
                <c:pt idx="4">
                  <c:v>0.62</c:v>
                </c:pt>
                <c:pt idx="5">
                  <c:v>0.74</c:v>
                </c:pt>
                <c:pt idx="6">
                  <c:v>0.56000000000000005</c:v>
                </c:pt>
                <c:pt idx="7">
                  <c:v>0.45</c:v>
                </c:pt>
                <c:pt idx="8">
                  <c:v>0.6</c:v>
                </c:pt>
                <c:pt idx="9">
                  <c:v>0.49</c:v>
                </c:pt>
                <c:pt idx="10">
                  <c:v>0.53</c:v>
                </c:pt>
                <c:pt idx="11">
                  <c:v>0.54</c:v>
                </c:pt>
              </c:numCache>
            </c:numRef>
          </c:val>
          <c:extLst>
            <c:ext xmlns:c16="http://schemas.microsoft.com/office/drawing/2014/chart" uri="{C3380CC4-5D6E-409C-BE32-E72D297353CC}">
              <c16:uniqueId val="{00000001-ADD9-42AA-AECF-BD22EE459963}"/>
            </c:ext>
          </c:extLst>
        </c:ser>
        <c:ser>
          <c:idx val="2"/>
          <c:order val="2"/>
          <c:tx>
            <c:strRef>
              <c:f>Arkusz1!$D$1</c:f>
              <c:strCache>
                <c:ptCount val="1"/>
                <c:pt idx="0">
                  <c:v>Nie wiem / trudno powiedzieć</c:v>
                </c:pt>
              </c:strCache>
            </c:strRef>
          </c:tx>
          <c:spPr>
            <a:solidFill>
              <a:schemeClr val="tx1">
                <a:lumMod val="50000"/>
                <a:lumOff val="50000"/>
              </a:schemeClr>
            </a:solidFill>
            <a:ln>
              <a:noFill/>
            </a:ln>
            <a:effectLst/>
          </c:spPr>
          <c:invertIfNegative val="0"/>
          <c:dLbls>
            <c:dLbl>
              <c:idx val="0"/>
              <c:numFmt formatCode="0%" sourceLinked="0"/>
              <c:spPr>
                <a:solidFill>
                  <a:srgbClr val="00B0F0"/>
                </a:solidFill>
                <a:ln>
                  <a:noFill/>
                </a:ln>
                <a:effectLst/>
              </c:spPr>
              <c:txPr>
                <a:bodyPr rot="0" spcFirstLastPara="1" vertOverflow="ellipsis" vert="horz" wrap="square" anchor="ctr" anchorCtr="1"/>
                <a:lstStyle/>
                <a:p>
                  <a:pPr>
                    <a:defRPr sz="1100" b="0" i="0" u="none" strike="noStrike" kern="1200" baseline="0">
                      <a:solidFill>
                        <a:schemeClr val="bg1"/>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extLst>
                <c:ext xmlns:c16="http://schemas.microsoft.com/office/drawing/2014/chart" uri="{C3380CC4-5D6E-409C-BE32-E72D297353CC}">
                  <c16:uniqueId val="{00000006-06AB-4432-B985-FA71BFA93C04}"/>
                </c:ext>
              </c:extLst>
            </c:dLbl>
            <c:dLbl>
              <c:idx val="7"/>
              <c:numFmt formatCode="0%" sourceLinked="0"/>
              <c:spPr>
                <a:solidFill>
                  <a:srgbClr val="EE0000"/>
                </a:solidFill>
                <a:ln>
                  <a:noFill/>
                </a:ln>
                <a:effectLst/>
              </c:spPr>
              <c:txPr>
                <a:bodyPr rot="0" spcFirstLastPara="1" vertOverflow="ellipsis" vert="horz" wrap="square" anchor="ctr" anchorCtr="1"/>
                <a:lstStyle/>
                <a:p>
                  <a:pPr>
                    <a:defRPr sz="1100" b="0" i="0" u="none" strike="noStrike" kern="1200" baseline="0">
                      <a:solidFill>
                        <a:schemeClr val="bg1"/>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extLst>
                <c:ext xmlns:c16="http://schemas.microsoft.com/office/drawing/2014/chart" uri="{C3380CC4-5D6E-409C-BE32-E72D297353CC}">
                  <c16:uniqueId val="{00000009-06AB-4432-B985-FA71BFA93C04}"/>
                </c:ext>
              </c:extLst>
            </c:dLbl>
            <c:dLbl>
              <c:idx val="9"/>
              <c:numFmt formatCode="0%" sourceLinked="0"/>
              <c:spPr>
                <a:solidFill>
                  <a:srgbClr val="EE0000"/>
                </a:solidFill>
                <a:ln>
                  <a:noFill/>
                </a:ln>
                <a:effectLst/>
              </c:spPr>
              <c:txPr>
                <a:bodyPr rot="0" spcFirstLastPara="1" vertOverflow="ellipsis" vert="horz" wrap="square" anchor="ctr" anchorCtr="1"/>
                <a:lstStyle/>
                <a:p>
                  <a:pPr>
                    <a:defRPr sz="1100" b="0" i="0" u="none" strike="noStrike" kern="1200" baseline="0">
                      <a:solidFill>
                        <a:schemeClr val="bg1"/>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extLst>
                <c:ext xmlns:c16="http://schemas.microsoft.com/office/drawing/2014/chart" uri="{C3380CC4-5D6E-409C-BE32-E72D297353CC}">
                  <c16:uniqueId val="{00000005-06AB-4432-B985-FA71BFA93C04}"/>
                </c:ext>
              </c:extLst>
            </c:dLbl>
            <c:dLbl>
              <c:idx val="10"/>
              <c:numFmt formatCode="0%" sourceLinked="0"/>
              <c:spPr>
                <a:solidFill>
                  <a:srgbClr val="EE0000"/>
                </a:solidFill>
                <a:ln>
                  <a:noFill/>
                </a:ln>
                <a:effectLst/>
              </c:spPr>
              <c:txPr>
                <a:bodyPr rot="0" spcFirstLastPara="1" vertOverflow="ellipsis" vert="horz" wrap="square" anchor="ctr" anchorCtr="1"/>
                <a:lstStyle/>
                <a:p>
                  <a:pPr>
                    <a:defRPr sz="1100" b="0" i="0" u="none" strike="noStrike" kern="1200" baseline="0">
                      <a:solidFill>
                        <a:schemeClr val="bg1"/>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extLst>
                <c:ext xmlns:c16="http://schemas.microsoft.com/office/drawing/2014/chart" uri="{C3380CC4-5D6E-409C-BE32-E72D297353CC}">
                  <c16:uniqueId val="{00000008-06AB-4432-B985-FA71BFA93C04}"/>
                </c:ext>
              </c:extLst>
            </c:dLbl>
            <c:dLbl>
              <c:idx val="11"/>
              <c:numFmt formatCode="0%" sourceLinked="0"/>
              <c:spPr>
                <a:solidFill>
                  <a:srgbClr val="EE0000"/>
                </a:solidFill>
                <a:ln>
                  <a:noFill/>
                </a:ln>
                <a:effectLst/>
              </c:spPr>
              <c:txPr>
                <a:bodyPr rot="0" spcFirstLastPara="1" vertOverflow="ellipsis" vert="horz" wrap="square" anchor="ctr" anchorCtr="1"/>
                <a:lstStyle/>
                <a:p>
                  <a:pPr>
                    <a:defRPr sz="1100" b="0" i="0" u="none" strike="noStrike" kern="1200" baseline="0">
                      <a:solidFill>
                        <a:schemeClr val="bg1"/>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extLst>
                <c:ext xmlns:c16="http://schemas.microsoft.com/office/drawing/2014/chart" uri="{C3380CC4-5D6E-409C-BE32-E72D297353CC}">
                  <c16:uniqueId val="{0000000A-06AB-4432-B985-FA71BFA93C04}"/>
                </c:ext>
              </c:extLst>
            </c:dLbl>
            <c:numFmt formatCode="0%" sourceLinked="0"/>
            <c:spPr>
              <a:noFill/>
              <a:ln>
                <a:noFill/>
              </a:ln>
              <a:effectLst/>
            </c:spPr>
            <c:txPr>
              <a:bodyPr rot="0" spcFirstLastPara="1" vertOverflow="ellipsis" vert="horz" wrap="square" anchor="ctr" anchorCtr="1"/>
              <a:lstStyle/>
              <a:p>
                <a:pPr>
                  <a:defRPr sz="1100" b="0" i="0" u="none" strike="noStrike" kern="1200" baseline="0">
                    <a:solidFill>
                      <a:schemeClr val="bg1"/>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Arkusz1!$A$2:$A$13</c:f>
              <c:strCache>
                <c:ptCount val="12"/>
                <c:pt idx="0">
                  <c:v>2014 N=6352</c:v>
                </c:pt>
                <c:pt idx="1">
                  <c:v>2015 N=1642</c:v>
                </c:pt>
                <c:pt idx="2">
                  <c:v>2016 N=5366</c:v>
                </c:pt>
                <c:pt idx="3">
                  <c:v>2017 N=919</c:v>
                </c:pt>
                <c:pt idx="4">
                  <c:v>2018 N=5615</c:v>
                </c:pt>
                <c:pt idx="5">
                  <c:v>2019 N=905</c:v>
                </c:pt>
                <c:pt idx="6">
                  <c:v>2020 N=5514</c:v>
                </c:pt>
                <c:pt idx="7">
                  <c:v>2021 N=887</c:v>
                </c:pt>
                <c:pt idx="8">
                  <c:v>2022 N=5279</c:v>
                </c:pt>
                <c:pt idx="9">
                  <c:v>2023 N=888</c:v>
                </c:pt>
                <c:pt idx="10">
                  <c:v>2024 N=5707</c:v>
                </c:pt>
                <c:pt idx="11">
                  <c:v>2025 N=955</c:v>
                </c:pt>
              </c:strCache>
            </c:strRef>
          </c:cat>
          <c:val>
            <c:numRef>
              <c:f>Arkusz1!$D$2:$D$13</c:f>
              <c:numCache>
                <c:formatCode>0%</c:formatCode>
                <c:ptCount val="12"/>
                <c:pt idx="0">
                  <c:v>0.1</c:v>
                </c:pt>
                <c:pt idx="1">
                  <c:v>0.2</c:v>
                </c:pt>
                <c:pt idx="2">
                  <c:v>0.26</c:v>
                </c:pt>
                <c:pt idx="3">
                  <c:v>0.28000000000000003</c:v>
                </c:pt>
                <c:pt idx="4">
                  <c:v>0.28000000000000003</c:v>
                </c:pt>
                <c:pt idx="5">
                  <c:v>0.23</c:v>
                </c:pt>
                <c:pt idx="6">
                  <c:v>0.33</c:v>
                </c:pt>
                <c:pt idx="7">
                  <c:v>0.35</c:v>
                </c:pt>
                <c:pt idx="8">
                  <c:v>0.31</c:v>
                </c:pt>
                <c:pt idx="9">
                  <c:v>0.4</c:v>
                </c:pt>
                <c:pt idx="10">
                  <c:v>0.38</c:v>
                </c:pt>
                <c:pt idx="11">
                  <c:v>0.35</c:v>
                </c:pt>
              </c:numCache>
            </c:numRef>
          </c:val>
          <c:extLst>
            <c:ext xmlns:c16="http://schemas.microsoft.com/office/drawing/2014/chart" uri="{C3380CC4-5D6E-409C-BE32-E72D297353CC}">
              <c16:uniqueId val="{00000002-ADD9-42AA-AECF-BD22EE459963}"/>
            </c:ext>
          </c:extLst>
        </c:ser>
        <c:ser>
          <c:idx val="3"/>
          <c:order val="3"/>
          <c:tx>
            <c:strRef>
              <c:f>Arkusz1!$E$1</c:f>
              <c:strCache>
                <c:ptCount val="1"/>
                <c:pt idx="0">
                  <c:v>Odmowa</c:v>
                </c:pt>
              </c:strCache>
            </c:strRef>
          </c:tx>
          <c:spPr>
            <a:solidFill>
              <a:schemeClr val="accent4"/>
            </a:solidFill>
            <a:ln>
              <a:noFill/>
            </a:ln>
            <a:effectLst/>
          </c:spPr>
          <c:invertIfNegative val="0"/>
          <c:dLbls>
            <c:dLbl>
              <c:idx val="7"/>
              <c:spPr>
                <a:solidFill>
                  <a:srgbClr val="EE0000"/>
                </a:solidFill>
                <a:ln>
                  <a:noFill/>
                </a:ln>
                <a:effectLst/>
              </c:spPr>
              <c:txPr>
                <a:bodyPr rot="0" spcFirstLastPara="1" vertOverflow="ellipsis" vert="horz" wrap="square" anchor="ctr" anchorCtr="1"/>
                <a:lstStyle/>
                <a:p>
                  <a:pPr>
                    <a:defRPr sz="1100" b="0" i="0" u="none" strike="noStrike" kern="1200" baseline="0">
                      <a:solidFill>
                        <a:schemeClr val="bg1"/>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extLst>
                <c:ext xmlns:c16="http://schemas.microsoft.com/office/drawing/2014/chart" uri="{C3380CC4-5D6E-409C-BE32-E72D297353CC}">
                  <c16:uniqueId val="{00000007-06AB-4432-B985-FA71BFA93C04}"/>
                </c:ext>
              </c:extLst>
            </c:dLbl>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Arkusz1!$A$2:$A$13</c:f>
              <c:strCache>
                <c:ptCount val="12"/>
                <c:pt idx="0">
                  <c:v>2014 N=6352</c:v>
                </c:pt>
                <c:pt idx="1">
                  <c:v>2015 N=1642</c:v>
                </c:pt>
                <c:pt idx="2">
                  <c:v>2016 N=5366</c:v>
                </c:pt>
                <c:pt idx="3">
                  <c:v>2017 N=919</c:v>
                </c:pt>
                <c:pt idx="4">
                  <c:v>2018 N=5615</c:v>
                </c:pt>
                <c:pt idx="5">
                  <c:v>2019 N=905</c:v>
                </c:pt>
                <c:pt idx="6">
                  <c:v>2020 N=5514</c:v>
                </c:pt>
                <c:pt idx="7">
                  <c:v>2021 N=887</c:v>
                </c:pt>
                <c:pt idx="8">
                  <c:v>2022 N=5279</c:v>
                </c:pt>
                <c:pt idx="9">
                  <c:v>2023 N=888</c:v>
                </c:pt>
                <c:pt idx="10">
                  <c:v>2024 N=5707</c:v>
                </c:pt>
                <c:pt idx="11">
                  <c:v>2025 N=955</c:v>
                </c:pt>
              </c:strCache>
            </c:strRef>
          </c:cat>
          <c:val>
            <c:numRef>
              <c:f>Arkusz1!$E$2:$E$13</c:f>
              <c:numCache>
                <c:formatCode>0%</c:formatCode>
                <c:ptCount val="12"/>
                <c:pt idx="0">
                  <c:v>0.01</c:v>
                </c:pt>
                <c:pt idx="1">
                  <c:v>0.03</c:v>
                </c:pt>
                <c:pt idx="2">
                  <c:v>0.02</c:v>
                </c:pt>
                <c:pt idx="3">
                  <c:v>0.01</c:v>
                </c:pt>
                <c:pt idx="4">
                  <c:v>0.01</c:v>
                </c:pt>
                <c:pt idx="5">
                  <c:v>0.01</c:v>
                </c:pt>
                <c:pt idx="6">
                  <c:v>0.01</c:v>
                </c:pt>
                <c:pt idx="7">
                  <c:v>0.06</c:v>
                </c:pt>
                <c:pt idx="8">
                  <c:v>0.01</c:v>
                </c:pt>
                <c:pt idx="9">
                  <c:v>0.03</c:v>
                </c:pt>
                <c:pt idx="10">
                  <c:v>0.01</c:v>
                </c:pt>
                <c:pt idx="11">
                  <c:v>0.03</c:v>
                </c:pt>
              </c:numCache>
            </c:numRef>
          </c:val>
          <c:extLst>
            <c:ext xmlns:c16="http://schemas.microsoft.com/office/drawing/2014/chart" uri="{C3380CC4-5D6E-409C-BE32-E72D297353CC}">
              <c16:uniqueId val="{00000003-ADD9-42AA-AECF-BD22EE459963}"/>
            </c:ext>
          </c:extLst>
        </c:ser>
        <c:dLbls>
          <c:showLegendKey val="0"/>
          <c:showVal val="0"/>
          <c:showCatName val="0"/>
          <c:showSerName val="0"/>
          <c:showPercent val="0"/>
          <c:showBubbleSize val="0"/>
        </c:dLbls>
        <c:gapWidth val="60"/>
        <c:overlap val="100"/>
        <c:axId val="875697471"/>
        <c:axId val="875698911"/>
      </c:barChart>
      <c:catAx>
        <c:axId val="875697471"/>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875698911"/>
        <c:crosses val="autoZero"/>
        <c:auto val="1"/>
        <c:lblAlgn val="ctr"/>
        <c:lblOffset val="100"/>
        <c:noMultiLvlLbl val="0"/>
      </c:catAx>
      <c:valAx>
        <c:axId val="875698911"/>
        <c:scaling>
          <c:orientation val="minMax"/>
        </c:scaling>
        <c:delete val="0"/>
        <c:axPos val="b"/>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87569747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1100">
          <a:latin typeface="Arial" panose="020B0604020202020204" pitchFamily="34" charset="0"/>
          <a:cs typeface="Arial" panose="020B0604020202020204" pitchFamily="34" charset="0"/>
        </a:defRPr>
      </a:pPr>
      <a:endParaRPr lang="pl-PL"/>
    </a:p>
  </c:txPr>
  <c:externalData r:id="rId3">
    <c:autoUpdate val="0"/>
  </c:externalData>
</c:chartSpace>
</file>

<file path=word/charts/chart4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percentStacked"/>
        <c:varyColors val="0"/>
        <c:ser>
          <c:idx val="0"/>
          <c:order val="0"/>
          <c:tx>
            <c:strRef>
              <c:f>Arkusz1!$B$1</c:f>
              <c:strCache>
                <c:ptCount val="1"/>
                <c:pt idx="0">
                  <c:v>tak</c:v>
                </c:pt>
              </c:strCache>
            </c:strRef>
          </c:tx>
          <c:spPr>
            <a:solidFill>
              <a:srgbClr val="061A3D"/>
            </a:solidFill>
            <a:ln>
              <a:noFill/>
            </a:ln>
            <a:effectLst/>
          </c:spPr>
          <c:invertIfNegative val="0"/>
          <c:dLbls>
            <c:numFmt formatCode="0%" sourceLinked="0"/>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bg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Arkusz1!$A$2:$A$25</c:f>
              <c:strCache>
                <c:ptCount val="24"/>
                <c:pt idx="0">
                  <c:v>Ogółem</c:v>
                </c:pt>
                <c:pt idx="2">
                  <c:v>Kobieta</c:v>
                </c:pt>
                <c:pt idx="3">
                  <c:v>Mężczyzna</c:v>
                </c:pt>
                <c:pt idx="5">
                  <c:v>15–19</c:v>
                </c:pt>
                <c:pt idx="6">
                  <c:v>20–24</c:v>
                </c:pt>
                <c:pt idx="7">
                  <c:v>25–34</c:v>
                </c:pt>
                <c:pt idx="8">
                  <c:v>35–44</c:v>
                </c:pt>
                <c:pt idx="9">
                  <c:v>45–54</c:v>
                </c:pt>
                <c:pt idx="10">
                  <c:v>55–64</c:v>
                </c:pt>
                <c:pt idx="11">
                  <c:v>65+</c:v>
                </c:pt>
                <c:pt idx="13">
                  <c:v>Wyższe</c:v>
                </c:pt>
                <c:pt idx="14">
                  <c:v>Średnie</c:v>
                </c:pt>
                <c:pt idx="15">
                  <c:v>Zawodowe</c:v>
                </c:pt>
                <c:pt idx="16">
                  <c:v>Podstawowe</c:v>
                </c:pt>
                <c:pt idx="18">
                  <c:v>Wieś</c:v>
                </c:pt>
                <c:pt idx="19">
                  <c:v>Do 20 tys.</c:v>
                </c:pt>
                <c:pt idx="20">
                  <c:v>20–49 tys.</c:v>
                </c:pt>
                <c:pt idx="21">
                  <c:v>50–199 tys.</c:v>
                </c:pt>
                <c:pt idx="22">
                  <c:v>200–499 tys.</c:v>
                </c:pt>
                <c:pt idx="23">
                  <c:v>500 tys.+</c:v>
                </c:pt>
              </c:strCache>
            </c:strRef>
          </c:cat>
          <c:val>
            <c:numRef>
              <c:f>Arkusz1!$B$2:$B$25</c:f>
              <c:numCache>
                <c:formatCode>General</c:formatCode>
                <c:ptCount val="24"/>
                <c:pt idx="0" formatCode="0.00%">
                  <c:v>0.08</c:v>
                </c:pt>
                <c:pt idx="2" formatCode="0.00%">
                  <c:v>8.6999999999999994E-2</c:v>
                </c:pt>
                <c:pt idx="3" formatCode="0.00%">
                  <c:v>7.1999999999999995E-2</c:v>
                </c:pt>
                <c:pt idx="5" formatCode="0.00%">
                  <c:v>8.5000000000000006E-2</c:v>
                </c:pt>
                <c:pt idx="6" formatCode="0.00%">
                  <c:v>0.13100000000000001</c:v>
                </c:pt>
                <c:pt idx="7" formatCode="0.00%">
                  <c:v>6.8000000000000005E-2</c:v>
                </c:pt>
                <c:pt idx="8" formatCode="0.00%">
                  <c:v>5.7000000000000002E-2</c:v>
                </c:pt>
                <c:pt idx="9" formatCode="0.00%">
                  <c:v>8.5000000000000006E-2</c:v>
                </c:pt>
                <c:pt idx="10" formatCode="0.00%">
                  <c:v>7.9000000000000001E-2</c:v>
                </c:pt>
                <c:pt idx="11" formatCode="0.00%">
                  <c:v>8.7999999999999995E-2</c:v>
                </c:pt>
                <c:pt idx="13" formatCode="0.00%">
                  <c:v>8.5999999999999993E-2</c:v>
                </c:pt>
                <c:pt idx="14" formatCode="0.00%">
                  <c:v>9.0999999999999998E-2</c:v>
                </c:pt>
                <c:pt idx="15" formatCode="0.00%">
                  <c:v>5.3999999999999999E-2</c:v>
                </c:pt>
                <c:pt idx="16" formatCode="0.00%">
                  <c:v>8.4000000000000005E-2</c:v>
                </c:pt>
                <c:pt idx="18" formatCode="0.00%">
                  <c:v>8.4000000000000005E-2</c:v>
                </c:pt>
                <c:pt idx="19" formatCode="0.00%">
                  <c:v>0.09</c:v>
                </c:pt>
                <c:pt idx="20" formatCode="0.00%">
                  <c:v>5.2999999999999999E-2</c:v>
                </c:pt>
                <c:pt idx="21" formatCode="0.00%">
                  <c:v>9.0999999999999998E-2</c:v>
                </c:pt>
                <c:pt idx="22" formatCode="0.00%">
                  <c:v>7.3999999999999996E-2</c:v>
                </c:pt>
                <c:pt idx="23" formatCode="0.00%">
                  <c:v>7.0000000000000007E-2</c:v>
                </c:pt>
              </c:numCache>
            </c:numRef>
          </c:val>
          <c:extLst>
            <c:ext xmlns:c16="http://schemas.microsoft.com/office/drawing/2014/chart" uri="{C3380CC4-5D6E-409C-BE32-E72D297353CC}">
              <c16:uniqueId val="{00000000-8187-4C8E-B158-B492016EF70B}"/>
            </c:ext>
          </c:extLst>
        </c:ser>
        <c:ser>
          <c:idx val="1"/>
          <c:order val="1"/>
          <c:tx>
            <c:strRef>
              <c:f>Arkusz1!$C$1</c:f>
              <c:strCache>
                <c:ptCount val="1"/>
                <c:pt idx="0">
                  <c:v>nie</c:v>
                </c:pt>
              </c:strCache>
            </c:strRef>
          </c:tx>
          <c:spPr>
            <a:solidFill>
              <a:schemeClr val="bg1">
                <a:lumMod val="85000"/>
              </a:schemeClr>
            </a:solidFill>
            <a:ln>
              <a:noFill/>
            </a:ln>
            <a:effectLst/>
          </c:spPr>
          <c:invertIfNegative val="0"/>
          <c:dLbls>
            <c:dLbl>
              <c:idx val="21"/>
              <c:numFmt formatCode="0%" sourceLinked="0"/>
              <c:spPr>
                <a:solidFill>
                  <a:srgbClr val="EE0000"/>
                </a:solid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bg1"/>
                      </a:solidFill>
                      <a:latin typeface="+mn-lt"/>
                      <a:ea typeface="+mn-ea"/>
                      <a:cs typeface="+mn-cs"/>
                    </a:defRPr>
                  </a:pPr>
                  <a:endParaRPr lang="pl-PL"/>
                </a:p>
              </c:txPr>
              <c:showLegendKey val="0"/>
              <c:showVal val="1"/>
              <c:showCatName val="0"/>
              <c:showSerName val="0"/>
              <c:showPercent val="0"/>
              <c:showBubbleSize val="0"/>
              <c:extLst>
                <c:ext xmlns:c16="http://schemas.microsoft.com/office/drawing/2014/chart" uri="{C3380CC4-5D6E-409C-BE32-E72D297353CC}">
                  <c16:uniqueId val="{00000001-20DC-4EAA-9DD6-F09FD9743651}"/>
                </c:ext>
              </c:extLst>
            </c:dLbl>
            <c:numFmt formatCode="0%" sourceLinked="0"/>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Arkusz1!$A$2:$A$25</c:f>
              <c:strCache>
                <c:ptCount val="24"/>
                <c:pt idx="0">
                  <c:v>Ogółem</c:v>
                </c:pt>
                <c:pt idx="2">
                  <c:v>Kobieta</c:v>
                </c:pt>
                <c:pt idx="3">
                  <c:v>Mężczyzna</c:v>
                </c:pt>
                <c:pt idx="5">
                  <c:v>15–19</c:v>
                </c:pt>
                <c:pt idx="6">
                  <c:v>20–24</c:v>
                </c:pt>
                <c:pt idx="7">
                  <c:v>25–34</c:v>
                </c:pt>
                <c:pt idx="8">
                  <c:v>35–44</c:v>
                </c:pt>
                <c:pt idx="9">
                  <c:v>45–54</c:v>
                </c:pt>
                <c:pt idx="10">
                  <c:v>55–64</c:v>
                </c:pt>
                <c:pt idx="11">
                  <c:v>65+</c:v>
                </c:pt>
                <c:pt idx="13">
                  <c:v>Wyższe</c:v>
                </c:pt>
                <c:pt idx="14">
                  <c:v>Średnie</c:v>
                </c:pt>
                <c:pt idx="15">
                  <c:v>Zawodowe</c:v>
                </c:pt>
                <c:pt idx="16">
                  <c:v>Podstawowe</c:v>
                </c:pt>
                <c:pt idx="18">
                  <c:v>Wieś</c:v>
                </c:pt>
                <c:pt idx="19">
                  <c:v>Do 20 tys.</c:v>
                </c:pt>
                <c:pt idx="20">
                  <c:v>20–49 tys.</c:v>
                </c:pt>
                <c:pt idx="21">
                  <c:v>50–199 tys.</c:v>
                </c:pt>
                <c:pt idx="22">
                  <c:v>200–499 tys.</c:v>
                </c:pt>
                <c:pt idx="23">
                  <c:v>500 tys.+</c:v>
                </c:pt>
              </c:strCache>
            </c:strRef>
          </c:cat>
          <c:val>
            <c:numRef>
              <c:f>Arkusz1!$C$2:$C$25</c:f>
              <c:numCache>
                <c:formatCode>General</c:formatCode>
                <c:ptCount val="24"/>
                <c:pt idx="0" formatCode="0.00%">
                  <c:v>0.54300000000000004</c:v>
                </c:pt>
                <c:pt idx="2" formatCode="0.00%">
                  <c:v>0.57899999999999996</c:v>
                </c:pt>
                <c:pt idx="3" formatCode="0.00%">
                  <c:v>0.51100000000000001</c:v>
                </c:pt>
                <c:pt idx="5" formatCode="0.00%">
                  <c:v>0.441</c:v>
                </c:pt>
                <c:pt idx="6" formatCode="0.00%">
                  <c:v>0.54100000000000004</c:v>
                </c:pt>
                <c:pt idx="7" formatCode="0.00%">
                  <c:v>0.57099999999999995</c:v>
                </c:pt>
                <c:pt idx="8" formatCode="0.00%">
                  <c:v>0.53100000000000003</c:v>
                </c:pt>
                <c:pt idx="9" formatCode="0.00%">
                  <c:v>0.58199999999999996</c:v>
                </c:pt>
                <c:pt idx="10" formatCode="0.00%">
                  <c:v>0.58299999999999996</c:v>
                </c:pt>
                <c:pt idx="11" formatCode="0.00%">
                  <c:v>0.51800000000000002</c:v>
                </c:pt>
                <c:pt idx="13" formatCode="0.00%">
                  <c:v>0.57499999999999996</c:v>
                </c:pt>
                <c:pt idx="14" formatCode="0.00%">
                  <c:v>0.52</c:v>
                </c:pt>
                <c:pt idx="15" formatCode="0.00%">
                  <c:v>0.56499999999999995</c:v>
                </c:pt>
                <c:pt idx="16" formatCode="0.00%">
                  <c:v>0.496</c:v>
                </c:pt>
                <c:pt idx="18" formatCode="0.00%">
                  <c:v>0.51700000000000002</c:v>
                </c:pt>
                <c:pt idx="19" formatCode="0.00%">
                  <c:v>0.45900000000000002</c:v>
                </c:pt>
                <c:pt idx="20" formatCode="0.00%">
                  <c:v>0.58399999999999996</c:v>
                </c:pt>
                <c:pt idx="21" formatCode="0.00%">
                  <c:v>0.629</c:v>
                </c:pt>
                <c:pt idx="22" formatCode="0.00%">
                  <c:v>0.53100000000000003</c:v>
                </c:pt>
                <c:pt idx="23" formatCode="0.00%">
                  <c:v>0.58299999999999996</c:v>
                </c:pt>
              </c:numCache>
            </c:numRef>
          </c:val>
          <c:extLst>
            <c:ext xmlns:c16="http://schemas.microsoft.com/office/drawing/2014/chart" uri="{C3380CC4-5D6E-409C-BE32-E72D297353CC}">
              <c16:uniqueId val="{00000001-8187-4C8E-B158-B492016EF70B}"/>
            </c:ext>
          </c:extLst>
        </c:ser>
        <c:ser>
          <c:idx val="2"/>
          <c:order val="2"/>
          <c:tx>
            <c:strRef>
              <c:f>Arkusz1!$D$1</c:f>
              <c:strCache>
                <c:ptCount val="1"/>
                <c:pt idx="0">
                  <c:v>nie wiem</c:v>
                </c:pt>
              </c:strCache>
            </c:strRef>
          </c:tx>
          <c:spPr>
            <a:solidFill>
              <a:schemeClr val="tx1">
                <a:lumMod val="50000"/>
                <a:lumOff val="50000"/>
              </a:schemeClr>
            </a:solidFill>
            <a:ln>
              <a:noFill/>
            </a:ln>
            <a:effectLst/>
          </c:spPr>
          <c:invertIfNegative val="0"/>
          <c:dLbls>
            <c:dLbl>
              <c:idx val="5"/>
              <c:numFmt formatCode="0%" sourceLinked="0"/>
              <c:spPr>
                <a:solidFill>
                  <a:srgbClr val="EE0000"/>
                </a:solid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bg1"/>
                      </a:solidFill>
                      <a:latin typeface="+mn-lt"/>
                      <a:ea typeface="+mn-ea"/>
                      <a:cs typeface="+mn-cs"/>
                    </a:defRPr>
                  </a:pPr>
                  <a:endParaRPr lang="pl-PL"/>
                </a:p>
              </c:txPr>
              <c:showLegendKey val="0"/>
              <c:showVal val="1"/>
              <c:showCatName val="0"/>
              <c:showSerName val="0"/>
              <c:showPercent val="0"/>
              <c:showBubbleSize val="0"/>
              <c:extLst>
                <c:ext xmlns:c16="http://schemas.microsoft.com/office/drawing/2014/chart" uri="{C3380CC4-5D6E-409C-BE32-E72D297353CC}">
                  <c16:uniqueId val="{00000000-20DC-4EAA-9DD6-F09FD9743651}"/>
                </c:ext>
              </c:extLst>
            </c:dLbl>
            <c:dLbl>
              <c:idx val="21"/>
              <c:numFmt formatCode="0%" sourceLinked="0"/>
              <c:spPr>
                <a:solidFill>
                  <a:srgbClr val="00B0F0"/>
                </a:solid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bg1"/>
                      </a:solidFill>
                      <a:latin typeface="+mn-lt"/>
                      <a:ea typeface="+mn-ea"/>
                      <a:cs typeface="+mn-cs"/>
                    </a:defRPr>
                  </a:pPr>
                  <a:endParaRPr lang="pl-PL"/>
                </a:p>
              </c:txPr>
              <c:showLegendKey val="0"/>
              <c:showVal val="1"/>
              <c:showCatName val="0"/>
              <c:showSerName val="0"/>
              <c:showPercent val="0"/>
              <c:showBubbleSize val="0"/>
              <c:extLst>
                <c:ext xmlns:c16="http://schemas.microsoft.com/office/drawing/2014/chart" uri="{C3380CC4-5D6E-409C-BE32-E72D297353CC}">
                  <c16:uniqueId val="{00000002-20DC-4EAA-9DD6-F09FD9743651}"/>
                </c:ext>
              </c:extLst>
            </c:dLbl>
            <c:numFmt formatCode="0%" sourceLinked="0"/>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bg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Arkusz1!$A$2:$A$25</c:f>
              <c:strCache>
                <c:ptCount val="24"/>
                <c:pt idx="0">
                  <c:v>Ogółem</c:v>
                </c:pt>
                <c:pt idx="2">
                  <c:v>Kobieta</c:v>
                </c:pt>
                <c:pt idx="3">
                  <c:v>Mężczyzna</c:v>
                </c:pt>
                <c:pt idx="5">
                  <c:v>15–19</c:v>
                </c:pt>
                <c:pt idx="6">
                  <c:v>20–24</c:v>
                </c:pt>
                <c:pt idx="7">
                  <c:v>25–34</c:v>
                </c:pt>
                <c:pt idx="8">
                  <c:v>35–44</c:v>
                </c:pt>
                <c:pt idx="9">
                  <c:v>45–54</c:v>
                </c:pt>
                <c:pt idx="10">
                  <c:v>55–64</c:v>
                </c:pt>
                <c:pt idx="11">
                  <c:v>65+</c:v>
                </c:pt>
                <c:pt idx="13">
                  <c:v>Wyższe</c:v>
                </c:pt>
                <c:pt idx="14">
                  <c:v>Średnie</c:v>
                </c:pt>
                <c:pt idx="15">
                  <c:v>Zawodowe</c:v>
                </c:pt>
                <c:pt idx="16">
                  <c:v>Podstawowe</c:v>
                </c:pt>
                <c:pt idx="18">
                  <c:v>Wieś</c:v>
                </c:pt>
                <c:pt idx="19">
                  <c:v>Do 20 tys.</c:v>
                </c:pt>
                <c:pt idx="20">
                  <c:v>20–49 tys.</c:v>
                </c:pt>
                <c:pt idx="21">
                  <c:v>50–199 tys.</c:v>
                </c:pt>
                <c:pt idx="22">
                  <c:v>200–499 tys.</c:v>
                </c:pt>
                <c:pt idx="23">
                  <c:v>500 tys.+</c:v>
                </c:pt>
              </c:strCache>
            </c:strRef>
          </c:cat>
          <c:val>
            <c:numRef>
              <c:f>Arkusz1!$D$2:$D$25</c:f>
              <c:numCache>
                <c:formatCode>General</c:formatCode>
                <c:ptCount val="24"/>
                <c:pt idx="0" formatCode="0.00%">
                  <c:v>0.34899999999999998</c:v>
                </c:pt>
                <c:pt idx="2" formatCode="0.00%">
                  <c:v>0.317</c:v>
                </c:pt>
                <c:pt idx="3" formatCode="0.00%">
                  <c:v>0.378</c:v>
                </c:pt>
                <c:pt idx="5" formatCode="0.00%">
                  <c:v>0.441</c:v>
                </c:pt>
                <c:pt idx="6" formatCode="0.00%">
                  <c:v>0.29499999999999998</c:v>
                </c:pt>
                <c:pt idx="7" formatCode="0.00%">
                  <c:v>0.33300000000000002</c:v>
                </c:pt>
                <c:pt idx="8" formatCode="0.00%">
                  <c:v>0.39600000000000002</c:v>
                </c:pt>
                <c:pt idx="9" formatCode="0.00%">
                  <c:v>0.29099999999999998</c:v>
                </c:pt>
                <c:pt idx="10" formatCode="0.00%">
                  <c:v>0.315</c:v>
                </c:pt>
                <c:pt idx="11" formatCode="0.00%">
                  <c:v>0.36399999999999999</c:v>
                </c:pt>
                <c:pt idx="13" formatCode="0.00%">
                  <c:v>0.32100000000000001</c:v>
                </c:pt>
                <c:pt idx="14" formatCode="0.00%">
                  <c:v>0.34300000000000003</c:v>
                </c:pt>
                <c:pt idx="15" formatCode="0.00%">
                  <c:v>0.36799999999999999</c:v>
                </c:pt>
                <c:pt idx="16" formatCode="0.00%">
                  <c:v>0.38700000000000001</c:v>
                </c:pt>
                <c:pt idx="18" formatCode="0.00%">
                  <c:v>0.36699999999999999</c:v>
                </c:pt>
                <c:pt idx="19" formatCode="0.00%">
                  <c:v>0.42599999999999999</c:v>
                </c:pt>
                <c:pt idx="20" formatCode="0.00%">
                  <c:v>0.33600000000000002</c:v>
                </c:pt>
                <c:pt idx="21" formatCode="0.00%">
                  <c:v>0.27300000000000002</c:v>
                </c:pt>
                <c:pt idx="22" formatCode="0.00%">
                  <c:v>0.39500000000000002</c:v>
                </c:pt>
                <c:pt idx="23" formatCode="0.00%">
                  <c:v>0.27800000000000002</c:v>
                </c:pt>
              </c:numCache>
            </c:numRef>
          </c:val>
          <c:extLst>
            <c:ext xmlns:c16="http://schemas.microsoft.com/office/drawing/2014/chart" uri="{C3380CC4-5D6E-409C-BE32-E72D297353CC}">
              <c16:uniqueId val="{00000002-8187-4C8E-B158-B492016EF70B}"/>
            </c:ext>
          </c:extLst>
        </c:ser>
        <c:ser>
          <c:idx val="3"/>
          <c:order val="3"/>
          <c:tx>
            <c:strRef>
              <c:f>Arkusz1!$E$1</c:f>
              <c:strCache>
                <c:ptCount val="1"/>
                <c:pt idx="0">
                  <c:v>odmowa</c:v>
                </c:pt>
              </c:strCache>
            </c:strRef>
          </c:tx>
          <c:spPr>
            <a:solidFill>
              <a:schemeClr val="accent4"/>
            </a:solidFill>
            <a:ln>
              <a:noFill/>
            </a:ln>
            <a:effectLst/>
          </c:spPr>
          <c:invertIfNegative val="0"/>
          <c:dLbls>
            <c:dLbl>
              <c:idx val="22"/>
              <c:delete val="1"/>
              <c:extLst>
                <c:ext xmlns:c15="http://schemas.microsoft.com/office/drawing/2012/chart" uri="{CE6537A1-D6FC-4f65-9D91-7224C49458BB}"/>
                <c:ext xmlns:c16="http://schemas.microsoft.com/office/drawing/2014/chart" uri="{C3380CC4-5D6E-409C-BE32-E72D297353CC}">
                  <c16:uniqueId val="{00000000-4381-4A79-815E-BAEC827D7D22}"/>
                </c:ext>
              </c:extLst>
            </c:dLbl>
            <c:numFmt formatCode="0%" sourceLinked="0"/>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Arkusz1!$A$2:$A$25</c:f>
              <c:strCache>
                <c:ptCount val="24"/>
                <c:pt idx="0">
                  <c:v>Ogółem</c:v>
                </c:pt>
                <c:pt idx="2">
                  <c:v>Kobieta</c:v>
                </c:pt>
                <c:pt idx="3">
                  <c:v>Mężczyzna</c:v>
                </c:pt>
                <c:pt idx="5">
                  <c:v>15–19</c:v>
                </c:pt>
                <c:pt idx="6">
                  <c:v>20–24</c:v>
                </c:pt>
                <c:pt idx="7">
                  <c:v>25–34</c:v>
                </c:pt>
                <c:pt idx="8">
                  <c:v>35–44</c:v>
                </c:pt>
                <c:pt idx="9">
                  <c:v>45–54</c:v>
                </c:pt>
                <c:pt idx="10">
                  <c:v>55–64</c:v>
                </c:pt>
                <c:pt idx="11">
                  <c:v>65+</c:v>
                </c:pt>
                <c:pt idx="13">
                  <c:v>Wyższe</c:v>
                </c:pt>
                <c:pt idx="14">
                  <c:v>Średnie</c:v>
                </c:pt>
                <c:pt idx="15">
                  <c:v>Zawodowe</c:v>
                </c:pt>
                <c:pt idx="16">
                  <c:v>Podstawowe</c:v>
                </c:pt>
                <c:pt idx="18">
                  <c:v>Wieś</c:v>
                </c:pt>
                <c:pt idx="19">
                  <c:v>Do 20 tys.</c:v>
                </c:pt>
                <c:pt idx="20">
                  <c:v>20–49 tys.</c:v>
                </c:pt>
                <c:pt idx="21">
                  <c:v>50–199 tys.</c:v>
                </c:pt>
                <c:pt idx="22">
                  <c:v>200–499 tys.</c:v>
                </c:pt>
                <c:pt idx="23">
                  <c:v>500 tys.+</c:v>
                </c:pt>
              </c:strCache>
            </c:strRef>
          </c:cat>
          <c:val>
            <c:numRef>
              <c:f>Arkusz1!$E$2:$E$25</c:f>
              <c:numCache>
                <c:formatCode>General</c:formatCode>
                <c:ptCount val="24"/>
                <c:pt idx="0" formatCode="0.00%">
                  <c:v>2.8000000000000001E-2</c:v>
                </c:pt>
                <c:pt idx="2" formatCode="0.00%">
                  <c:v>1.7000000000000001E-2</c:v>
                </c:pt>
                <c:pt idx="3" formatCode="0.00%">
                  <c:v>3.7999999999999999E-2</c:v>
                </c:pt>
                <c:pt idx="5" formatCode="0.00%">
                  <c:v>3.4000000000000002E-2</c:v>
                </c:pt>
                <c:pt idx="6" formatCode="0.00%">
                  <c:v>3.3000000000000002E-2</c:v>
                </c:pt>
                <c:pt idx="7" formatCode="0.00%">
                  <c:v>2.7E-2</c:v>
                </c:pt>
                <c:pt idx="8" formatCode="0.00%">
                  <c:v>1.6E-2</c:v>
                </c:pt>
                <c:pt idx="9" formatCode="0.00%">
                  <c:v>4.2999999999999997E-2</c:v>
                </c:pt>
                <c:pt idx="10" formatCode="0.00%">
                  <c:v>2.4E-2</c:v>
                </c:pt>
                <c:pt idx="11" formatCode="0.00%">
                  <c:v>3.1E-2</c:v>
                </c:pt>
                <c:pt idx="13" formatCode="0.00%">
                  <c:v>1.9E-2</c:v>
                </c:pt>
                <c:pt idx="14" formatCode="0.00%">
                  <c:v>4.5999999999999999E-2</c:v>
                </c:pt>
                <c:pt idx="15" formatCode="0.00%">
                  <c:v>1.2999999999999999E-2</c:v>
                </c:pt>
                <c:pt idx="16" formatCode="0.00%">
                  <c:v>3.4000000000000002E-2</c:v>
                </c:pt>
                <c:pt idx="18" formatCode="0.00%">
                  <c:v>3.1E-2</c:v>
                </c:pt>
                <c:pt idx="19" formatCode="0.00%">
                  <c:v>2.5000000000000001E-2</c:v>
                </c:pt>
                <c:pt idx="20" formatCode="0.00%">
                  <c:v>2.7E-2</c:v>
                </c:pt>
                <c:pt idx="21" formatCode="0.00%">
                  <c:v>7.0000000000000001E-3</c:v>
                </c:pt>
                <c:pt idx="22" formatCode="0%">
                  <c:v>0</c:v>
                </c:pt>
                <c:pt idx="23" formatCode="0.00%">
                  <c:v>7.0000000000000007E-2</c:v>
                </c:pt>
              </c:numCache>
            </c:numRef>
          </c:val>
          <c:extLst>
            <c:ext xmlns:c16="http://schemas.microsoft.com/office/drawing/2014/chart" uri="{C3380CC4-5D6E-409C-BE32-E72D297353CC}">
              <c16:uniqueId val="{00000003-8187-4C8E-B158-B492016EF70B}"/>
            </c:ext>
          </c:extLst>
        </c:ser>
        <c:dLbls>
          <c:showLegendKey val="0"/>
          <c:showVal val="0"/>
          <c:showCatName val="0"/>
          <c:showSerName val="0"/>
          <c:showPercent val="0"/>
          <c:showBubbleSize val="0"/>
        </c:dLbls>
        <c:gapWidth val="60"/>
        <c:overlap val="100"/>
        <c:axId val="875697471"/>
        <c:axId val="875698911"/>
      </c:barChart>
      <c:catAx>
        <c:axId val="875697471"/>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crossAx val="875698911"/>
        <c:crosses val="autoZero"/>
        <c:auto val="1"/>
        <c:lblAlgn val="ctr"/>
        <c:lblOffset val="100"/>
        <c:noMultiLvlLbl val="0"/>
      </c:catAx>
      <c:valAx>
        <c:axId val="875698911"/>
        <c:scaling>
          <c:orientation val="minMax"/>
        </c:scaling>
        <c:delete val="0"/>
        <c:axPos val="t"/>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crossAx val="87569747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pl-PL"/>
    </a:p>
  </c:txPr>
  <c:externalData r:id="rId3">
    <c:autoUpdate val="0"/>
  </c:externalData>
</c:chartSpace>
</file>

<file path=word/charts/chart4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percentStacked"/>
        <c:varyColors val="0"/>
        <c:ser>
          <c:idx val="0"/>
          <c:order val="0"/>
          <c:tx>
            <c:strRef>
              <c:f>Arkusz1!$B$1</c:f>
              <c:strCache>
                <c:ptCount val="1"/>
                <c:pt idx="0">
                  <c:v>tak</c:v>
                </c:pt>
              </c:strCache>
            </c:strRef>
          </c:tx>
          <c:spPr>
            <a:solidFill>
              <a:srgbClr val="061A3D"/>
            </a:solidFill>
            <a:ln>
              <a:noFill/>
            </a:ln>
            <a:effectLst/>
          </c:spPr>
          <c:invertIfNegative val="0"/>
          <c:dLbls>
            <c:dLbl>
              <c:idx val="5"/>
              <c:numFmt formatCode="0%" sourceLinked="0"/>
              <c:spPr>
                <a:solidFill>
                  <a:srgbClr val="00B0F0"/>
                </a:solid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bg1"/>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extLst>
                <c:ext xmlns:c16="http://schemas.microsoft.com/office/drawing/2014/chart" uri="{C3380CC4-5D6E-409C-BE32-E72D297353CC}">
                  <c16:uniqueId val="{00000001-3C44-4FFE-8F72-325EEA0D20AB}"/>
                </c:ext>
              </c:extLst>
            </c:dLbl>
            <c:dLbl>
              <c:idx val="7"/>
              <c:numFmt formatCode="0%" sourceLinked="0"/>
              <c:spPr>
                <a:solidFill>
                  <a:srgbClr val="EE0000"/>
                </a:solid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bg1"/>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extLst>
                <c:ext xmlns:c16="http://schemas.microsoft.com/office/drawing/2014/chart" uri="{C3380CC4-5D6E-409C-BE32-E72D297353CC}">
                  <c16:uniqueId val="{00000000-3C44-4FFE-8F72-325EEA0D20AB}"/>
                </c:ext>
              </c:extLst>
            </c:dLbl>
            <c:numFmt formatCode="0%" sourceLinked="0"/>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bg1"/>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Arkusz1!$A$2:$A$13</c:f>
              <c:strCache>
                <c:ptCount val="12"/>
                <c:pt idx="0">
                  <c:v>2014 N=6352</c:v>
                </c:pt>
                <c:pt idx="1">
                  <c:v>2015 N=1642</c:v>
                </c:pt>
                <c:pt idx="2">
                  <c:v>2016 N=5366</c:v>
                </c:pt>
                <c:pt idx="3">
                  <c:v>2017 N=919</c:v>
                </c:pt>
                <c:pt idx="4">
                  <c:v>2018 N=5615</c:v>
                </c:pt>
                <c:pt idx="5">
                  <c:v>2019 N=905</c:v>
                </c:pt>
                <c:pt idx="6">
                  <c:v>2020 N=5514</c:v>
                </c:pt>
                <c:pt idx="7">
                  <c:v>2021 N=887</c:v>
                </c:pt>
                <c:pt idx="8">
                  <c:v>2022 N=5279</c:v>
                </c:pt>
                <c:pt idx="9">
                  <c:v>2023 N=888</c:v>
                </c:pt>
                <c:pt idx="10">
                  <c:v>2024 N=5707</c:v>
                </c:pt>
                <c:pt idx="11">
                  <c:v>2025 N=955</c:v>
                </c:pt>
              </c:strCache>
            </c:strRef>
          </c:cat>
          <c:val>
            <c:numRef>
              <c:f>Arkusz1!$B$2:$B$13</c:f>
              <c:numCache>
                <c:formatCode>0%</c:formatCode>
                <c:ptCount val="12"/>
                <c:pt idx="0">
                  <c:v>0.42</c:v>
                </c:pt>
                <c:pt idx="1">
                  <c:v>0.35</c:v>
                </c:pt>
                <c:pt idx="2">
                  <c:v>0.33</c:v>
                </c:pt>
                <c:pt idx="3">
                  <c:v>0.32</c:v>
                </c:pt>
                <c:pt idx="4">
                  <c:v>0.39</c:v>
                </c:pt>
                <c:pt idx="5">
                  <c:v>0.28999999999999998</c:v>
                </c:pt>
                <c:pt idx="6">
                  <c:v>0.4</c:v>
                </c:pt>
                <c:pt idx="7">
                  <c:v>0.52</c:v>
                </c:pt>
                <c:pt idx="8">
                  <c:v>0.48</c:v>
                </c:pt>
                <c:pt idx="9">
                  <c:v>0.48</c:v>
                </c:pt>
                <c:pt idx="10">
                  <c:v>0.42</c:v>
                </c:pt>
                <c:pt idx="11">
                  <c:v>0.44</c:v>
                </c:pt>
              </c:numCache>
            </c:numRef>
          </c:val>
          <c:extLst>
            <c:ext xmlns:c16="http://schemas.microsoft.com/office/drawing/2014/chart" uri="{C3380CC4-5D6E-409C-BE32-E72D297353CC}">
              <c16:uniqueId val="{00000000-948F-465A-B4EB-BAD591178EDE}"/>
            </c:ext>
          </c:extLst>
        </c:ser>
        <c:ser>
          <c:idx val="1"/>
          <c:order val="1"/>
          <c:tx>
            <c:strRef>
              <c:f>Arkusz1!$C$1</c:f>
              <c:strCache>
                <c:ptCount val="1"/>
                <c:pt idx="0">
                  <c:v>nie</c:v>
                </c:pt>
              </c:strCache>
            </c:strRef>
          </c:tx>
          <c:spPr>
            <a:solidFill>
              <a:schemeClr val="bg1">
                <a:lumMod val="85000"/>
              </a:schemeClr>
            </a:solidFill>
            <a:ln>
              <a:noFill/>
            </a:ln>
            <a:effectLst/>
          </c:spPr>
          <c:invertIfNegative val="0"/>
          <c:dLbls>
            <c:dLbl>
              <c:idx val="11"/>
              <c:numFmt formatCode="0%" sourceLinked="0"/>
              <c:spPr>
                <a:solidFill>
                  <a:srgbClr val="00B0F0"/>
                </a:solid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bg1"/>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extLst>
                <c:ext xmlns:c16="http://schemas.microsoft.com/office/drawing/2014/chart" uri="{C3380CC4-5D6E-409C-BE32-E72D297353CC}">
                  <c16:uniqueId val="{00000002-3C44-4FFE-8F72-325EEA0D20AB}"/>
                </c:ext>
              </c:extLst>
            </c:dLbl>
            <c:numFmt formatCode="0%" sourceLinked="0"/>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Arkusz1!$A$2:$A$13</c:f>
              <c:strCache>
                <c:ptCount val="12"/>
                <c:pt idx="0">
                  <c:v>2014 N=6352</c:v>
                </c:pt>
                <c:pt idx="1">
                  <c:v>2015 N=1642</c:v>
                </c:pt>
                <c:pt idx="2">
                  <c:v>2016 N=5366</c:v>
                </c:pt>
                <c:pt idx="3">
                  <c:v>2017 N=919</c:v>
                </c:pt>
                <c:pt idx="4">
                  <c:v>2018 N=5615</c:v>
                </c:pt>
                <c:pt idx="5">
                  <c:v>2019 N=905</c:v>
                </c:pt>
                <c:pt idx="6">
                  <c:v>2020 N=5514</c:v>
                </c:pt>
                <c:pt idx="7">
                  <c:v>2021 N=887</c:v>
                </c:pt>
                <c:pt idx="8">
                  <c:v>2022 N=5279</c:v>
                </c:pt>
                <c:pt idx="9">
                  <c:v>2023 N=888</c:v>
                </c:pt>
                <c:pt idx="10">
                  <c:v>2024 N=5707</c:v>
                </c:pt>
                <c:pt idx="11">
                  <c:v>2025 N=955</c:v>
                </c:pt>
              </c:strCache>
            </c:strRef>
          </c:cat>
          <c:val>
            <c:numRef>
              <c:f>Arkusz1!$C$2:$C$13</c:f>
              <c:numCache>
                <c:formatCode>0%</c:formatCode>
                <c:ptCount val="12"/>
                <c:pt idx="0">
                  <c:v>0.31</c:v>
                </c:pt>
                <c:pt idx="1">
                  <c:v>0.32</c:v>
                </c:pt>
                <c:pt idx="2">
                  <c:v>0.3</c:v>
                </c:pt>
                <c:pt idx="3">
                  <c:v>0.3</c:v>
                </c:pt>
                <c:pt idx="4">
                  <c:v>0.3</c:v>
                </c:pt>
                <c:pt idx="5">
                  <c:v>0.34</c:v>
                </c:pt>
                <c:pt idx="6">
                  <c:v>0.3</c:v>
                </c:pt>
                <c:pt idx="7">
                  <c:v>0.26</c:v>
                </c:pt>
                <c:pt idx="8">
                  <c:v>0.25</c:v>
                </c:pt>
                <c:pt idx="9">
                  <c:v>0.28000000000000003</c:v>
                </c:pt>
                <c:pt idx="10">
                  <c:v>0.31</c:v>
                </c:pt>
                <c:pt idx="11">
                  <c:v>0.2</c:v>
                </c:pt>
              </c:numCache>
            </c:numRef>
          </c:val>
          <c:extLst>
            <c:ext xmlns:c16="http://schemas.microsoft.com/office/drawing/2014/chart" uri="{C3380CC4-5D6E-409C-BE32-E72D297353CC}">
              <c16:uniqueId val="{00000001-948F-465A-B4EB-BAD591178EDE}"/>
            </c:ext>
          </c:extLst>
        </c:ser>
        <c:ser>
          <c:idx val="2"/>
          <c:order val="2"/>
          <c:tx>
            <c:strRef>
              <c:f>Arkusz1!$D$1</c:f>
              <c:strCache>
                <c:ptCount val="1"/>
                <c:pt idx="0">
                  <c:v>nie wiem / trudno powiedzieć</c:v>
                </c:pt>
              </c:strCache>
            </c:strRef>
          </c:tx>
          <c:spPr>
            <a:solidFill>
              <a:schemeClr val="tx1">
                <a:lumMod val="50000"/>
                <a:lumOff val="50000"/>
              </a:schemeClr>
            </a:solidFill>
            <a:ln>
              <a:noFill/>
            </a:ln>
            <a:effectLst/>
          </c:spPr>
          <c:invertIfNegative val="0"/>
          <c:dLbls>
            <c:numFmt formatCode="0%" sourceLinked="0"/>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bg1"/>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Arkusz1!$A$2:$A$13</c:f>
              <c:strCache>
                <c:ptCount val="12"/>
                <c:pt idx="0">
                  <c:v>2014 N=6352</c:v>
                </c:pt>
                <c:pt idx="1">
                  <c:v>2015 N=1642</c:v>
                </c:pt>
                <c:pt idx="2">
                  <c:v>2016 N=5366</c:v>
                </c:pt>
                <c:pt idx="3">
                  <c:v>2017 N=919</c:v>
                </c:pt>
                <c:pt idx="4">
                  <c:v>2018 N=5615</c:v>
                </c:pt>
                <c:pt idx="5">
                  <c:v>2019 N=905</c:v>
                </c:pt>
                <c:pt idx="6">
                  <c:v>2020 N=5514</c:v>
                </c:pt>
                <c:pt idx="7">
                  <c:v>2021 N=887</c:v>
                </c:pt>
                <c:pt idx="8">
                  <c:v>2022 N=5279</c:v>
                </c:pt>
                <c:pt idx="9">
                  <c:v>2023 N=888</c:v>
                </c:pt>
                <c:pt idx="10">
                  <c:v>2024 N=5707</c:v>
                </c:pt>
                <c:pt idx="11">
                  <c:v>2025 N=955</c:v>
                </c:pt>
              </c:strCache>
            </c:strRef>
          </c:cat>
          <c:val>
            <c:numRef>
              <c:f>Arkusz1!$D$2:$D$13</c:f>
              <c:numCache>
                <c:formatCode>0%</c:formatCode>
                <c:ptCount val="12"/>
                <c:pt idx="0">
                  <c:v>0.27</c:v>
                </c:pt>
                <c:pt idx="1">
                  <c:v>0.33</c:v>
                </c:pt>
                <c:pt idx="2">
                  <c:v>0.37</c:v>
                </c:pt>
                <c:pt idx="3">
                  <c:v>0.38</c:v>
                </c:pt>
                <c:pt idx="4">
                  <c:v>0.31</c:v>
                </c:pt>
                <c:pt idx="5">
                  <c:v>0.37</c:v>
                </c:pt>
                <c:pt idx="6">
                  <c:v>0.3</c:v>
                </c:pt>
                <c:pt idx="7">
                  <c:v>0.23</c:v>
                </c:pt>
                <c:pt idx="8">
                  <c:v>0.26</c:v>
                </c:pt>
                <c:pt idx="9">
                  <c:v>0.24</c:v>
                </c:pt>
                <c:pt idx="10">
                  <c:v>0.27</c:v>
                </c:pt>
                <c:pt idx="11">
                  <c:v>0.36</c:v>
                </c:pt>
              </c:numCache>
            </c:numRef>
          </c:val>
          <c:extLst>
            <c:ext xmlns:c16="http://schemas.microsoft.com/office/drawing/2014/chart" uri="{C3380CC4-5D6E-409C-BE32-E72D297353CC}">
              <c16:uniqueId val="{00000002-948F-465A-B4EB-BAD591178EDE}"/>
            </c:ext>
          </c:extLst>
        </c:ser>
        <c:dLbls>
          <c:showLegendKey val="0"/>
          <c:showVal val="0"/>
          <c:showCatName val="0"/>
          <c:showSerName val="0"/>
          <c:showPercent val="0"/>
          <c:showBubbleSize val="0"/>
        </c:dLbls>
        <c:gapWidth val="60"/>
        <c:overlap val="100"/>
        <c:axId val="875697471"/>
        <c:axId val="875698911"/>
      </c:barChart>
      <c:catAx>
        <c:axId val="875697471"/>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875698911"/>
        <c:crosses val="autoZero"/>
        <c:auto val="1"/>
        <c:lblAlgn val="ctr"/>
        <c:lblOffset val="100"/>
        <c:noMultiLvlLbl val="0"/>
      </c:catAx>
      <c:valAx>
        <c:axId val="875698911"/>
        <c:scaling>
          <c:orientation val="minMax"/>
        </c:scaling>
        <c:delete val="0"/>
        <c:axPos val="b"/>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crossAx val="87569747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pl-P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pl-PL"/>
    </a:p>
  </c:txPr>
  <c:externalData r:id="rId3">
    <c:autoUpdate val="0"/>
  </c:externalData>
</c:chartSpace>
</file>

<file path=word/charts/chart4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Arkusz1!$B$1</c:f>
              <c:strCache>
                <c:ptCount val="1"/>
                <c:pt idx="0">
                  <c:v>Wybrano</c:v>
                </c:pt>
              </c:strCache>
            </c:strRef>
          </c:tx>
          <c:spPr>
            <a:solidFill>
              <a:srgbClr val="061A3D"/>
            </a:solidFill>
            <a:ln>
              <a:noFill/>
            </a:ln>
            <a:effectLst/>
          </c:spPr>
          <c:invertIfNegative val="0"/>
          <c:dLbls>
            <c:numFmt formatCode="0%" sourceLinked="0"/>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Arkusz1!$A$2:$A$12</c:f>
              <c:strCache>
                <c:ptCount val="11"/>
                <c:pt idx="0">
                  <c:v>Inne</c:v>
                </c:pt>
                <c:pt idx="1">
                  <c:v>Osobom bezrobotnym</c:v>
                </c:pt>
                <c:pt idx="2">
                  <c:v>Osobom planującym rozpoczęcie działalności gospodarczej</c:v>
                </c:pt>
                <c:pt idx="3">
                  <c:v>Osobom z niepełnosprawnościami</c:v>
                </c:pt>
                <c:pt idx="4">
                  <c:v>Rolnikom</c:v>
                </c:pt>
                <c:pt idx="5">
                  <c:v>Mnie samemu jako mieszkańcowi Polski</c:v>
                </c:pt>
                <c:pt idx="6">
                  <c:v>Organizacjom pozarządowym (fundacje, stowarzyszenia)</c:v>
                </c:pt>
                <c:pt idx="7">
                  <c:v>Placówkom służby zdrowia (przychodnie, szpitale)</c:v>
                </c:pt>
                <c:pt idx="8">
                  <c:v>Placówkom edukacyjnym (przedszkola, szkoły, uczelnie)</c:v>
                </c:pt>
                <c:pt idx="9">
                  <c:v>Samorządom (gminy, starostwa)</c:v>
                </c:pt>
                <c:pt idx="10">
                  <c:v>Firmom, przedsiębiorstwom prywatnym lub państwowym</c:v>
                </c:pt>
              </c:strCache>
            </c:strRef>
          </c:cat>
          <c:val>
            <c:numRef>
              <c:f>Arkusz1!$B$2:$B$12</c:f>
              <c:numCache>
                <c:formatCode>0.00%</c:formatCode>
                <c:ptCount val="11"/>
                <c:pt idx="0">
                  <c:v>5.0000000000000001E-3</c:v>
                </c:pt>
                <c:pt idx="1">
                  <c:v>1.6E-2</c:v>
                </c:pt>
                <c:pt idx="2">
                  <c:v>2.5999999999999999E-2</c:v>
                </c:pt>
                <c:pt idx="3">
                  <c:v>8.3000000000000004E-2</c:v>
                </c:pt>
                <c:pt idx="4">
                  <c:v>0.104</c:v>
                </c:pt>
                <c:pt idx="5">
                  <c:v>0.20699999999999999</c:v>
                </c:pt>
                <c:pt idx="6">
                  <c:v>0.25900000000000001</c:v>
                </c:pt>
                <c:pt idx="7">
                  <c:v>0.38300000000000001</c:v>
                </c:pt>
                <c:pt idx="8">
                  <c:v>0.38900000000000001</c:v>
                </c:pt>
                <c:pt idx="9">
                  <c:v>0.46600000000000003</c:v>
                </c:pt>
                <c:pt idx="10">
                  <c:v>0.65800000000000003</c:v>
                </c:pt>
              </c:numCache>
            </c:numRef>
          </c:val>
          <c:extLst>
            <c:ext xmlns:c16="http://schemas.microsoft.com/office/drawing/2014/chart" uri="{C3380CC4-5D6E-409C-BE32-E72D297353CC}">
              <c16:uniqueId val="{00000000-642C-4B11-BCC5-08459D47B58B}"/>
            </c:ext>
          </c:extLst>
        </c:ser>
        <c:dLbls>
          <c:showLegendKey val="0"/>
          <c:showVal val="0"/>
          <c:showCatName val="0"/>
          <c:showSerName val="0"/>
          <c:showPercent val="0"/>
          <c:showBubbleSize val="0"/>
        </c:dLbls>
        <c:gapWidth val="142"/>
        <c:axId val="432009056"/>
        <c:axId val="432009536"/>
      </c:barChart>
      <c:catAx>
        <c:axId val="43200905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crossAx val="432009536"/>
        <c:crosses val="autoZero"/>
        <c:auto val="1"/>
        <c:lblAlgn val="ctr"/>
        <c:lblOffset val="100"/>
        <c:noMultiLvlLbl val="0"/>
      </c:catAx>
      <c:valAx>
        <c:axId val="432009536"/>
        <c:scaling>
          <c:orientation val="minMax"/>
        </c:scaling>
        <c:delete val="0"/>
        <c:axPos val="b"/>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crossAx val="432009056"/>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4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6892632854091619E-2"/>
          <c:y val="1.7017337662479256E-2"/>
          <c:w val="0.86771255060728747"/>
          <c:h val="0.83552487260056219"/>
        </c:manualLayout>
      </c:layout>
      <c:areaChart>
        <c:grouping val="stacked"/>
        <c:varyColors val="0"/>
        <c:ser>
          <c:idx val="0"/>
          <c:order val="0"/>
          <c:tx>
            <c:strRef>
              <c:f>Arkusz1!$B$1</c:f>
              <c:strCache>
                <c:ptCount val="1"/>
                <c:pt idx="0">
                  <c:v>Łatwo</c:v>
                </c:pt>
              </c:strCache>
            </c:strRef>
          </c:tx>
          <c:spPr>
            <a:solidFill>
              <a:srgbClr val="061A3D"/>
            </a:solidFill>
            <a:ln>
              <a:noFill/>
            </a:ln>
            <a:effectLst/>
          </c:spPr>
          <c:dLbls>
            <c:dLbl>
              <c:idx val="0"/>
              <c:layout>
                <c:manualLayout>
                  <c:x val="2.314814814814814E-2"/>
                  <c:y val="-7.9363517060367442E-3"/>
                </c:manualLayout>
              </c:layout>
              <c:showLegendKey val="0"/>
              <c:showVal val="1"/>
              <c:showCatName val="0"/>
              <c:showSerName val="0"/>
              <c:showPercent val="0"/>
              <c:showBubbleSize val="0"/>
              <c:extLst>
                <c:ext xmlns:c15="http://schemas.microsoft.com/office/drawing/2012/chart" uri="{CE6537A1-D6FC-4f65-9D91-7224C49458BB}">
                  <c15:layout>
                    <c:manualLayout>
                      <c:w val="8.041666666666665E-2"/>
                      <c:h val="5.4166666666666669E-2"/>
                    </c:manualLayout>
                  </c15:layout>
                </c:ext>
                <c:ext xmlns:c16="http://schemas.microsoft.com/office/drawing/2014/chart" uri="{C3380CC4-5D6E-409C-BE32-E72D297353CC}">
                  <c16:uniqueId val="{00000000-157B-4EA4-9090-E5E7C52644B7}"/>
                </c:ext>
              </c:extLst>
            </c:dLbl>
            <c:dLbl>
              <c:idx val="10"/>
              <c:layout>
                <c:manualLayout>
                  <c:x val="-2.6756196477886272E-2"/>
                  <c:y val="1.3846739975834836E-3"/>
                </c:manualLayout>
              </c:layout>
              <c:showLegendKey val="0"/>
              <c:showVal val="1"/>
              <c:showCatName val="0"/>
              <c:showSerName val="0"/>
              <c:showPercent val="0"/>
              <c:showBubbleSize val="0"/>
              <c:extLst>
                <c:ext xmlns:c15="http://schemas.microsoft.com/office/drawing/2012/chart" uri="{CE6537A1-D6FC-4f65-9D91-7224C49458BB}">
                  <c15:layout>
                    <c:manualLayout>
                      <c:w val="6.8114539832318535E-2"/>
                      <c:h val="5.8265535971670113E-2"/>
                    </c:manualLayout>
                  </c15:layout>
                </c:ext>
                <c:ext xmlns:c16="http://schemas.microsoft.com/office/drawing/2014/chart" uri="{C3380CC4-5D6E-409C-BE32-E72D297353CC}">
                  <c16:uniqueId val="{00000000-6EAF-459E-83DA-4C37B4100DDF}"/>
                </c:ext>
              </c:extLst>
            </c:dLbl>
            <c:numFmt formatCode="0%" sourceLinked="0"/>
            <c:spPr>
              <a:noFill/>
              <a:ln>
                <a:noFill/>
              </a:ln>
              <a:effectLst/>
            </c:spPr>
            <c:txPr>
              <a:bodyPr rot="0" spcFirstLastPara="1" vertOverflow="ellipsis" vert="horz" wrap="square" anchor="ctr" anchorCtr="1"/>
              <a:lstStyle/>
              <a:p>
                <a:pPr>
                  <a:defRPr sz="1100" b="0" i="0" u="none" strike="noStrike" kern="1200" baseline="0">
                    <a:solidFill>
                      <a:schemeClr val="bg1"/>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Arkusz1!$A$2:$A$12</c:f>
              <c:strCache>
                <c:ptCount val="11"/>
                <c:pt idx="0">
                  <c:v>2014 N=6352</c:v>
                </c:pt>
                <c:pt idx="1">
                  <c:v>2015 N=1642</c:v>
                </c:pt>
                <c:pt idx="2">
                  <c:v>2016 N=5366</c:v>
                </c:pt>
                <c:pt idx="3">
                  <c:v>2017 N=919</c:v>
                </c:pt>
                <c:pt idx="4">
                  <c:v>2018 N=5615</c:v>
                </c:pt>
                <c:pt idx="5">
                  <c:v>2019 N=905</c:v>
                </c:pt>
                <c:pt idx="6">
                  <c:v>2020 N=5514</c:v>
                </c:pt>
                <c:pt idx="7">
                  <c:v>2021 N=887</c:v>
                </c:pt>
                <c:pt idx="8">
                  <c:v>2022 N=5279</c:v>
                </c:pt>
                <c:pt idx="9">
                  <c:v>2023 N=888</c:v>
                </c:pt>
                <c:pt idx="10">
                  <c:v>2025 N=955</c:v>
                </c:pt>
              </c:strCache>
            </c:strRef>
          </c:cat>
          <c:val>
            <c:numRef>
              <c:f>Arkusz1!$B$2:$B$12</c:f>
              <c:numCache>
                <c:formatCode>0%</c:formatCode>
                <c:ptCount val="11"/>
                <c:pt idx="0">
                  <c:v>0.1</c:v>
                </c:pt>
                <c:pt idx="1">
                  <c:v>0.11</c:v>
                </c:pt>
                <c:pt idx="2">
                  <c:v>0.13</c:v>
                </c:pt>
                <c:pt idx="3">
                  <c:v>0.15</c:v>
                </c:pt>
                <c:pt idx="4">
                  <c:v>0.15</c:v>
                </c:pt>
                <c:pt idx="5">
                  <c:v>0.12</c:v>
                </c:pt>
                <c:pt idx="6">
                  <c:v>0.12</c:v>
                </c:pt>
                <c:pt idx="7">
                  <c:v>0.24</c:v>
                </c:pt>
                <c:pt idx="8">
                  <c:v>0.16</c:v>
                </c:pt>
                <c:pt idx="9">
                  <c:v>0.18</c:v>
                </c:pt>
                <c:pt idx="10" formatCode="0.00%">
                  <c:v>0.16500000000000001</c:v>
                </c:pt>
              </c:numCache>
            </c:numRef>
          </c:val>
          <c:extLst>
            <c:ext xmlns:c16="http://schemas.microsoft.com/office/drawing/2014/chart" uri="{C3380CC4-5D6E-409C-BE32-E72D297353CC}">
              <c16:uniqueId val="{00000000-B640-4E53-9C76-6D890F91CF9C}"/>
            </c:ext>
          </c:extLst>
        </c:ser>
        <c:ser>
          <c:idx val="1"/>
          <c:order val="1"/>
          <c:tx>
            <c:strRef>
              <c:f>Arkusz1!$C$1</c:f>
              <c:strCache>
                <c:ptCount val="1"/>
                <c:pt idx="0">
                  <c:v>Trudno</c:v>
                </c:pt>
              </c:strCache>
            </c:strRef>
          </c:tx>
          <c:spPr>
            <a:solidFill>
              <a:schemeClr val="bg1">
                <a:lumMod val="85000"/>
              </a:schemeClr>
            </a:solidFill>
            <a:ln>
              <a:noFill/>
            </a:ln>
            <a:effectLst/>
          </c:spPr>
          <c:dLbls>
            <c:dLbl>
              <c:idx val="0"/>
              <c:layout>
                <c:manualLayout>
                  <c:x val="2.5462962962962962E-2"/>
                  <c:y val="-7.936507936507940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57B-4EA4-9090-E5E7C52644B7}"/>
                </c:ext>
              </c:extLst>
            </c:dLbl>
            <c:numFmt formatCode="0%" sourceLinked="0"/>
            <c:spPr>
              <a:noFill/>
              <a:ln>
                <a:noFill/>
              </a:ln>
              <a:effectLst/>
            </c:spPr>
            <c:txPr>
              <a:bodyPr rot="0" spcFirstLastPara="1" vertOverflow="ellipsis" vert="horz" wrap="square" anchor="ctr" anchorCtr="1"/>
              <a:lstStyle/>
              <a:p>
                <a:pPr>
                  <a:defRPr sz="11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Arkusz1!$A$2:$A$12</c:f>
              <c:strCache>
                <c:ptCount val="11"/>
                <c:pt idx="0">
                  <c:v>2014 N=6352</c:v>
                </c:pt>
                <c:pt idx="1">
                  <c:v>2015 N=1642</c:v>
                </c:pt>
                <c:pt idx="2">
                  <c:v>2016 N=5366</c:v>
                </c:pt>
                <c:pt idx="3">
                  <c:v>2017 N=919</c:v>
                </c:pt>
                <c:pt idx="4">
                  <c:v>2018 N=5615</c:v>
                </c:pt>
                <c:pt idx="5">
                  <c:v>2019 N=905</c:v>
                </c:pt>
                <c:pt idx="6">
                  <c:v>2020 N=5514</c:v>
                </c:pt>
                <c:pt idx="7">
                  <c:v>2021 N=887</c:v>
                </c:pt>
                <c:pt idx="8">
                  <c:v>2022 N=5279</c:v>
                </c:pt>
                <c:pt idx="9">
                  <c:v>2023 N=888</c:v>
                </c:pt>
                <c:pt idx="10">
                  <c:v>2025 N=955</c:v>
                </c:pt>
              </c:strCache>
            </c:strRef>
          </c:cat>
          <c:val>
            <c:numRef>
              <c:f>Arkusz1!$C$2:$C$12</c:f>
              <c:numCache>
                <c:formatCode>0%</c:formatCode>
                <c:ptCount val="11"/>
                <c:pt idx="0">
                  <c:v>0.39</c:v>
                </c:pt>
                <c:pt idx="1">
                  <c:v>0.26</c:v>
                </c:pt>
                <c:pt idx="2">
                  <c:v>0.28000000000000003</c:v>
                </c:pt>
                <c:pt idx="3">
                  <c:v>0.24</c:v>
                </c:pt>
                <c:pt idx="4">
                  <c:v>0.23</c:v>
                </c:pt>
                <c:pt idx="5">
                  <c:v>0.23</c:v>
                </c:pt>
                <c:pt idx="6">
                  <c:v>0.28000000000000003</c:v>
                </c:pt>
                <c:pt idx="7">
                  <c:v>0.23</c:v>
                </c:pt>
                <c:pt idx="8">
                  <c:v>0.25</c:v>
                </c:pt>
                <c:pt idx="9">
                  <c:v>0.22</c:v>
                </c:pt>
                <c:pt idx="10" formatCode="0.00%">
                  <c:v>0.21099999999999999</c:v>
                </c:pt>
              </c:numCache>
            </c:numRef>
          </c:val>
          <c:extLst>
            <c:ext xmlns:c16="http://schemas.microsoft.com/office/drawing/2014/chart" uri="{C3380CC4-5D6E-409C-BE32-E72D297353CC}">
              <c16:uniqueId val="{00000001-B640-4E53-9C76-6D890F91CF9C}"/>
            </c:ext>
          </c:extLst>
        </c:ser>
        <c:dLbls>
          <c:showLegendKey val="0"/>
          <c:showVal val="0"/>
          <c:showCatName val="0"/>
          <c:showSerName val="0"/>
          <c:showPercent val="0"/>
          <c:showBubbleSize val="0"/>
        </c:dLbls>
        <c:axId val="1087413087"/>
        <c:axId val="1087405407"/>
      </c:areaChart>
      <c:catAx>
        <c:axId val="1087413087"/>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087405407"/>
        <c:crosses val="autoZero"/>
        <c:auto val="1"/>
        <c:lblAlgn val="ctr"/>
        <c:lblOffset val="100"/>
        <c:noMultiLvlLbl val="0"/>
      </c:catAx>
      <c:valAx>
        <c:axId val="1087405407"/>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087413087"/>
        <c:crosses val="autoZero"/>
        <c:crossBetween val="midCat"/>
      </c:valAx>
      <c:spPr>
        <a:noFill/>
        <a:ln>
          <a:noFill/>
        </a:ln>
        <a:effectLst/>
      </c:spPr>
    </c:plotArea>
    <c:legend>
      <c:legendPos val="b"/>
      <c:layout>
        <c:manualLayout>
          <c:xMode val="edge"/>
          <c:yMode val="edge"/>
          <c:x val="0.3513309318116612"/>
          <c:y val="0.93460903582012089"/>
          <c:w val="0.32162947495935479"/>
          <c:h val="5.4313700264066268E-2"/>
        </c:manualLayout>
      </c:layout>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legend>
    <c:plotVisOnly val="1"/>
    <c:dispBlanksAs val="zero"/>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1050">
          <a:latin typeface="Arial" panose="020B0604020202020204" pitchFamily="34" charset="0"/>
          <a:cs typeface="Arial" panose="020B0604020202020204" pitchFamily="34" charset="0"/>
        </a:defRPr>
      </a:pPr>
      <a:endParaRPr lang="pl-PL"/>
    </a:p>
  </c:txPr>
  <c:externalData r:id="rId3">
    <c:autoUpdate val="0"/>
  </c:externalData>
</c:chartSpace>
</file>

<file path=word/charts/chart4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0692931612715076"/>
          <c:y val="6.9125968169033533E-2"/>
          <c:w val="0.74814012831729371"/>
          <c:h val="0.7794607675722619"/>
        </c:manualLayout>
      </c:layout>
      <c:barChart>
        <c:barDir val="bar"/>
        <c:grouping val="percentStacked"/>
        <c:varyColors val="0"/>
        <c:ser>
          <c:idx val="0"/>
          <c:order val="0"/>
          <c:tx>
            <c:strRef>
              <c:f>Arkusz1!$B$1</c:f>
              <c:strCache>
                <c:ptCount val="1"/>
                <c:pt idx="0">
                  <c:v>bardzo łatwo</c:v>
                </c:pt>
              </c:strCache>
            </c:strRef>
          </c:tx>
          <c:spPr>
            <a:solidFill>
              <a:schemeClr val="accent5"/>
            </a:solidFill>
            <a:ln>
              <a:noFill/>
            </a:ln>
            <a:effectLst/>
          </c:spPr>
          <c:invertIfNegative val="0"/>
          <c:dLbls>
            <c:numFmt formatCode="0%" sourceLinked="0"/>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Arkusz1!$A$2:$A$25</c:f>
              <c:strCache>
                <c:ptCount val="24"/>
                <c:pt idx="0">
                  <c:v>Ogółem</c:v>
                </c:pt>
                <c:pt idx="2">
                  <c:v>Kobieta</c:v>
                </c:pt>
                <c:pt idx="3">
                  <c:v>Mężczyzna</c:v>
                </c:pt>
                <c:pt idx="5">
                  <c:v>15–19</c:v>
                </c:pt>
                <c:pt idx="6">
                  <c:v>20–24</c:v>
                </c:pt>
                <c:pt idx="7">
                  <c:v>25–34</c:v>
                </c:pt>
                <c:pt idx="8">
                  <c:v>35–44</c:v>
                </c:pt>
                <c:pt idx="9">
                  <c:v>45–54</c:v>
                </c:pt>
                <c:pt idx="10">
                  <c:v>55–64</c:v>
                </c:pt>
                <c:pt idx="11">
                  <c:v>65+</c:v>
                </c:pt>
                <c:pt idx="13">
                  <c:v>Wyższe</c:v>
                </c:pt>
                <c:pt idx="14">
                  <c:v>Średnie</c:v>
                </c:pt>
                <c:pt idx="15">
                  <c:v>Zawodowe</c:v>
                </c:pt>
                <c:pt idx="16">
                  <c:v>Podstawowe</c:v>
                </c:pt>
                <c:pt idx="18">
                  <c:v>Wieś</c:v>
                </c:pt>
                <c:pt idx="19">
                  <c:v>Do 20 tys.</c:v>
                </c:pt>
                <c:pt idx="20">
                  <c:v>20–49 tys.</c:v>
                </c:pt>
                <c:pt idx="21">
                  <c:v>50–199 tys.</c:v>
                </c:pt>
                <c:pt idx="22">
                  <c:v>200–499 tys.</c:v>
                </c:pt>
                <c:pt idx="23">
                  <c:v>500 tys.+</c:v>
                </c:pt>
              </c:strCache>
            </c:strRef>
          </c:cat>
          <c:val>
            <c:numRef>
              <c:f>Arkusz1!$B$2:$B$25</c:f>
              <c:numCache>
                <c:formatCode>General</c:formatCode>
                <c:ptCount val="24"/>
                <c:pt idx="0" formatCode="0.00%">
                  <c:v>1.7999999999999999E-2</c:v>
                </c:pt>
                <c:pt idx="2" formatCode="0.00%">
                  <c:v>0.02</c:v>
                </c:pt>
                <c:pt idx="3" formatCode="0.00%">
                  <c:v>1.6E-2</c:v>
                </c:pt>
                <c:pt idx="5" formatCode="0.00%">
                  <c:v>3.4000000000000002E-2</c:v>
                </c:pt>
                <c:pt idx="6" formatCode="0.00%">
                  <c:v>3.3000000000000002E-2</c:v>
                </c:pt>
                <c:pt idx="7" formatCode="0.00%">
                  <c:v>2.7E-2</c:v>
                </c:pt>
                <c:pt idx="8" formatCode="0.00%">
                  <c:v>2.1000000000000001E-2</c:v>
                </c:pt>
                <c:pt idx="9" formatCode="0.00%">
                  <c:v>1.4E-2</c:v>
                </c:pt>
                <c:pt idx="10" formatCode="0.00%">
                  <c:v>1.6E-2</c:v>
                </c:pt>
                <c:pt idx="11" formatCode="0.00%">
                  <c:v>4.0000000000000001E-3</c:v>
                </c:pt>
                <c:pt idx="13" formatCode="0.00%">
                  <c:v>1.4999999999999999E-2</c:v>
                </c:pt>
                <c:pt idx="14" formatCode="0.00%">
                  <c:v>1.4999999999999999E-2</c:v>
                </c:pt>
                <c:pt idx="15" formatCode="0.00%">
                  <c:v>2.1000000000000001E-2</c:v>
                </c:pt>
                <c:pt idx="16" formatCode="0.00%">
                  <c:v>2.5000000000000001E-2</c:v>
                </c:pt>
                <c:pt idx="18" formatCode="0.00%">
                  <c:v>8.0000000000000002E-3</c:v>
                </c:pt>
                <c:pt idx="19" formatCode="0.00%">
                  <c:v>2.5000000000000001E-2</c:v>
                </c:pt>
                <c:pt idx="20" formatCode="0.00%">
                  <c:v>4.3999999999999997E-2</c:v>
                </c:pt>
                <c:pt idx="21" formatCode="0.00%">
                  <c:v>2.8000000000000001E-2</c:v>
                </c:pt>
                <c:pt idx="22" formatCode="0.00%">
                  <c:v>2.5000000000000001E-2</c:v>
                </c:pt>
                <c:pt idx="23">
                  <c:v>0</c:v>
                </c:pt>
              </c:numCache>
            </c:numRef>
          </c:val>
          <c:extLst>
            <c:ext xmlns:c16="http://schemas.microsoft.com/office/drawing/2014/chart" uri="{C3380CC4-5D6E-409C-BE32-E72D297353CC}">
              <c16:uniqueId val="{00000000-E50C-4614-AE3A-EF2395C9092F}"/>
            </c:ext>
          </c:extLst>
        </c:ser>
        <c:ser>
          <c:idx val="1"/>
          <c:order val="1"/>
          <c:tx>
            <c:strRef>
              <c:f>Arkusz1!$C$1</c:f>
              <c:strCache>
                <c:ptCount val="1"/>
                <c:pt idx="0">
                  <c:v>łatwo</c:v>
                </c:pt>
              </c:strCache>
            </c:strRef>
          </c:tx>
          <c:spPr>
            <a:solidFill>
              <a:schemeClr val="bg1">
                <a:lumMod val="85000"/>
              </a:schemeClr>
            </a:solidFill>
            <a:ln>
              <a:noFill/>
            </a:ln>
            <a:effectLst/>
          </c:spPr>
          <c:invertIfNegative val="0"/>
          <c:dLbls>
            <c:numFmt formatCode="0%" sourceLinked="0"/>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Arkusz1!$A$2:$A$25</c:f>
              <c:strCache>
                <c:ptCount val="24"/>
                <c:pt idx="0">
                  <c:v>Ogółem</c:v>
                </c:pt>
                <c:pt idx="2">
                  <c:v>Kobieta</c:v>
                </c:pt>
                <c:pt idx="3">
                  <c:v>Mężczyzna</c:v>
                </c:pt>
                <c:pt idx="5">
                  <c:v>15–19</c:v>
                </c:pt>
                <c:pt idx="6">
                  <c:v>20–24</c:v>
                </c:pt>
                <c:pt idx="7">
                  <c:v>25–34</c:v>
                </c:pt>
                <c:pt idx="8">
                  <c:v>35–44</c:v>
                </c:pt>
                <c:pt idx="9">
                  <c:v>45–54</c:v>
                </c:pt>
                <c:pt idx="10">
                  <c:v>55–64</c:v>
                </c:pt>
                <c:pt idx="11">
                  <c:v>65+</c:v>
                </c:pt>
                <c:pt idx="13">
                  <c:v>Wyższe</c:v>
                </c:pt>
                <c:pt idx="14">
                  <c:v>Średnie</c:v>
                </c:pt>
                <c:pt idx="15">
                  <c:v>Zawodowe</c:v>
                </c:pt>
                <c:pt idx="16">
                  <c:v>Podstawowe</c:v>
                </c:pt>
                <c:pt idx="18">
                  <c:v>Wieś</c:v>
                </c:pt>
                <c:pt idx="19">
                  <c:v>Do 20 tys.</c:v>
                </c:pt>
                <c:pt idx="20">
                  <c:v>20–49 tys.</c:v>
                </c:pt>
                <c:pt idx="21">
                  <c:v>50–199 tys.</c:v>
                </c:pt>
                <c:pt idx="22">
                  <c:v>200–499 tys.</c:v>
                </c:pt>
                <c:pt idx="23">
                  <c:v>500 tys.+</c:v>
                </c:pt>
              </c:strCache>
            </c:strRef>
          </c:cat>
          <c:val>
            <c:numRef>
              <c:f>Arkusz1!$C$2:$C$25</c:f>
              <c:numCache>
                <c:formatCode>General</c:formatCode>
                <c:ptCount val="24"/>
                <c:pt idx="0" formatCode="0.00%">
                  <c:v>0.14699999999999999</c:v>
                </c:pt>
                <c:pt idx="2" formatCode="0.00%">
                  <c:v>0.157</c:v>
                </c:pt>
                <c:pt idx="3" formatCode="0.00%">
                  <c:v>0.13700000000000001</c:v>
                </c:pt>
                <c:pt idx="5" formatCode="0.00%">
                  <c:v>0.11899999999999999</c:v>
                </c:pt>
                <c:pt idx="6" formatCode="0.00%">
                  <c:v>0.13100000000000001</c:v>
                </c:pt>
                <c:pt idx="7" formatCode="0.00%">
                  <c:v>0.11600000000000001</c:v>
                </c:pt>
                <c:pt idx="8" formatCode="0.00%">
                  <c:v>0.156</c:v>
                </c:pt>
                <c:pt idx="9" formatCode="0.00%">
                  <c:v>0.14199999999999999</c:v>
                </c:pt>
                <c:pt idx="10" formatCode="0.00%">
                  <c:v>0.15</c:v>
                </c:pt>
                <c:pt idx="11" formatCode="0.00%">
                  <c:v>0.17100000000000001</c:v>
                </c:pt>
                <c:pt idx="13" formatCode="0.00%">
                  <c:v>0.123</c:v>
                </c:pt>
                <c:pt idx="14" formatCode="0.00%">
                  <c:v>0.14299999999999999</c:v>
                </c:pt>
                <c:pt idx="15" formatCode="0.00%">
                  <c:v>0.18</c:v>
                </c:pt>
                <c:pt idx="16" formatCode="0.00%">
                  <c:v>0.14299999999999999</c:v>
                </c:pt>
                <c:pt idx="18" formatCode="0.00%">
                  <c:v>0.14399999999999999</c:v>
                </c:pt>
                <c:pt idx="19" formatCode="0.00%">
                  <c:v>0.13900000000000001</c:v>
                </c:pt>
                <c:pt idx="20" formatCode="0.00%">
                  <c:v>0.159</c:v>
                </c:pt>
                <c:pt idx="21" formatCode="0.00%">
                  <c:v>0.154</c:v>
                </c:pt>
                <c:pt idx="22" formatCode="0.00%">
                  <c:v>0.111</c:v>
                </c:pt>
                <c:pt idx="23" formatCode="0.00%">
                  <c:v>0.16500000000000001</c:v>
                </c:pt>
              </c:numCache>
            </c:numRef>
          </c:val>
          <c:extLst>
            <c:ext xmlns:c16="http://schemas.microsoft.com/office/drawing/2014/chart" uri="{C3380CC4-5D6E-409C-BE32-E72D297353CC}">
              <c16:uniqueId val="{00000001-E50C-4614-AE3A-EF2395C9092F}"/>
            </c:ext>
          </c:extLst>
        </c:ser>
        <c:ser>
          <c:idx val="2"/>
          <c:order val="2"/>
          <c:tx>
            <c:strRef>
              <c:f>Arkusz1!$D$1</c:f>
              <c:strCache>
                <c:ptCount val="1"/>
                <c:pt idx="0">
                  <c:v>różnie – raz łatwo, raz trudno</c:v>
                </c:pt>
              </c:strCache>
            </c:strRef>
          </c:tx>
          <c:spPr>
            <a:solidFill>
              <a:schemeClr val="tx1">
                <a:lumMod val="50000"/>
                <a:lumOff val="50000"/>
              </a:schemeClr>
            </a:solidFill>
            <a:ln>
              <a:noFill/>
            </a:ln>
            <a:effectLst/>
          </c:spPr>
          <c:invertIfNegative val="0"/>
          <c:dLbls>
            <c:dLbl>
              <c:idx val="6"/>
              <c:numFmt formatCode="0%" sourceLinked="0"/>
              <c:spPr>
                <a:solidFill>
                  <a:srgbClr val="00B0F0"/>
                </a:solid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bg1"/>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extLst>
                <c:ext xmlns:c16="http://schemas.microsoft.com/office/drawing/2014/chart" uri="{C3380CC4-5D6E-409C-BE32-E72D297353CC}">
                  <c16:uniqueId val="{00000001-35B5-42AA-9970-C0B35D8C5975}"/>
                </c:ext>
              </c:extLst>
            </c:dLbl>
            <c:dLbl>
              <c:idx val="10"/>
              <c:numFmt formatCode="0%" sourceLinked="0"/>
              <c:spPr>
                <a:solidFill>
                  <a:srgbClr val="EE0000"/>
                </a:solid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bg1"/>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extLst>
                <c:ext xmlns:c16="http://schemas.microsoft.com/office/drawing/2014/chart" uri="{C3380CC4-5D6E-409C-BE32-E72D297353CC}">
                  <c16:uniqueId val="{00000000-35B5-42AA-9970-C0B35D8C5975}"/>
                </c:ext>
              </c:extLst>
            </c:dLbl>
            <c:dLbl>
              <c:idx val="20"/>
              <c:numFmt formatCode="0%" sourceLinked="0"/>
              <c:spPr>
                <a:solidFill>
                  <a:srgbClr val="00B0F0"/>
                </a:solid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bg1"/>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extLst>
                <c:ext xmlns:c16="http://schemas.microsoft.com/office/drawing/2014/chart" uri="{C3380CC4-5D6E-409C-BE32-E72D297353CC}">
                  <c16:uniqueId val="{00000003-35B5-42AA-9970-C0B35D8C5975}"/>
                </c:ext>
              </c:extLst>
            </c:dLbl>
            <c:numFmt formatCode="0%" sourceLinked="0"/>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bg1"/>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Arkusz1!$A$2:$A$25</c:f>
              <c:strCache>
                <c:ptCount val="24"/>
                <c:pt idx="0">
                  <c:v>Ogółem</c:v>
                </c:pt>
                <c:pt idx="2">
                  <c:v>Kobieta</c:v>
                </c:pt>
                <c:pt idx="3">
                  <c:v>Mężczyzna</c:v>
                </c:pt>
                <c:pt idx="5">
                  <c:v>15–19</c:v>
                </c:pt>
                <c:pt idx="6">
                  <c:v>20–24</c:v>
                </c:pt>
                <c:pt idx="7">
                  <c:v>25–34</c:v>
                </c:pt>
                <c:pt idx="8">
                  <c:v>35–44</c:v>
                </c:pt>
                <c:pt idx="9">
                  <c:v>45–54</c:v>
                </c:pt>
                <c:pt idx="10">
                  <c:v>55–64</c:v>
                </c:pt>
                <c:pt idx="11">
                  <c:v>65+</c:v>
                </c:pt>
                <c:pt idx="13">
                  <c:v>Wyższe</c:v>
                </c:pt>
                <c:pt idx="14">
                  <c:v>Średnie</c:v>
                </c:pt>
                <c:pt idx="15">
                  <c:v>Zawodowe</c:v>
                </c:pt>
                <c:pt idx="16">
                  <c:v>Podstawowe</c:v>
                </c:pt>
                <c:pt idx="18">
                  <c:v>Wieś</c:v>
                </c:pt>
                <c:pt idx="19">
                  <c:v>Do 20 tys.</c:v>
                </c:pt>
                <c:pt idx="20">
                  <c:v>20–49 tys.</c:v>
                </c:pt>
                <c:pt idx="21">
                  <c:v>50–199 tys.</c:v>
                </c:pt>
                <c:pt idx="22">
                  <c:v>200–499 tys.</c:v>
                </c:pt>
                <c:pt idx="23">
                  <c:v>500 tys.+</c:v>
                </c:pt>
              </c:strCache>
            </c:strRef>
          </c:cat>
          <c:val>
            <c:numRef>
              <c:f>Arkusz1!$D$2:$D$25</c:f>
              <c:numCache>
                <c:formatCode>General</c:formatCode>
                <c:ptCount val="24"/>
                <c:pt idx="0" formatCode="0.00%">
                  <c:v>0.373</c:v>
                </c:pt>
                <c:pt idx="2" formatCode="0.00%">
                  <c:v>0.34699999999999998</c:v>
                </c:pt>
                <c:pt idx="3" formatCode="0.00%">
                  <c:v>0.39600000000000002</c:v>
                </c:pt>
                <c:pt idx="5" formatCode="0.00%">
                  <c:v>0.35599999999999998</c:v>
                </c:pt>
                <c:pt idx="6" formatCode="0.00%">
                  <c:v>0.26200000000000001</c:v>
                </c:pt>
                <c:pt idx="7" formatCode="0.00%">
                  <c:v>0.33300000000000002</c:v>
                </c:pt>
                <c:pt idx="8" formatCode="0.00%">
                  <c:v>0.40600000000000003</c:v>
                </c:pt>
                <c:pt idx="9" formatCode="0.00%">
                  <c:v>0.39</c:v>
                </c:pt>
                <c:pt idx="10" formatCode="0.00%">
                  <c:v>0.441</c:v>
                </c:pt>
                <c:pt idx="11" formatCode="0.00%">
                  <c:v>0.35499999999999998</c:v>
                </c:pt>
                <c:pt idx="13" formatCode="0.00%">
                  <c:v>0.38400000000000001</c:v>
                </c:pt>
                <c:pt idx="14" formatCode="0.00%">
                  <c:v>0.39200000000000002</c:v>
                </c:pt>
                <c:pt idx="15" formatCode="0.00%">
                  <c:v>0.35099999999999998</c:v>
                </c:pt>
                <c:pt idx="16" formatCode="0.00%">
                  <c:v>0.33600000000000002</c:v>
                </c:pt>
                <c:pt idx="18" formatCode="0.00%">
                  <c:v>0.40200000000000002</c:v>
                </c:pt>
                <c:pt idx="19" formatCode="0.00%">
                  <c:v>0.41</c:v>
                </c:pt>
                <c:pt idx="20" formatCode="0.00%">
                  <c:v>0.28299999999999997</c:v>
                </c:pt>
                <c:pt idx="21" formatCode="0.00%">
                  <c:v>0.35699999999999998</c:v>
                </c:pt>
                <c:pt idx="22" formatCode="0.00%">
                  <c:v>0.33300000000000002</c:v>
                </c:pt>
                <c:pt idx="23" formatCode="0.00%">
                  <c:v>0.374</c:v>
                </c:pt>
              </c:numCache>
            </c:numRef>
          </c:val>
          <c:extLst>
            <c:ext xmlns:c16="http://schemas.microsoft.com/office/drawing/2014/chart" uri="{C3380CC4-5D6E-409C-BE32-E72D297353CC}">
              <c16:uniqueId val="{00000002-E50C-4614-AE3A-EF2395C9092F}"/>
            </c:ext>
          </c:extLst>
        </c:ser>
        <c:ser>
          <c:idx val="3"/>
          <c:order val="3"/>
          <c:tx>
            <c:strRef>
              <c:f>Arkusz1!$E$1</c:f>
              <c:strCache>
                <c:ptCount val="1"/>
                <c:pt idx="0">
                  <c:v>trudno</c:v>
                </c:pt>
              </c:strCache>
            </c:strRef>
          </c:tx>
          <c:spPr>
            <a:solidFill>
              <a:schemeClr val="accent4"/>
            </a:solidFill>
            <a:ln>
              <a:noFill/>
            </a:ln>
            <a:effectLst/>
          </c:spPr>
          <c:invertIfNegative val="0"/>
          <c:dLbls>
            <c:dLbl>
              <c:idx val="6"/>
              <c:numFmt formatCode="0%" sourceLinked="0"/>
              <c:spPr>
                <a:solidFill>
                  <a:srgbClr val="EE0000"/>
                </a:solid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bg1"/>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extLst>
                <c:ext xmlns:c16="http://schemas.microsoft.com/office/drawing/2014/chart" uri="{C3380CC4-5D6E-409C-BE32-E72D297353CC}">
                  <c16:uniqueId val="{00000002-35B5-42AA-9970-C0B35D8C5975}"/>
                </c:ext>
              </c:extLst>
            </c:dLbl>
            <c:numFmt formatCode="0%" sourceLinked="0"/>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Arkusz1!$A$2:$A$25</c:f>
              <c:strCache>
                <c:ptCount val="24"/>
                <c:pt idx="0">
                  <c:v>Ogółem</c:v>
                </c:pt>
                <c:pt idx="2">
                  <c:v>Kobieta</c:v>
                </c:pt>
                <c:pt idx="3">
                  <c:v>Mężczyzna</c:v>
                </c:pt>
                <c:pt idx="5">
                  <c:v>15–19</c:v>
                </c:pt>
                <c:pt idx="6">
                  <c:v>20–24</c:v>
                </c:pt>
                <c:pt idx="7">
                  <c:v>25–34</c:v>
                </c:pt>
                <c:pt idx="8">
                  <c:v>35–44</c:v>
                </c:pt>
                <c:pt idx="9">
                  <c:v>45–54</c:v>
                </c:pt>
                <c:pt idx="10">
                  <c:v>55–64</c:v>
                </c:pt>
                <c:pt idx="11">
                  <c:v>65+</c:v>
                </c:pt>
                <c:pt idx="13">
                  <c:v>Wyższe</c:v>
                </c:pt>
                <c:pt idx="14">
                  <c:v>Średnie</c:v>
                </c:pt>
                <c:pt idx="15">
                  <c:v>Zawodowe</c:v>
                </c:pt>
                <c:pt idx="16">
                  <c:v>Podstawowe</c:v>
                </c:pt>
                <c:pt idx="18">
                  <c:v>Wieś</c:v>
                </c:pt>
                <c:pt idx="19">
                  <c:v>Do 20 tys.</c:v>
                </c:pt>
                <c:pt idx="20">
                  <c:v>20–49 tys.</c:v>
                </c:pt>
                <c:pt idx="21">
                  <c:v>50–199 tys.</c:v>
                </c:pt>
                <c:pt idx="22">
                  <c:v>200–499 tys.</c:v>
                </c:pt>
                <c:pt idx="23">
                  <c:v>500 tys.+</c:v>
                </c:pt>
              </c:strCache>
            </c:strRef>
          </c:cat>
          <c:val>
            <c:numRef>
              <c:f>Arkusz1!$E$2:$E$25</c:f>
              <c:numCache>
                <c:formatCode>General</c:formatCode>
                <c:ptCount val="24"/>
                <c:pt idx="0" formatCode="0.00%">
                  <c:v>0.192</c:v>
                </c:pt>
                <c:pt idx="2" formatCode="0.00%">
                  <c:v>0.20100000000000001</c:v>
                </c:pt>
                <c:pt idx="3" formatCode="0.00%">
                  <c:v>0.183</c:v>
                </c:pt>
                <c:pt idx="5" formatCode="0.00%">
                  <c:v>0.186</c:v>
                </c:pt>
                <c:pt idx="6" formatCode="0.00%">
                  <c:v>0.311</c:v>
                </c:pt>
                <c:pt idx="7" formatCode="0.00%">
                  <c:v>0.19700000000000001</c:v>
                </c:pt>
                <c:pt idx="8" formatCode="0.00%">
                  <c:v>0.17199999999999999</c:v>
                </c:pt>
                <c:pt idx="9" formatCode="0.00%">
                  <c:v>0.191</c:v>
                </c:pt>
                <c:pt idx="10" formatCode="0.00%">
                  <c:v>0.11</c:v>
                </c:pt>
                <c:pt idx="11" formatCode="0.00%">
                  <c:v>0.219</c:v>
                </c:pt>
                <c:pt idx="13" formatCode="0.00%">
                  <c:v>0.20899999999999999</c:v>
                </c:pt>
                <c:pt idx="14" formatCode="0.00%">
                  <c:v>0.17299999999999999</c:v>
                </c:pt>
                <c:pt idx="15" formatCode="0.00%">
                  <c:v>0.188</c:v>
                </c:pt>
                <c:pt idx="16" formatCode="0.00%">
                  <c:v>0.21</c:v>
                </c:pt>
                <c:pt idx="18" formatCode="0.00%">
                  <c:v>0.16300000000000001</c:v>
                </c:pt>
                <c:pt idx="19" formatCode="0.00%">
                  <c:v>0.20499999999999999</c:v>
                </c:pt>
                <c:pt idx="20" formatCode="0.00%">
                  <c:v>0.20399999999999999</c:v>
                </c:pt>
                <c:pt idx="21" formatCode="0.00%">
                  <c:v>0.252</c:v>
                </c:pt>
                <c:pt idx="22" formatCode="0.00%">
                  <c:v>0.185</c:v>
                </c:pt>
                <c:pt idx="23" formatCode="0.00%">
                  <c:v>0.191</c:v>
                </c:pt>
              </c:numCache>
            </c:numRef>
          </c:val>
          <c:extLst>
            <c:ext xmlns:c16="http://schemas.microsoft.com/office/drawing/2014/chart" uri="{C3380CC4-5D6E-409C-BE32-E72D297353CC}">
              <c16:uniqueId val="{00000003-E50C-4614-AE3A-EF2395C9092F}"/>
            </c:ext>
          </c:extLst>
        </c:ser>
        <c:ser>
          <c:idx val="4"/>
          <c:order val="4"/>
          <c:tx>
            <c:strRef>
              <c:f>Arkusz1!$F$1</c:f>
              <c:strCache>
                <c:ptCount val="1"/>
                <c:pt idx="0">
                  <c:v>bardzo trudno</c:v>
                </c:pt>
              </c:strCache>
            </c:strRef>
          </c:tx>
          <c:spPr>
            <a:solidFill>
              <a:schemeClr val="accent5"/>
            </a:solidFill>
            <a:ln>
              <a:noFill/>
            </a:ln>
            <a:effectLst/>
          </c:spPr>
          <c:invertIfNegative val="0"/>
          <c:dLbls>
            <c:dLbl>
              <c:idx val="0"/>
              <c:layout>
                <c:manualLayout>
                  <c:x val="-1.3888888888888888E-2"/>
                  <c:y val="1.1013529705363925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2F9-4760-BD97-3A647A1F00C2}"/>
                </c:ext>
              </c:extLst>
            </c:dLbl>
            <c:dLbl>
              <c:idx val="5"/>
              <c:delete val="1"/>
              <c:extLst>
                <c:ext xmlns:c15="http://schemas.microsoft.com/office/drawing/2012/chart" uri="{CE6537A1-D6FC-4f65-9D91-7224C49458BB}"/>
                <c:ext xmlns:c16="http://schemas.microsoft.com/office/drawing/2014/chart" uri="{C3380CC4-5D6E-409C-BE32-E72D297353CC}">
                  <c16:uniqueId val="{00000001-9030-48E9-ACD7-D96DE7D13640}"/>
                </c:ext>
              </c:extLst>
            </c:dLbl>
            <c:dLbl>
              <c:idx val="23"/>
              <c:delete val="1"/>
              <c:extLst>
                <c:ext xmlns:c15="http://schemas.microsoft.com/office/drawing/2012/chart" uri="{CE6537A1-D6FC-4f65-9D91-7224C49458BB}"/>
                <c:ext xmlns:c16="http://schemas.microsoft.com/office/drawing/2014/chart" uri="{C3380CC4-5D6E-409C-BE32-E72D297353CC}">
                  <c16:uniqueId val="{00000000-9030-48E9-ACD7-D96DE7D13640}"/>
                </c:ext>
              </c:extLst>
            </c:dLbl>
            <c:numFmt formatCode="0%" sourceLinked="0"/>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bg1"/>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Arkusz1!$A$2:$A$25</c:f>
              <c:strCache>
                <c:ptCount val="24"/>
                <c:pt idx="0">
                  <c:v>Ogółem</c:v>
                </c:pt>
                <c:pt idx="2">
                  <c:v>Kobieta</c:v>
                </c:pt>
                <c:pt idx="3">
                  <c:v>Mężczyzna</c:v>
                </c:pt>
                <c:pt idx="5">
                  <c:v>15–19</c:v>
                </c:pt>
                <c:pt idx="6">
                  <c:v>20–24</c:v>
                </c:pt>
                <c:pt idx="7">
                  <c:v>25–34</c:v>
                </c:pt>
                <c:pt idx="8">
                  <c:v>35–44</c:v>
                </c:pt>
                <c:pt idx="9">
                  <c:v>45–54</c:v>
                </c:pt>
                <c:pt idx="10">
                  <c:v>55–64</c:v>
                </c:pt>
                <c:pt idx="11">
                  <c:v>65+</c:v>
                </c:pt>
                <c:pt idx="13">
                  <c:v>Wyższe</c:v>
                </c:pt>
                <c:pt idx="14">
                  <c:v>Średnie</c:v>
                </c:pt>
                <c:pt idx="15">
                  <c:v>Zawodowe</c:v>
                </c:pt>
                <c:pt idx="16">
                  <c:v>Podstawowe</c:v>
                </c:pt>
                <c:pt idx="18">
                  <c:v>Wieś</c:v>
                </c:pt>
                <c:pt idx="19">
                  <c:v>Do 20 tys.</c:v>
                </c:pt>
                <c:pt idx="20">
                  <c:v>20–49 tys.</c:v>
                </c:pt>
                <c:pt idx="21">
                  <c:v>50–199 tys.</c:v>
                </c:pt>
                <c:pt idx="22">
                  <c:v>200–499 tys.</c:v>
                </c:pt>
                <c:pt idx="23">
                  <c:v>500 tys.+</c:v>
                </c:pt>
              </c:strCache>
            </c:strRef>
          </c:cat>
          <c:val>
            <c:numRef>
              <c:f>Arkusz1!$F$2:$F$25</c:f>
              <c:numCache>
                <c:formatCode>General</c:formatCode>
                <c:ptCount val="24"/>
                <c:pt idx="0" formatCode="0.00%">
                  <c:v>1.9E-2</c:v>
                </c:pt>
                <c:pt idx="2" formatCode="0.00%">
                  <c:v>0.02</c:v>
                </c:pt>
                <c:pt idx="3" formatCode="0.00%">
                  <c:v>1.7999999999999999E-2</c:v>
                </c:pt>
                <c:pt idx="5">
                  <c:v>0</c:v>
                </c:pt>
                <c:pt idx="6" formatCode="0.00%">
                  <c:v>1.6E-2</c:v>
                </c:pt>
                <c:pt idx="7" formatCode="0.00%">
                  <c:v>0.02</c:v>
                </c:pt>
                <c:pt idx="8" formatCode="0.00%">
                  <c:v>2.5999999999999999E-2</c:v>
                </c:pt>
                <c:pt idx="9" formatCode="0.00%">
                  <c:v>7.0000000000000001E-3</c:v>
                </c:pt>
                <c:pt idx="10" formatCode="0.00%">
                  <c:v>2.4E-2</c:v>
                </c:pt>
                <c:pt idx="11" formatCode="0.00%">
                  <c:v>2.1999999999999999E-2</c:v>
                </c:pt>
                <c:pt idx="13" formatCode="0.00%">
                  <c:v>1.4999999999999999E-2</c:v>
                </c:pt>
                <c:pt idx="14" formatCode="0.00%">
                  <c:v>2.7E-2</c:v>
                </c:pt>
                <c:pt idx="15" formatCode="0.00%">
                  <c:v>1.7000000000000001E-2</c:v>
                </c:pt>
                <c:pt idx="16" formatCode="0.00%">
                  <c:v>8.0000000000000002E-3</c:v>
                </c:pt>
                <c:pt idx="18" formatCode="0.00%">
                  <c:v>2.9000000000000001E-2</c:v>
                </c:pt>
                <c:pt idx="19" formatCode="0.00%">
                  <c:v>1.6E-2</c:v>
                </c:pt>
                <c:pt idx="20" formatCode="0.00%">
                  <c:v>8.9999999999999993E-3</c:v>
                </c:pt>
                <c:pt idx="21">
                  <c:v>0</c:v>
                </c:pt>
                <c:pt idx="22" formatCode="0.00%">
                  <c:v>4.9000000000000002E-2</c:v>
                </c:pt>
                <c:pt idx="23">
                  <c:v>0</c:v>
                </c:pt>
              </c:numCache>
            </c:numRef>
          </c:val>
          <c:extLst>
            <c:ext xmlns:c16="http://schemas.microsoft.com/office/drawing/2014/chart" uri="{C3380CC4-5D6E-409C-BE32-E72D297353CC}">
              <c16:uniqueId val="{00000005-E50C-4614-AE3A-EF2395C9092F}"/>
            </c:ext>
          </c:extLst>
        </c:ser>
        <c:ser>
          <c:idx val="5"/>
          <c:order val="5"/>
          <c:tx>
            <c:strRef>
              <c:f>Arkusz1!$G$1</c:f>
              <c:strCache>
                <c:ptCount val="1"/>
                <c:pt idx="0">
                  <c:v>nie wiem / trudno powiedzieć</c:v>
                </c:pt>
              </c:strCache>
            </c:strRef>
          </c:tx>
          <c:spPr>
            <a:solidFill>
              <a:srgbClr val="061A3D"/>
            </a:solidFill>
            <a:ln>
              <a:noFill/>
            </a:ln>
            <a:effectLst/>
          </c:spPr>
          <c:invertIfNegative val="0"/>
          <c:dLbls>
            <c:dLbl>
              <c:idx val="8"/>
              <c:numFmt formatCode="0%" sourceLinked="0"/>
              <c:spPr>
                <a:solidFill>
                  <a:srgbClr val="00B0F0"/>
                </a:solid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bg1"/>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extLst>
                <c:ext xmlns:c16="http://schemas.microsoft.com/office/drawing/2014/chart" uri="{C3380CC4-5D6E-409C-BE32-E72D297353CC}">
                  <c16:uniqueId val="{00000005-35B5-42AA-9970-C0B35D8C5975}"/>
                </c:ext>
              </c:extLst>
            </c:dLbl>
            <c:dLbl>
              <c:idx val="19"/>
              <c:numFmt formatCode="0%" sourceLinked="0"/>
              <c:spPr>
                <a:solidFill>
                  <a:srgbClr val="00B0F0"/>
                </a:solid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bg1"/>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extLst>
                <c:ext xmlns:c16="http://schemas.microsoft.com/office/drawing/2014/chart" uri="{C3380CC4-5D6E-409C-BE32-E72D297353CC}">
                  <c16:uniqueId val="{00000004-35B5-42AA-9970-C0B35D8C5975}"/>
                </c:ext>
              </c:extLst>
            </c:dLbl>
            <c:numFmt formatCode="0%" sourceLinked="0"/>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bg1"/>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Arkusz1!$A$2:$A$25</c:f>
              <c:strCache>
                <c:ptCount val="24"/>
                <c:pt idx="0">
                  <c:v>Ogółem</c:v>
                </c:pt>
                <c:pt idx="2">
                  <c:v>Kobieta</c:v>
                </c:pt>
                <c:pt idx="3">
                  <c:v>Mężczyzna</c:v>
                </c:pt>
                <c:pt idx="5">
                  <c:v>15–19</c:v>
                </c:pt>
                <c:pt idx="6">
                  <c:v>20–24</c:v>
                </c:pt>
                <c:pt idx="7">
                  <c:v>25–34</c:v>
                </c:pt>
                <c:pt idx="8">
                  <c:v>35–44</c:v>
                </c:pt>
                <c:pt idx="9">
                  <c:v>45–54</c:v>
                </c:pt>
                <c:pt idx="10">
                  <c:v>55–64</c:v>
                </c:pt>
                <c:pt idx="11">
                  <c:v>65+</c:v>
                </c:pt>
                <c:pt idx="13">
                  <c:v>Wyższe</c:v>
                </c:pt>
                <c:pt idx="14">
                  <c:v>Średnie</c:v>
                </c:pt>
                <c:pt idx="15">
                  <c:v>Zawodowe</c:v>
                </c:pt>
                <c:pt idx="16">
                  <c:v>Podstawowe</c:v>
                </c:pt>
                <c:pt idx="18">
                  <c:v>Wieś</c:v>
                </c:pt>
                <c:pt idx="19">
                  <c:v>Do 20 tys.</c:v>
                </c:pt>
                <c:pt idx="20">
                  <c:v>20–49 tys.</c:v>
                </c:pt>
                <c:pt idx="21">
                  <c:v>50–199 tys.</c:v>
                </c:pt>
                <c:pt idx="22">
                  <c:v>200–499 tys.</c:v>
                </c:pt>
                <c:pt idx="23">
                  <c:v>500 tys.+</c:v>
                </c:pt>
              </c:strCache>
            </c:strRef>
          </c:cat>
          <c:val>
            <c:numRef>
              <c:f>Arkusz1!$G$2:$G$25</c:f>
              <c:numCache>
                <c:formatCode>General</c:formatCode>
                <c:ptCount val="24"/>
                <c:pt idx="0" formatCode="0.00%">
                  <c:v>0.252</c:v>
                </c:pt>
                <c:pt idx="2" formatCode="0.00%">
                  <c:v>0.255</c:v>
                </c:pt>
                <c:pt idx="3" formatCode="0.00%">
                  <c:v>0.249</c:v>
                </c:pt>
                <c:pt idx="5" formatCode="0.00%">
                  <c:v>0.30499999999999999</c:v>
                </c:pt>
                <c:pt idx="6" formatCode="0.00%">
                  <c:v>0.246</c:v>
                </c:pt>
                <c:pt idx="7" formatCode="0.00%">
                  <c:v>0.30599999999999999</c:v>
                </c:pt>
                <c:pt idx="8" formatCode="0.00%">
                  <c:v>0.219</c:v>
                </c:pt>
                <c:pt idx="9" formatCode="0.00%">
                  <c:v>0.255</c:v>
                </c:pt>
                <c:pt idx="10" formatCode="0.00%">
                  <c:v>0.26</c:v>
                </c:pt>
                <c:pt idx="11" formatCode="0.00%">
                  <c:v>0.22800000000000001</c:v>
                </c:pt>
                <c:pt idx="13" formatCode="0.00%">
                  <c:v>0.254</c:v>
                </c:pt>
                <c:pt idx="14" formatCode="0.00%">
                  <c:v>0.249</c:v>
                </c:pt>
                <c:pt idx="15" formatCode="0.00%">
                  <c:v>0.24299999999999999</c:v>
                </c:pt>
                <c:pt idx="16" formatCode="0.00%">
                  <c:v>0.27700000000000002</c:v>
                </c:pt>
                <c:pt idx="18" formatCode="0.00%">
                  <c:v>0.255</c:v>
                </c:pt>
                <c:pt idx="19" formatCode="0.00%">
                  <c:v>0.20499999999999999</c:v>
                </c:pt>
                <c:pt idx="20" formatCode="0.00%">
                  <c:v>0.30099999999999999</c:v>
                </c:pt>
                <c:pt idx="21" formatCode="0.00%">
                  <c:v>0.21</c:v>
                </c:pt>
                <c:pt idx="22" formatCode="0.00%">
                  <c:v>0.29599999999999999</c:v>
                </c:pt>
                <c:pt idx="23" formatCode="0.00%">
                  <c:v>0.27</c:v>
                </c:pt>
              </c:numCache>
            </c:numRef>
          </c:val>
          <c:extLst>
            <c:ext xmlns:c16="http://schemas.microsoft.com/office/drawing/2014/chart" uri="{C3380CC4-5D6E-409C-BE32-E72D297353CC}">
              <c16:uniqueId val="{00000006-E50C-4614-AE3A-EF2395C9092F}"/>
            </c:ext>
          </c:extLst>
        </c:ser>
        <c:dLbls>
          <c:showLegendKey val="0"/>
          <c:showVal val="0"/>
          <c:showCatName val="0"/>
          <c:showSerName val="0"/>
          <c:showPercent val="0"/>
          <c:showBubbleSize val="0"/>
        </c:dLbls>
        <c:gapWidth val="60"/>
        <c:overlap val="100"/>
        <c:axId val="875697471"/>
        <c:axId val="875698911"/>
      </c:barChart>
      <c:catAx>
        <c:axId val="875697471"/>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crossAx val="875698911"/>
        <c:crosses val="autoZero"/>
        <c:auto val="1"/>
        <c:lblAlgn val="ctr"/>
        <c:lblOffset val="100"/>
        <c:noMultiLvlLbl val="0"/>
      </c:catAx>
      <c:valAx>
        <c:axId val="875698911"/>
        <c:scaling>
          <c:orientation val="minMax"/>
        </c:scaling>
        <c:delete val="0"/>
        <c:axPos val="t"/>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pl-PL"/>
          </a:p>
        </c:txPr>
        <c:crossAx val="875697471"/>
        <c:crosses val="autoZero"/>
        <c:crossBetween val="between"/>
      </c:valAx>
      <c:spPr>
        <a:noFill/>
        <a:ln>
          <a:noFill/>
        </a:ln>
        <a:effectLst/>
      </c:spPr>
    </c:plotArea>
    <c:legend>
      <c:legendPos val="b"/>
      <c:layout>
        <c:manualLayout>
          <c:xMode val="edge"/>
          <c:yMode val="edge"/>
          <c:x val="1.4269101778944306E-2"/>
          <c:y val="0.87021355299468983"/>
          <c:w val="0.9691469816272964"/>
          <c:h val="0.11536856883638073"/>
        </c:manualLayout>
      </c:layout>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endParaRPr lang="pl-P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pl-PL"/>
    </a:p>
  </c:txPr>
  <c:externalData r:id="rId3">
    <c:autoUpdate val="0"/>
  </c:externalData>
</c:chartSpace>
</file>

<file path=word/charts/chart4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Arkusz1!$B$1</c:f>
              <c:strCache>
                <c:ptCount val="1"/>
                <c:pt idx="0">
                  <c:v>Liczba odpowiedzi</c:v>
                </c:pt>
              </c:strCache>
            </c:strRef>
          </c:tx>
          <c:spPr>
            <a:solidFill>
              <a:srgbClr val="061A3D"/>
            </a:solidFill>
            <a:ln>
              <a:noFill/>
            </a:ln>
            <a:effectLst/>
          </c:spPr>
          <c:invertIfNegative val="0"/>
          <c:dLbls>
            <c:numFmt formatCode="0%" sourceLinked="0"/>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Arkusz1!$A$2:$A$11</c:f>
              <c:strCache>
                <c:ptCount val="10"/>
                <c:pt idx="0">
                  <c:v>Nie wiem</c:v>
                </c:pt>
                <c:pt idx="1">
                  <c:v>Inne</c:v>
                </c:pt>
                <c:pt idx="2">
                  <c:v>Duża konkurencja</c:v>
                </c:pt>
                <c:pt idx="3">
                  <c:v>Wymaga dużo czasu</c:v>
                </c:pt>
                <c:pt idx="4">
                  <c:v>Małe szanse / niewiele osób otrzymuje</c:v>
                </c:pt>
                <c:pt idx="5">
                  <c:v>Potrzebne znajomości</c:v>
                </c:pt>
                <c:pt idx="6">
                  <c:v>Mało informacji</c:v>
                </c:pt>
                <c:pt idx="7">
                  <c:v>Trzeba znać procedury</c:v>
                </c:pt>
                <c:pt idx="8">
                  <c:v>Duże wymagania formalne</c:v>
                </c:pt>
                <c:pt idx="9">
                  <c:v>Biurokracja, skomplikowane procedury</c:v>
                </c:pt>
              </c:strCache>
            </c:strRef>
          </c:cat>
          <c:val>
            <c:numRef>
              <c:f>Arkusz1!$B$2:$B$11</c:f>
              <c:numCache>
                <c:formatCode>0.00%</c:formatCode>
                <c:ptCount val="10"/>
                <c:pt idx="0">
                  <c:v>2.4E-2</c:v>
                </c:pt>
                <c:pt idx="1">
                  <c:v>8.0000000000000002E-3</c:v>
                </c:pt>
                <c:pt idx="2">
                  <c:v>8.0000000000000002E-3</c:v>
                </c:pt>
                <c:pt idx="3">
                  <c:v>8.0000000000000002E-3</c:v>
                </c:pt>
                <c:pt idx="4">
                  <c:v>1.6E-2</c:v>
                </c:pt>
                <c:pt idx="5">
                  <c:v>2.4E-2</c:v>
                </c:pt>
                <c:pt idx="6">
                  <c:v>4.7E-2</c:v>
                </c:pt>
                <c:pt idx="7">
                  <c:v>7.0999999999999994E-2</c:v>
                </c:pt>
                <c:pt idx="8">
                  <c:v>0.18099999999999999</c:v>
                </c:pt>
                <c:pt idx="9">
                  <c:v>0.61399999999999999</c:v>
                </c:pt>
              </c:numCache>
            </c:numRef>
          </c:val>
          <c:extLst>
            <c:ext xmlns:c16="http://schemas.microsoft.com/office/drawing/2014/chart" uri="{C3380CC4-5D6E-409C-BE32-E72D297353CC}">
              <c16:uniqueId val="{00000000-1080-46DA-B9A8-0D1576B44928}"/>
            </c:ext>
          </c:extLst>
        </c:ser>
        <c:dLbls>
          <c:showLegendKey val="0"/>
          <c:showVal val="0"/>
          <c:showCatName val="0"/>
          <c:showSerName val="0"/>
          <c:showPercent val="0"/>
          <c:showBubbleSize val="0"/>
        </c:dLbls>
        <c:gapWidth val="142"/>
        <c:axId val="432009056"/>
        <c:axId val="432009536"/>
      </c:barChart>
      <c:catAx>
        <c:axId val="43200905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crossAx val="432009536"/>
        <c:crosses val="autoZero"/>
        <c:auto val="1"/>
        <c:lblAlgn val="ctr"/>
        <c:lblOffset val="100"/>
        <c:noMultiLvlLbl val="0"/>
      </c:catAx>
      <c:valAx>
        <c:axId val="432009536"/>
        <c:scaling>
          <c:orientation val="minMax"/>
        </c:scaling>
        <c:delete val="0"/>
        <c:axPos val="b"/>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solidFill>
                <a:latin typeface="+mn-lt"/>
                <a:ea typeface="+mn-ea"/>
                <a:cs typeface="+mn-cs"/>
              </a:defRPr>
            </a:pPr>
            <a:endParaRPr lang="pl-PL"/>
          </a:p>
        </c:txPr>
        <c:crossAx val="432009056"/>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4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Arkusz1!$B$1</c:f>
              <c:strCache>
                <c:ptCount val="1"/>
                <c:pt idx="0">
                  <c:v>Procent ważnych</c:v>
                </c:pt>
              </c:strCache>
            </c:strRef>
          </c:tx>
          <c:spPr>
            <a:solidFill>
              <a:srgbClr val="061A3D"/>
            </a:solidFill>
            <a:ln>
              <a:noFill/>
            </a:ln>
            <a:effectLst/>
          </c:spPr>
          <c:invertIfNegative val="0"/>
          <c:dLbls>
            <c:numFmt formatCode="0%" sourceLinked="0"/>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Arkusz1!$A$2:$A$13</c:f>
              <c:strCache>
                <c:ptCount val="12"/>
                <c:pt idx="0">
                  <c:v>zdobyć lub utrzymać stabilną pracę</c:v>
                </c:pt>
                <c:pt idx="1">
                  <c:v>korzystać z usług zdrowotnych i specjalistów</c:v>
                </c:pt>
                <c:pt idx="2">
                  <c:v>lepiej łączyć życie rodzinne i czas wolny</c:v>
                </c:pt>
                <c:pt idx="3">
                  <c:v>poprawić warunki mieszkaniowe i energetyczne</c:v>
                </c:pt>
                <c:pt idx="4">
                  <c:v>korzystać z lepszego otoczenia i środowiska publicznego</c:v>
                </c:pt>
                <c:pt idx="5">
                  <c:v>rozwijać firmę lub gospodarstwo i poprawiać finanse</c:v>
                </c:pt>
                <c:pt idx="6">
                  <c:v>pracować w lepszych warunkach</c:v>
                </c:pt>
                <c:pt idx="7">
                  <c:v>wygodniej się przemieszczać dzięki lepszemu transportowi</c:v>
                </c:pt>
                <c:pt idx="8">
                  <c:v>korzystać z edukacji i szkoleń</c:v>
                </c:pt>
                <c:pt idx="9">
                  <c:v>rozwijać się zawodowo i podnosić kwalifikacje</c:v>
                </c:pt>
                <c:pt idx="10">
                  <c:v>korzystać z nowych usług, inwestycji i technologii</c:v>
                </c:pt>
                <c:pt idx="11">
                  <c:v>czuć się bezpieczniej i mieć większy spokój</c:v>
                </c:pt>
              </c:strCache>
            </c:strRef>
          </c:cat>
          <c:val>
            <c:numRef>
              <c:f>Arkusz1!$B$2:$B$13</c:f>
              <c:numCache>
                <c:formatCode>0.00%</c:formatCode>
                <c:ptCount val="12"/>
                <c:pt idx="0">
                  <c:v>0.02</c:v>
                </c:pt>
                <c:pt idx="1">
                  <c:v>0.02</c:v>
                </c:pt>
                <c:pt idx="2">
                  <c:v>2.5000000000000001E-2</c:v>
                </c:pt>
                <c:pt idx="3">
                  <c:v>4.5999999999999999E-2</c:v>
                </c:pt>
                <c:pt idx="4">
                  <c:v>5.0999999999999997E-2</c:v>
                </c:pt>
                <c:pt idx="5">
                  <c:v>5.8999999999999997E-2</c:v>
                </c:pt>
                <c:pt idx="6">
                  <c:v>6.4000000000000001E-2</c:v>
                </c:pt>
                <c:pt idx="7">
                  <c:v>9.7000000000000003E-2</c:v>
                </c:pt>
                <c:pt idx="8">
                  <c:v>0.107</c:v>
                </c:pt>
                <c:pt idx="9">
                  <c:v>0.11700000000000001</c:v>
                </c:pt>
                <c:pt idx="10">
                  <c:v>0.16300000000000001</c:v>
                </c:pt>
                <c:pt idx="11">
                  <c:v>0.23200000000000001</c:v>
                </c:pt>
              </c:numCache>
            </c:numRef>
          </c:val>
          <c:extLst>
            <c:ext xmlns:c16="http://schemas.microsoft.com/office/drawing/2014/chart" uri="{C3380CC4-5D6E-409C-BE32-E72D297353CC}">
              <c16:uniqueId val="{00000000-A826-4DDA-B108-72E158B3B3E2}"/>
            </c:ext>
          </c:extLst>
        </c:ser>
        <c:dLbls>
          <c:showLegendKey val="0"/>
          <c:showVal val="0"/>
          <c:showCatName val="0"/>
          <c:showSerName val="0"/>
          <c:showPercent val="0"/>
          <c:showBubbleSize val="0"/>
        </c:dLbls>
        <c:gapWidth val="102"/>
        <c:axId val="432009056"/>
        <c:axId val="432009536"/>
      </c:barChart>
      <c:catAx>
        <c:axId val="43200905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crossAx val="432009536"/>
        <c:crosses val="autoZero"/>
        <c:auto val="1"/>
        <c:lblAlgn val="ctr"/>
        <c:lblOffset val="100"/>
        <c:noMultiLvlLbl val="0"/>
      </c:catAx>
      <c:valAx>
        <c:axId val="432009536"/>
        <c:scaling>
          <c:orientation val="minMax"/>
        </c:scaling>
        <c:delete val="0"/>
        <c:axPos val="b"/>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pl-PL"/>
          </a:p>
        </c:txPr>
        <c:crossAx val="432009056"/>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4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4742855059784189"/>
          <c:y val="1.7760555421005894E-2"/>
          <c:w val="0.60382728200641589"/>
          <c:h val="0.88302493915070979"/>
        </c:manualLayout>
      </c:layout>
      <c:barChart>
        <c:barDir val="bar"/>
        <c:grouping val="percentStacked"/>
        <c:varyColors val="0"/>
        <c:ser>
          <c:idx val="0"/>
          <c:order val="0"/>
          <c:tx>
            <c:strRef>
              <c:f>Arkusz1!$B$1</c:f>
              <c:strCache>
                <c:ptCount val="1"/>
                <c:pt idx="0">
                  <c:v>Zdecydowanie się zgadzam</c:v>
                </c:pt>
              </c:strCache>
            </c:strRef>
          </c:tx>
          <c:spPr>
            <a:solidFill>
              <a:srgbClr val="061A3D"/>
            </a:solidFill>
            <a:ln>
              <a:noFill/>
            </a:ln>
            <a:effectLst/>
          </c:spPr>
          <c:invertIfNegative val="0"/>
          <c:dLbls>
            <c:dLbl>
              <c:idx val="0"/>
              <c:numFmt formatCode="0%" sourceLinked="0"/>
              <c:spPr>
                <a:solidFill>
                  <a:srgbClr val="00B0F0"/>
                </a:solid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bg1"/>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extLst>
                <c:ext xmlns:c16="http://schemas.microsoft.com/office/drawing/2014/chart" uri="{C3380CC4-5D6E-409C-BE32-E72D297353CC}">
                  <c16:uniqueId val="{00000000-3CAD-46B3-AFCE-3FCBCD3A6CE5}"/>
                </c:ext>
              </c:extLst>
            </c:dLbl>
            <c:dLbl>
              <c:idx val="12"/>
              <c:numFmt formatCode="0%" sourceLinked="0"/>
              <c:spPr>
                <a:solidFill>
                  <a:srgbClr val="EE0000"/>
                </a:solid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bg1"/>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extLst>
                <c:ext xmlns:c16="http://schemas.microsoft.com/office/drawing/2014/chart" uri="{C3380CC4-5D6E-409C-BE32-E72D297353CC}">
                  <c16:uniqueId val="{00000003-3CAD-46B3-AFCE-3FCBCD3A6CE5}"/>
                </c:ext>
              </c:extLst>
            </c:dLbl>
            <c:dLbl>
              <c:idx val="21"/>
              <c:numFmt formatCode="0%" sourceLinked="0"/>
              <c:spPr>
                <a:solidFill>
                  <a:srgbClr val="EE0000"/>
                </a:solid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bg1"/>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extLst>
                <c:ext xmlns:c16="http://schemas.microsoft.com/office/drawing/2014/chart" uri="{C3380CC4-5D6E-409C-BE32-E72D297353CC}">
                  <c16:uniqueId val="{0000000A-3CAD-46B3-AFCE-3FCBCD3A6CE5}"/>
                </c:ext>
              </c:extLst>
            </c:dLbl>
            <c:dLbl>
              <c:idx val="30"/>
              <c:numFmt formatCode="0%" sourceLinked="0"/>
              <c:spPr>
                <a:solidFill>
                  <a:srgbClr val="EE0000"/>
                </a:solid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bg1"/>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extLst>
                <c:ext xmlns:c16="http://schemas.microsoft.com/office/drawing/2014/chart" uri="{C3380CC4-5D6E-409C-BE32-E72D297353CC}">
                  <c16:uniqueId val="{0000000C-3CAD-46B3-AFCE-3FCBCD3A6CE5}"/>
                </c:ext>
              </c:extLst>
            </c:dLbl>
            <c:dLbl>
              <c:idx val="33"/>
              <c:numFmt formatCode="0%" sourceLinked="0"/>
              <c:spPr>
                <a:solidFill>
                  <a:srgbClr val="00B0F0"/>
                </a:solid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bg1"/>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extLst>
                <c:ext xmlns:c16="http://schemas.microsoft.com/office/drawing/2014/chart" uri="{C3380CC4-5D6E-409C-BE32-E72D297353CC}">
                  <c16:uniqueId val="{00000010-3CAD-46B3-AFCE-3FCBCD3A6CE5}"/>
                </c:ext>
              </c:extLst>
            </c:dLbl>
            <c:numFmt formatCode="0%" sourceLinked="0"/>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bg1"/>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Arkusz1!$A$2:$A$35</c:f>
              <c:numCache>
                <c:formatCode>General</c:formatCode>
                <c:ptCount val="34"/>
                <c:pt idx="0">
                  <c:v>2025</c:v>
                </c:pt>
                <c:pt idx="1">
                  <c:v>2023</c:v>
                </c:pt>
                <c:pt idx="2">
                  <c:v>2022</c:v>
                </c:pt>
                <c:pt idx="3">
                  <c:v>2021</c:v>
                </c:pt>
                <c:pt idx="4">
                  <c:v>2020</c:v>
                </c:pt>
                <c:pt idx="5">
                  <c:v>2019</c:v>
                </c:pt>
                <c:pt idx="7">
                  <c:v>2025</c:v>
                </c:pt>
                <c:pt idx="8">
                  <c:v>2023</c:v>
                </c:pt>
                <c:pt idx="9">
                  <c:v>2022</c:v>
                </c:pt>
                <c:pt idx="10">
                  <c:v>2021</c:v>
                </c:pt>
                <c:pt idx="11">
                  <c:v>2020</c:v>
                </c:pt>
                <c:pt idx="12">
                  <c:v>2019</c:v>
                </c:pt>
                <c:pt idx="14">
                  <c:v>2025</c:v>
                </c:pt>
                <c:pt idx="15">
                  <c:v>2023</c:v>
                </c:pt>
                <c:pt idx="16">
                  <c:v>2022</c:v>
                </c:pt>
                <c:pt idx="17">
                  <c:v>2021</c:v>
                </c:pt>
                <c:pt idx="18">
                  <c:v>2020</c:v>
                </c:pt>
                <c:pt idx="19">
                  <c:v>2019</c:v>
                </c:pt>
                <c:pt idx="21">
                  <c:v>2025</c:v>
                </c:pt>
                <c:pt idx="22">
                  <c:v>2023</c:v>
                </c:pt>
                <c:pt idx="23">
                  <c:v>2022</c:v>
                </c:pt>
                <c:pt idx="24">
                  <c:v>2021</c:v>
                </c:pt>
                <c:pt idx="25">
                  <c:v>2020</c:v>
                </c:pt>
                <c:pt idx="26">
                  <c:v>2019</c:v>
                </c:pt>
                <c:pt idx="28">
                  <c:v>2025</c:v>
                </c:pt>
                <c:pt idx="29">
                  <c:v>2023</c:v>
                </c:pt>
                <c:pt idx="30">
                  <c:v>2022</c:v>
                </c:pt>
                <c:pt idx="31">
                  <c:v>2021</c:v>
                </c:pt>
                <c:pt idx="32">
                  <c:v>2020</c:v>
                </c:pt>
                <c:pt idx="33">
                  <c:v>2019</c:v>
                </c:pt>
              </c:numCache>
            </c:numRef>
          </c:cat>
          <c:val>
            <c:numRef>
              <c:f>Arkusz1!$B$2:$B$35</c:f>
              <c:numCache>
                <c:formatCode>0%</c:formatCode>
                <c:ptCount val="34"/>
                <c:pt idx="0" formatCode="0.00%">
                  <c:v>0.11799999999999999</c:v>
                </c:pt>
                <c:pt idx="1">
                  <c:v>0.25</c:v>
                </c:pt>
                <c:pt idx="2">
                  <c:v>0.3</c:v>
                </c:pt>
                <c:pt idx="3">
                  <c:v>0.21</c:v>
                </c:pt>
                <c:pt idx="4">
                  <c:v>0.28999999999999998</c:v>
                </c:pt>
                <c:pt idx="5">
                  <c:v>0.22</c:v>
                </c:pt>
                <c:pt idx="7" formatCode="0.00%">
                  <c:v>0.14899999999999999</c:v>
                </c:pt>
                <c:pt idx="8">
                  <c:v>0.12</c:v>
                </c:pt>
                <c:pt idx="9">
                  <c:v>0.13</c:v>
                </c:pt>
                <c:pt idx="10">
                  <c:v>0.1</c:v>
                </c:pt>
                <c:pt idx="11">
                  <c:v>0.14000000000000001</c:v>
                </c:pt>
                <c:pt idx="12">
                  <c:v>7.0000000000000007E-2</c:v>
                </c:pt>
                <c:pt idx="14" formatCode="0.00%">
                  <c:v>0.106</c:v>
                </c:pt>
                <c:pt idx="15">
                  <c:v>0.14000000000000001</c:v>
                </c:pt>
                <c:pt idx="16">
                  <c:v>0.17</c:v>
                </c:pt>
                <c:pt idx="17">
                  <c:v>0.1</c:v>
                </c:pt>
                <c:pt idx="18">
                  <c:v>0.16</c:v>
                </c:pt>
                <c:pt idx="19">
                  <c:v>0.12</c:v>
                </c:pt>
                <c:pt idx="21" formatCode="0.00%">
                  <c:v>0.23400000000000001</c:v>
                </c:pt>
                <c:pt idx="22">
                  <c:v>0.17</c:v>
                </c:pt>
                <c:pt idx="23">
                  <c:v>0.2</c:v>
                </c:pt>
                <c:pt idx="24">
                  <c:v>0.17</c:v>
                </c:pt>
                <c:pt idx="25">
                  <c:v>0.18</c:v>
                </c:pt>
                <c:pt idx="26">
                  <c:v>0.06</c:v>
                </c:pt>
                <c:pt idx="28" formatCode="0.00%">
                  <c:v>0.111</c:v>
                </c:pt>
                <c:pt idx="29">
                  <c:v>0.12</c:v>
                </c:pt>
                <c:pt idx="30">
                  <c:v>0.18</c:v>
                </c:pt>
                <c:pt idx="31">
                  <c:v>0.14000000000000001</c:v>
                </c:pt>
                <c:pt idx="32">
                  <c:v>0.13</c:v>
                </c:pt>
                <c:pt idx="33">
                  <c:v>7.0000000000000007E-2</c:v>
                </c:pt>
              </c:numCache>
            </c:numRef>
          </c:val>
          <c:extLst>
            <c:ext xmlns:c16="http://schemas.microsoft.com/office/drawing/2014/chart" uri="{C3380CC4-5D6E-409C-BE32-E72D297353CC}">
              <c16:uniqueId val="{00000000-7A3B-4D01-97D1-446EB580DCD8}"/>
            </c:ext>
          </c:extLst>
        </c:ser>
        <c:ser>
          <c:idx val="1"/>
          <c:order val="1"/>
          <c:tx>
            <c:strRef>
              <c:f>Arkusz1!$C$1</c:f>
              <c:strCache>
                <c:ptCount val="1"/>
                <c:pt idx="0">
                  <c:v>Raczej się zgadzam</c:v>
                </c:pt>
              </c:strCache>
            </c:strRef>
          </c:tx>
          <c:spPr>
            <a:solidFill>
              <a:schemeClr val="accent2"/>
            </a:solidFill>
            <a:ln>
              <a:noFill/>
            </a:ln>
            <a:effectLst/>
          </c:spPr>
          <c:invertIfNegative val="0"/>
          <c:dLbls>
            <c:dLbl>
              <c:idx val="5"/>
              <c:numFmt formatCode="0%" sourceLinked="0"/>
              <c:spPr>
                <a:solidFill>
                  <a:srgbClr val="EE0000"/>
                </a:solid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bg1"/>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extLst>
                <c:ext xmlns:c16="http://schemas.microsoft.com/office/drawing/2014/chart" uri="{C3380CC4-5D6E-409C-BE32-E72D297353CC}">
                  <c16:uniqueId val="{00000001-3CAD-46B3-AFCE-3FCBCD3A6CE5}"/>
                </c:ext>
              </c:extLst>
            </c:dLbl>
            <c:dLbl>
              <c:idx val="7"/>
              <c:numFmt formatCode="0%" sourceLinked="0"/>
              <c:spPr>
                <a:solidFill>
                  <a:srgbClr val="EE0000"/>
                </a:solid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bg1"/>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extLst>
                <c:ext xmlns:c16="http://schemas.microsoft.com/office/drawing/2014/chart" uri="{C3380CC4-5D6E-409C-BE32-E72D297353CC}">
                  <c16:uniqueId val="{00000004-3CAD-46B3-AFCE-3FCBCD3A6CE5}"/>
                </c:ext>
              </c:extLst>
            </c:dLbl>
            <c:dLbl>
              <c:idx val="14"/>
              <c:numFmt formatCode="0%" sourceLinked="0"/>
              <c:spPr>
                <a:solidFill>
                  <a:srgbClr val="00B0F0"/>
                </a:solid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bg1"/>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extLst>
                <c:ext xmlns:c16="http://schemas.microsoft.com/office/drawing/2014/chart" uri="{C3380CC4-5D6E-409C-BE32-E72D297353CC}">
                  <c16:uniqueId val="{00000007-3CAD-46B3-AFCE-3FCBCD3A6CE5}"/>
                </c:ext>
              </c:extLst>
            </c:dLbl>
            <c:numFmt formatCode="0%" sourceLinked="0"/>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bg1"/>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Arkusz1!$A$2:$A$35</c:f>
              <c:numCache>
                <c:formatCode>General</c:formatCode>
                <c:ptCount val="34"/>
                <c:pt idx="0">
                  <c:v>2025</c:v>
                </c:pt>
                <c:pt idx="1">
                  <c:v>2023</c:v>
                </c:pt>
                <c:pt idx="2">
                  <c:v>2022</c:v>
                </c:pt>
                <c:pt idx="3">
                  <c:v>2021</c:v>
                </c:pt>
                <c:pt idx="4">
                  <c:v>2020</c:v>
                </c:pt>
                <c:pt idx="5">
                  <c:v>2019</c:v>
                </c:pt>
                <c:pt idx="7">
                  <c:v>2025</c:v>
                </c:pt>
                <c:pt idx="8">
                  <c:v>2023</c:v>
                </c:pt>
                <c:pt idx="9">
                  <c:v>2022</c:v>
                </c:pt>
                <c:pt idx="10">
                  <c:v>2021</c:v>
                </c:pt>
                <c:pt idx="11">
                  <c:v>2020</c:v>
                </c:pt>
                <c:pt idx="12">
                  <c:v>2019</c:v>
                </c:pt>
                <c:pt idx="14">
                  <c:v>2025</c:v>
                </c:pt>
                <c:pt idx="15">
                  <c:v>2023</c:v>
                </c:pt>
                <c:pt idx="16">
                  <c:v>2022</c:v>
                </c:pt>
                <c:pt idx="17">
                  <c:v>2021</c:v>
                </c:pt>
                <c:pt idx="18">
                  <c:v>2020</c:v>
                </c:pt>
                <c:pt idx="19">
                  <c:v>2019</c:v>
                </c:pt>
                <c:pt idx="21">
                  <c:v>2025</c:v>
                </c:pt>
                <c:pt idx="22">
                  <c:v>2023</c:v>
                </c:pt>
                <c:pt idx="23">
                  <c:v>2022</c:v>
                </c:pt>
                <c:pt idx="24">
                  <c:v>2021</c:v>
                </c:pt>
                <c:pt idx="25">
                  <c:v>2020</c:v>
                </c:pt>
                <c:pt idx="26">
                  <c:v>2019</c:v>
                </c:pt>
                <c:pt idx="28">
                  <c:v>2025</c:v>
                </c:pt>
                <c:pt idx="29">
                  <c:v>2023</c:v>
                </c:pt>
                <c:pt idx="30">
                  <c:v>2022</c:v>
                </c:pt>
                <c:pt idx="31">
                  <c:v>2021</c:v>
                </c:pt>
                <c:pt idx="32">
                  <c:v>2020</c:v>
                </c:pt>
                <c:pt idx="33">
                  <c:v>2019</c:v>
                </c:pt>
              </c:numCache>
            </c:numRef>
          </c:cat>
          <c:val>
            <c:numRef>
              <c:f>Arkusz1!$C$2:$C$35</c:f>
              <c:numCache>
                <c:formatCode>0%</c:formatCode>
                <c:ptCount val="34"/>
                <c:pt idx="0" formatCode="0.00%">
                  <c:v>0.33900000000000002</c:v>
                </c:pt>
                <c:pt idx="1">
                  <c:v>0.41</c:v>
                </c:pt>
                <c:pt idx="2">
                  <c:v>0.41</c:v>
                </c:pt>
                <c:pt idx="3">
                  <c:v>0.34</c:v>
                </c:pt>
                <c:pt idx="4">
                  <c:v>0.41</c:v>
                </c:pt>
                <c:pt idx="5">
                  <c:v>0.44</c:v>
                </c:pt>
                <c:pt idx="7" formatCode="0.00%">
                  <c:v>0.32900000000000001</c:v>
                </c:pt>
                <c:pt idx="8">
                  <c:v>0.19</c:v>
                </c:pt>
                <c:pt idx="9">
                  <c:v>0.2</c:v>
                </c:pt>
                <c:pt idx="10">
                  <c:v>0.24</c:v>
                </c:pt>
                <c:pt idx="11">
                  <c:v>0.22</c:v>
                </c:pt>
                <c:pt idx="12">
                  <c:v>0.26</c:v>
                </c:pt>
                <c:pt idx="14" formatCode="0.00%">
                  <c:v>0.25</c:v>
                </c:pt>
                <c:pt idx="15">
                  <c:v>0.33</c:v>
                </c:pt>
                <c:pt idx="16">
                  <c:v>0.38</c:v>
                </c:pt>
                <c:pt idx="17">
                  <c:v>0.36</c:v>
                </c:pt>
                <c:pt idx="18">
                  <c:v>0.31</c:v>
                </c:pt>
                <c:pt idx="19">
                  <c:v>0.41</c:v>
                </c:pt>
                <c:pt idx="21" formatCode="0.00%">
                  <c:v>0.26600000000000001</c:v>
                </c:pt>
                <c:pt idx="22">
                  <c:v>0.28000000000000003</c:v>
                </c:pt>
                <c:pt idx="23">
                  <c:v>0.32</c:v>
                </c:pt>
                <c:pt idx="24">
                  <c:v>0.25</c:v>
                </c:pt>
                <c:pt idx="25">
                  <c:v>0.32</c:v>
                </c:pt>
                <c:pt idx="26">
                  <c:v>0.31</c:v>
                </c:pt>
                <c:pt idx="28" formatCode="0.00%">
                  <c:v>0.217</c:v>
                </c:pt>
                <c:pt idx="29">
                  <c:v>0.23</c:v>
                </c:pt>
                <c:pt idx="30">
                  <c:v>0.25</c:v>
                </c:pt>
                <c:pt idx="31">
                  <c:v>0.31</c:v>
                </c:pt>
                <c:pt idx="32">
                  <c:v>0.28000000000000003</c:v>
                </c:pt>
                <c:pt idx="33">
                  <c:v>0.31</c:v>
                </c:pt>
              </c:numCache>
            </c:numRef>
          </c:val>
          <c:extLst>
            <c:ext xmlns:c16="http://schemas.microsoft.com/office/drawing/2014/chart" uri="{C3380CC4-5D6E-409C-BE32-E72D297353CC}">
              <c16:uniqueId val="{00000001-7A3B-4D01-97D1-446EB580DCD8}"/>
            </c:ext>
          </c:extLst>
        </c:ser>
        <c:ser>
          <c:idx val="2"/>
          <c:order val="2"/>
          <c:tx>
            <c:strRef>
              <c:f>Arkusz1!$D$1</c:f>
              <c:strCache>
                <c:ptCount val="1"/>
                <c:pt idx="0">
                  <c:v>Ani tak, ani nie</c:v>
                </c:pt>
              </c:strCache>
            </c:strRef>
          </c:tx>
          <c:spPr>
            <a:solidFill>
              <a:schemeClr val="tx1">
                <a:lumMod val="50000"/>
                <a:lumOff val="50000"/>
              </a:schemeClr>
            </a:solidFill>
            <a:ln>
              <a:noFill/>
            </a:ln>
            <a:effectLst/>
          </c:spPr>
          <c:invertIfNegative val="0"/>
          <c:dLbls>
            <c:dLbl>
              <c:idx val="10"/>
              <c:numFmt formatCode="0%" sourceLinked="0"/>
              <c:spPr>
                <a:solidFill>
                  <a:srgbClr val="EE0000"/>
                </a:solid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bg1"/>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extLst>
                <c:ext xmlns:c16="http://schemas.microsoft.com/office/drawing/2014/chart" uri="{C3380CC4-5D6E-409C-BE32-E72D297353CC}">
                  <c16:uniqueId val="{00000005-3CAD-46B3-AFCE-3FCBCD3A6CE5}"/>
                </c:ext>
              </c:extLst>
            </c:dLbl>
            <c:dLbl>
              <c:idx val="21"/>
              <c:numFmt formatCode="0%" sourceLinked="0"/>
              <c:spPr>
                <a:solidFill>
                  <a:srgbClr val="00B0F0"/>
                </a:solid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bg1"/>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extLst>
                <c:ext xmlns:c16="http://schemas.microsoft.com/office/drawing/2014/chart" uri="{C3380CC4-5D6E-409C-BE32-E72D297353CC}">
                  <c16:uniqueId val="{0000000E-3CAD-46B3-AFCE-3FCBCD3A6CE5}"/>
                </c:ext>
              </c:extLst>
            </c:dLbl>
            <c:numFmt formatCode="0%" sourceLinked="0"/>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bg1"/>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Arkusz1!$A$2:$A$35</c:f>
              <c:numCache>
                <c:formatCode>General</c:formatCode>
                <c:ptCount val="34"/>
                <c:pt idx="0">
                  <c:v>2025</c:v>
                </c:pt>
                <c:pt idx="1">
                  <c:v>2023</c:v>
                </c:pt>
                <c:pt idx="2">
                  <c:v>2022</c:v>
                </c:pt>
                <c:pt idx="3">
                  <c:v>2021</c:v>
                </c:pt>
                <c:pt idx="4">
                  <c:v>2020</c:v>
                </c:pt>
                <c:pt idx="5">
                  <c:v>2019</c:v>
                </c:pt>
                <c:pt idx="7">
                  <c:v>2025</c:v>
                </c:pt>
                <c:pt idx="8">
                  <c:v>2023</c:v>
                </c:pt>
                <c:pt idx="9">
                  <c:v>2022</c:v>
                </c:pt>
                <c:pt idx="10">
                  <c:v>2021</c:v>
                </c:pt>
                <c:pt idx="11">
                  <c:v>2020</c:v>
                </c:pt>
                <c:pt idx="12">
                  <c:v>2019</c:v>
                </c:pt>
                <c:pt idx="14">
                  <c:v>2025</c:v>
                </c:pt>
                <c:pt idx="15">
                  <c:v>2023</c:v>
                </c:pt>
                <c:pt idx="16">
                  <c:v>2022</c:v>
                </c:pt>
                <c:pt idx="17">
                  <c:v>2021</c:v>
                </c:pt>
                <c:pt idx="18">
                  <c:v>2020</c:v>
                </c:pt>
                <c:pt idx="19">
                  <c:v>2019</c:v>
                </c:pt>
                <c:pt idx="21">
                  <c:v>2025</c:v>
                </c:pt>
                <c:pt idx="22">
                  <c:v>2023</c:v>
                </c:pt>
                <c:pt idx="23">
                  <c:v>2022</c:v>
                </c:pt>
                <c:pt idx="24">
                  <c:v>2021</c:v>
                </c:pt>
                <c:pt idx="25">
                  <c:v>2020</c:v>
                </c:pt>
                <c:pt idx="26">
                  <c:v>2019</c:v>
                </c:pt>
                <c:pt idx="28">
                  <c:v>2025</c:v>
                </c:pt>
                <c:pt idx="29">
                  <c:v>2023</c:v>
                </c:pt>
                <c:pt idx="30">
                  <c:v>2022</c:v>
                </c:pt>
                <c:pt idx="31">
                  <c:v>2021</c:v>
                </c:pt>
                <c:pt idx="32">
                  <c:v>2020</c:v>
                </c:pt>
                <c:pt idx="33">
                  <c:v>2019</c:v>
                </c:pt>
              </c:numCache>
            </c:numRef>
          </c:cat>
          <c:val>
            <c:numRef>
              <c:f>Arkusz1!$D$2:$D$35</c:f>
              <c:numCache>
                <c:formatCode>0%</c:formatCode>
                <c:ptCount val="34"/>
                <c:pt idx="0" formatCode="0.00%">
                  <c:v>0.17199999999999999</c:v>
                </c:pt>
                <c:pt idx="1">
                  <c:v>0.17</c:v>
                </c:pt>
                <c:pt idx="2">
                  <c:v>0.14000000000000001</c:v>
                </c:pt>
                <c:pt idx="3">
                  <c:v>0.15</c:v>
                </c:pt>
                <c:pt idx="4">
                  <c:v>0.14000000000000001</c:v>
                </c:pt>
                <c:pt idx="5">
                  <c:v>0.17</c:v>
                </c:pt>
                <c:pt idx="7" formatCode="0.00%">
                  <c:v>0.17599999999999999</c:v>
                </c:pt>
                <c:pt idx="8">
                  <c:v>0.25</c:v>
                </c:pt>
                <c:pt idx="9">
                  <c:v>0.2</c:v>
                </c:pt>
                <c:pt idx="10">
                  <c:v>0.27</c:v>
                </c:pt>
                <c:pt idx="11">
                  <c:v>0.26</c:v>
                </c:pt>
                <c:pt idx="12">
                  <c:v>0.22</c:v>
                </c:pt>
                <c:pt idx="14" formatCode="0.00%">
                  <c:v>0.19500000000000001</c:v>
                </c:pt>
                <c:pt idx="15">
                  <c:v>0.22</c:v>
                </c:pt>
                <c:pt idx="16">
                  <c:v>0.19</c:v>
                </c:pt>
                <c:pt idx="17">
                  <c:v>0.28999999999999998</c:v>
                </c:pt>
                <c:pt idx="18">
                  <c:v>0.28000000000000003</c:v>
                </c:pt>
                <c:pt idx="19">
                  <c:v>0.24</c:v>
                </c:pt>
                <c:pt idx="21" formatCode="0.00%">
                  <c:v>0.13</c:v>
                </c:pt>
                <c:pt idx="22">
                  <c:v>0.2</c:v>
                </c:pt>
                <c:pt idx="23">
                  <c:v>0.2</c:v>
                </c:pt>
                <c:pt idx="24">
                  <c:v>0.2</c:v>
                </c:pt>
                <c:pt idx="25">
                  <c:v>0.2</c:v>
                </c:pt>
                <c:pt idx="26">
                  <c:v>0.25</c:v>
                </c:pt>
                <c:pt idx="28" formatCode="0.00%">
                  <c:v>0.185</c:v>
                </c:pt>
                <c:pt idx="29">
                  <c:v>0.19</c:v>
                </c:pt>
                <c:pt idx="30">
                  <c:v>0.19</c:v>
                </c:pt>
                <c:pt idx="31">
                  <c:v>0.19</c:v>
                </c:pt>
                <c:pt idx="32">
                  <c:v>0.22</c:v>
                </c:pt>
                <c:pt idx="33">
                  <c:v>0.25</c:v>
                </c:pt>
              </c:numCache>
            </c:numRef>
          </c:val>
          <c:extLst>
            <c:ext xmlns:c16="http://schemas.microsoft.com/office/drawing/2014/chart" uri="{C3380CC4-5D6E-409C-BE32-E72D297353CC}">
              <c16:uniqueId val="{00000002-7A3B-4D01-97D1-446EB580DCD8}"/>
            </c:ext>
          </c:extLst>
        </c:ser>
        <c:ser>
          <c:idx val="3"/>
          <c:order val="3"/>
          <c:tx>
            <c:strRef>
              <c:f>Arkusz1!$E$1</c:f>
              <c:strCache>
                <c:ptCount val="1"/>
                <c:pt idx="0">
                  <c:v>Raczej się nie zgadzam</c:v>
                </c:pt>
              </c:strCache>
            </c:strRef>
          </c:tx>
          <c:spPr>
            <a:solidFill>
              <a:schemeClr val="accent4"/>
            </a:solidFill>
            <a:ln>
              <a:noFill/>
            </a:ln>
            <a:effectLst/>
          </c:spPr>
          <c:invertIfNegative val="0"/>
          <c:dLbls>
            <c:dLbl>
              <c:idx val="0"/>
              <c:numFmt formatCode="0%" sourceLinked="0"/>
              <c:spPr>
                <a:solidFill>
                  <a:srgbClr val="EE0000"/>
                </a:solid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bg1"/>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extLst>
                <c:ext xmlns:c16="http://schemas.microsoft.com/office/drawing/2014/chart" uri="{C3380CC4-5D6E-409C-BE32-E72D297353CC}">
                  <c16:uniqueId val="{00000002-3CAD-46B3-AFCE-3FCBCD3A6CE5}"/>
                </c:ext>
              </c:extLst>
            </c:dLbl>
            <c:dLbl>
              <c:idx val="14"/>
              <c:numFmt formatCode="0%" sourceLinked="0"/>
              <c:spPr>
                <a:solidFill>
                  <a:srgbClr val="EE0000"/>
                </a:solid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bg1"/>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extLst>
                <c:ext xmlns:c16="http://schemas.microsoft.com/office/drawing/2014/chart" uri="{C3380CC4-5D6E-409C-BE32-E72D297353CC}">
                  <c16:uniqueId val="{00000008-3CAD-46B3-AFCE-3FCBCD3A6CE5}"/>
                </c:ext>
              </c:extLst>
            </c:dLbl>
            <c:dLbl>
              <c:idx val="21"/>
              <c:numFmt formatCode="0%" sourceLinked="0"/>
              <c:spPr>
                <a:solidFill>
                  <a:srgbClr val="EE0000"/>
                </a:solid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bg1"/>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extLst>
                <c:ext xmlns:c16="http://schemas.microsoft.com/office/drawing/2014/chart" uri="{C3380CC4-5D6E-409C-BE32-E72D297353CC}">
                  <c16:uniqueId val="{00000009-3CAD-46B3-AFCE-3FCBCD3A6CE5}"/>
                </c:ext>
              </c:extLst>
            </c:dLbl>
            <c:dLbl>
              <c:idx val="28"/>
              <c:numFmt formatCode="0%" sourceLinked="0"/>
              <c:spPr>
                <a:solidFill>
                  <a:srgbClr val="EE0000"/>
                </a:solid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bg1"/>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extLst>
                <c:ext xmlns:c16="http://schemas.microsoft.com/office/drawing/2014/chart" uri="{C3380CC4-5D6E-409C-BE32-E72D297353CC}">
                  <c16:uniqueId val="{0000000D-3CAD-46B3-AFCE-3FCBCD3A6CE5}"/>
                </c:ext>
              </c:extLst>
            </c:dLbl>
            <c:dLbl>
              <c:idx val="33"/>
              <c:numFmt formatCode="0%" sourceLinked="0"/>
              <c:spPr>
                <a:solidFill>
                  <a:srgbClr val="EE0000"/>
                </a:solid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bg1"/>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extLst>
                <c:ext xmlns:c16="http://schemas.microsoft.com/office/drawing/2014/chart" uri="{C3380CC4-5D6E-409C-BE32-E72D297353CC}">
                  <c16:uniqueId val="{0000000F-3CAD-46B3-AFCE-3FCBCD3A6CE5}"/>
                </c:ext>
              </c:extLst>
            </c:dLbl>
            <c:numFmt formatCode="0%" sourceLinked="0"/>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Arkusz1!$A$2:$A$35</c:f>
              <c:numCache>
                <c:formatCode>General</c:formatCode>
                <c:ptCount val="34"/>
                <c:pt idx="0">
                  <c:v>2025</c:v>
                </c:pt>
                <c:pt idx="1">
                  <c:v>2023</c:v>
                </c:pt>
                <c:pt idx="2">
                  <c:v>2022</c:v>
                </c:pt>
                <c:pt idx="3">
                  <c:v>2021</c:v>
                </c:pt>
                <c:pt idx="4">
                  <c:v>2020</c:v>
                </c:pt>
                <c:pt idx="5">
                  <c:v>2019</c:v>
                </c:pt>
                <c:pt idx="7">
                  <c:v>2025</c:v>
                </c:pt>
                <c:pt idx="8">
                  <c:v>2023</c:v>
                </c:pt>
                <c:pt idx="9">
                  <c:v>2022</c:v>
                </c:pt>
                <c:pt idx="10">
                  <c:v>2021</c:v>
                </c:pt>
                <c:pt idx="11">
                  <c:v>2020</c:v>
                </c:pt>
                <c:pt idx="12">
                  <c:v>2019</c:v>
                </c:pt>
                <c:pt idx="14">
                  <c:v>2025</c:v>
                </c:pt>
                <c:pt idx="15">
                  <c:v>2023</c:v>
                </c:pt>
                <c:pt idx="16">
                  <c:v>2022</c:v>
                </c:pt>
                <c:pt idx="17">
                  <c:v>2021</c:v>
                </c:pt>
                <c:pt idx="18">
                  <c:v>2020</c:v>
                </c:pt>
                <c:pt idx="19">
                  <c:v>2019</c:v>
                </c:pt>
                <c:pt idx="21">
                  <c:v>2025</c:v>
                </c:pt>
                <c:pt idx="22">
                  <c:v>2023</c:v>
                </c:pt>
                <c:pt idx="23">
                  <c:v>2022</c:v>
                </c:pt>
                <c:pt idx="24">
                  <c:v>2021</c:v>
                </c:pt>
                <c:pt idx="25">
                  <c:v>2020</c:v>
                </c:pt>
                <c:pt idx="26">
                  <c:v>2019</c:v>
                </c:pt>
                <c:pt idx="28">
                  <c:v>2025</c:v>
                </c:pt>
                <c:pt idx="29">
                  <c:v>2023</c:v>
                </c:pt>
                <c:pt idx="30">
                  <c:v>2022</c:v>
                </c:pt>
                <c:pt idx="31">
                  <c:v>2021</c:v>
                </c:pt>
                <c:pt idx="32">
                  <c:v>2020</c:v>
                </c:pt>
                <c:pt idx="33">
                  <c:v>2019</c:v>
                </c:pt>
              </c:numCache>
            </c:numRef>
          </c:cat>
          <c:val>
            <c:numRef>
              <c:f>Arkusz1!$E$2:$E$35</c:f>
              <c:numCache>
                <c:formatCode>0%</c:formatCode>
                <c:ptCount val="34"/>
                <c:pt idx="0" formatCode="0.00%">
                  <c:v>0.21</c:v>
                </c:pt>
                <c:pt idx="1">
                  <c:v>7.0000000000000007E-2</c:v>
                </c:pt>
                <c:pt idx="2">
                  <c:v>0.06</c:v>
                </c:pt>
                <c:pt idx="3">
                  <c:v>0.14000000000000001</c:v>
                </c:pt>
                <c:pt idx="4">
                  <c:v>0.1</c:v>
                </c:pt>
                <c:pt idx="5">
                  <c:v>0.09</c:v>
                </c:pt>
                <c:pt idx="7" formatCode="0.00%">
                  <c:v>0.19</c:v>
                </c:pt>
                <c:pt idx="8">
                  <c:v>0.23</c:v>
                </c:pt>
                <c:pt idx="9">
                  <c:v>0.21</c:v>
                </c:pt>
                <c:pt idx="10">
                  <c:v>0.22</c:v>
                </c:pt>
                <c:pt idx="11">
                  <c:v>0.18</c:v>
                </c:pt>
                <c:pt idx="12">
                  <c:v>0.21</c:v>
                </c:pt>
                <c:pt idx="14" formatCode="0.00%">
                  <c:v>0.20899999999999999</c:v>
                </c:pt>
                <c:pt idx="15">
                  <c:v>0.15</c:v>
                </c:pt>
                <c:pt idx="16">
                  <c:v>0.15</c:v>
                </c:pt>
                <c:pt idx="17">
                  <c:v>0.1</c:v>
                </c:pt>
                <c:pt idx="18">
                  <c:v>0.12</c:v>
                </c:pt>
                <c:pt idx="19">
                  <c:v>0.12</c:v>
                </c:pt>
                <c:pt idx="21" formatCode="0.00%">
                  <c:v>0.222</c:v>
                </c:pt>
                <c:pt idx="22">
                  <c:v>0.1</c:v>
                </c:pt>
                <c:pt idx="23">
                  <c:v>0.1</c:v>
                </c:pt>
                <c:pt idx="24">
                  <c:v>0.15</c:v>
                </c:pt>
                <c:pt idx="25">
                  <c:v>0.1</c:v>
                </c:pt>
                <c:pt idx="26">
                  <c:v>0.12</c:v>
                </c:pt>
                <c:pt idx="28" formatCode="0.00%">
                  <c:v>0.24399999999999999</c:v>
                </c:pt>
                <c:pt idx="29">
                  <c:v>0.15</c:v>
                </c:pt>
                <c:pt idx="30">
                  <c:v>0.12</c:v>
                </c:pt>
                <c:pt idx="31">
                  <c:v>0.12</c:v>
                </c:pt>
                <c:pt idx="32">
                  <c:v>0.14000000000000001</c:v>
                </c:pt>
                <c:pt idx="33">
                  <c:v>0.21</c:v>
                </c:pt>
              </c:numCache>
            </c:numRef>
          </c:val>
          <c:extLst>
            <c:ext xmlns:c16="http://schemas.microsoft.com/office/drawing/2014/chart" uri="{C3380CC4-5D6E-409C-BE32-E72D297353CC}">
              <c16:uniqueId val="{00000003-7A3B-4D01-97D1-446EB580DCD8}"/>
            </c:ext>
          </c:extLst>
        </c:ser>
        <c:ser>
          <c:idx val="4"/>
          <c:order val="4"/>
          <c:tx>
            <c:strRef>
              <c:f>Arkusz1!$F$1</c:f>
              <c:strCache>
                <c:ptCount val="1"/>
                <c:pt idx="0">
                  <c:v>Zdecydowanie się nie zgadzam</c:v>
                </c:pt>
              </c:strCache>
            </c:strRef>
          </c:tx>
          <c:spPr>
            <a:solidFill>
              <a:schemeClr val="accent5"/>
            </a:solidFill>
            <a:ln>
              <a:noFill/>
            </a:ln>
            <a:effectLst/>
          </c:spPr>
          <c:invertIfNegative val="0"/>
          <c:dLbls>
            <c:dLbl>
              <c:idx val="7"/>
              <c:numFmt formatCode="0%" sourceLinked="0"/>
              <c:spPr>
                <a:solidFill>
                  <a:schemeClr val="accent5"/>
                </a:solid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extLst>
                <c:ext xmlns:c16="http://schemas.microsoft.com/office/drawing/2014/chart" uri="{C3380CC4-5D6E-409C-BE32-E72D297353CC}">
                  <c16:uniqueId val="{00000006-3CAD-46B3-AFCE-3FCBCD3A6CE5}"/>
                </c:ext>
              </c:extLst>
            </c:dLbl>
            <c:numFmt formatCode="0%" sourceLinked="0"/>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Arkusz1!$A$2:$A$35</c:f>
              <c:numCache>
                <c:formatCode>General</c:formatCode>
                <c:ptCount val="34"/>
                <c:pt idx="0">
                  <c:v>2025</c:v>
                </c:pt>
                <c:pt idx="1">
                  <c:v>2023</c:v>
                </c:pt>
                <c:pt idx="2">
                  <c:v>2022</c:v>
                </c:pt>
                <c:pt idx="3">
                  <c:v>2021</c:v>
                </c:pt>
                <c:pt idx="4">
                  <c:v>2020</c:v>
                </c:pt>
                <c:pt idx="5">
                  <c:v>2019</c:v>
                </c:pt>
                <c:pt idx="7">
                  <c:v>2025</c:v>
                </c:pt>
                <c:pt idx="8">
                  <c:v>2023</c:v>
                </c:pt>
                <c:pt idx="9">
                  <c:v>2022</c:v>
                </c:pt>
                <c:pt idx="10">
                  <c:v>2021</c:v>
                </c:pt>
                <c:pt idx="11">
                  <c:v>2020</c:v>
                </c:pt>
                <c:pt idx="12">
                  <c:v>2019</c:v>
                </c:pt>
                <c:pt idx="14">
                  <c:v>2025</c:v>
                </c:pt>
                <c:pt idx="15">
                  <c:v>2023</c:v>
                </c:pt>
                <c:pt idx="16">
                  <c:v>2022</c:v>
                </c:pt>
                <c:pt idx="17">
                  <c:v>2021</c:v>
                </c:pt>
                <c:pt idx="18">
                  <c:v>2020</c:v>
                </c:pt>
                <c:pt idx="19">
                  <c:v>2019</c:v>
                </c:pt>
                <c:pt idx="21">
                  <c:v>2025</c:v>
                </c:pt>
                <c:pt idx="22">
                  <c:v>2023</c:v>
                </c:pt>
                <c:pt idx="23">
                  <c:v>2022</c:v>
                </c:pt>
                <c:pt idx="24">
                  <c:v>2021</c:v>
                </c:pt>
                <c:pt idx="25">
                  <c:v>2020</c:v>
                </c:pt>
                <c:pt idx="26">
                  <c:v>2019</c:v>
                </c:pt>
                <c:pt idx="28">
                  <c:v>2025</c:v>
                </c:pt>
                <c:pt idx="29">
                  <c:v>2023</c:v>
                </c:pt>
                <c:pt idx="30">
                  <c:v>2022</c:v>
                </c:pt>
                <c:pt idx="31">
                  <c:v>2021</c:v>
                </c:pt>
                <c:pt idx="32">
                  <c:v>2020</c:v>
                </c:pt>
                <c:pt idx="33">
                  <c:v>2019</c:v>
                </c:pt>
              </c:numCache>
            </c:numRef>
          </c:cat>
          <c:val>
            <c:numRef>
              <c:f>Arkusz1!$F$2:$F$35</c:f>
              <c:numCache>
                <c:formatCode>0%</c:formatCode>
                <c:ptCount val="34"/>
                <c:pt idx="0" formatCode="0.00%">
                  <c:v>0.105</c:v>
                </c:pt>
                <c:pt idx="1">
                  <c:v>0.03</c:v>
                </c:pt>
                <c:pt idx="2">
                  <c:v>0.01</c:v>
                </c:pt>
                <c:pt idx="3">
                  <c:v>0.09</c:v>
                </c:pt>
                <c:pt idx="4">
                  <c:v>0.06</c:v>
                </c:pt>
                <c:pt idx="5">
                  <c:v>0.06</c:v>
                </c:pt>
                <c:pt idx="7" formatCode="0.00%">
                  <c:v>7.0999999999999994E-2</c:v>
                </c:pt>
                <c:pt idx="8">
                  <c:v>0.12</c:v>
                </c:pt>
                <c:pt idx="9">
                  <c:v>0.18</c:v>
                </c:pt>
                <c:pt idx="10">
                  <c:v>0.12</c:v>
                </c:pt>
                <c:pt idx="11">
                  <c:v>0.14000000000000001</c:v>
                </c:pt>
                <c:pt idx="12">
                  <c:v>0.16</c:v>
                </c:pt>
                <c:pt idx="14" formatCode="0.00%">
                  <c:v>0.11700000000000001</c:v>
                </c:pt>
                <c:pt idx="15">
                  <c:v>0.06</c:v>
                </c:pt>
                <c:pt idx="16">
                  <c:v>0.06</c:v>
                </c:pt>
                <c:pt idx="17">
                  <c:v>0.1</c:v>
                </c:pt>
                <c:pt idx="18">
                  <c:v>0.12</c:v>
                </c:pt>
                <c:pt idx="19">
                  <c:v>7.0000000000000007E-2</c:v>
                </c:pt>
                <c:pt idx="21" formatCode="0.00%">
                  <c:v>9.9000000000000005E-2</c:v>
                </c:pt>
                <c:pt idx="22">
                  <c:v>0.08</c:v>
                </c:pt>
                <c:pt idx="23">
                  <c:v>0.06</c:v>
                </c:pt>
                <c:pt idx="24">
                  <c:v>0.1</c:v>
                </c:pt>
                <c:pt idx="25">
                  <c:v>0.05</c:v>
                </c:pt>
                <c:pt idx="26">
                  <c:v>0.1</c:v>
                </c:pt>
                <c:pt idx="28" formatCode="0.00%">
                  <c:v>0.13200000000000001</c:v>
                </c:pt>
                <c:pt idx="29">
                  <c:v>0.11</c:v>
                </c:pt>
                <c:pt idx="30">
                  <c:v>0.11</c:v>
                </c:pt>
                <c:pt idx="31">
                  <c:v>0.1</c:v>
                </c:pt>
                <c:pt idx="32">
                  <c:v>0.09</c:v>
                </c:pt>
                <c:pt idx="33">
                  <c:v>0.04</c:v>
                </c:pt>
              </c:numCache>
            </c:numRef>
          </c:val>
          <c:extLst>
            <c:ext xmlns:c16="http://schemas.microsoft.com/office/drawing/2014/chart" uri="{C3380CC4-5D6E-409C-BE32-E72D297353CC}">
              <c16:uniqueId val="{00000004-7A3B-4D01-97D1-446EB580DCD8}"/>
            </c:ext>
          </c:extLst>
        </c:ser>
        <c:ser>
          <c:idx val="5"/>
          <c:order val="5"/>
          <c:tx>
            <c:strRef>
              <c:f>Arkusz1!$G$1</c:f>
              <c:strCache>
                <c:ptCount val="1"/>
                <c:pt idx="0">
                  <c:v>Nie wiem</c:v>
                </c:pt>
              </c:strCache>
            </c:strRef>
          </c:tx>
          <c:spPr>
            <a:solidFill>
              <a:schemeClr val="accent6"/>
            </a:solidFill>
            <a:ln>
              <a:noFill/>
            </a:ln>
            <a:effectLst/>
          </c:spPr>
          <c:invertIfNegative val="0"/>
          <c:dLbls>
            <c:dLbl>
              <c:idx val="29"/>
              <c:numFmt formatCode="0%" sourceLinked="0"/>
              <c:spPr>
                <a:solidFill>
                  <a:srgbClr val="EE0000"/>
                </a:solid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bg1"/>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extLst>
                <c:ext xmlns:c16="http://schemas.microsoft.com/office/drawing/2014/chart" uri="{C3380CC4-5D6E-409C-BE32-E72D297353CC}">
                  <c16:uniqueId val="{0000000B-3CAD-46B3-AFCE-3FCBCD3A6CE5}"/>
                </c:ext>
              </c:extLst>
            </c:dLbl>
            <c:numFmt formatCode="0%" sourceLinked="0"/>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Arkusz1!$A$2:$A$35</c:f>
              <c:numCache>
                <c:formatCode>General</c:formatCode>
                <c:ptCount val="34"/>
                <c:pt idx="0">
                  <c:v>2025</c:v>
                </c:pt>
                <c:pt idx="1">
                  <c:v>2023</c:v>
                </c:pt>
                <c:pt idx="2">
                  <c:v>2022</c:v>
                </c:pt>
                <c:pt idx="3">
                  <c:v>2021</c:v>
                </c:pt>
                <c:pt idx="4">
                  <c:v>2020</c:v>
                </c:pt>
                <c:pt idx="5">
                  <c:v>2019</c:v>
                </c:pt>
                <c:pt idx="7">
                  <c:v>2025</c:v>
                </c:pt>
                <c:pt idx="8">
                  <c:v>2023</c:v>
                </c:pt>
                <c:pt idx="9">
                  <c:v>2022</c:v>
                </c:pt>
                <c:pt idx="10">
                  <c:v>2021</c:v>
                </c:pt>
                <c:pt idx="11">
                  <c:v>2020</c:v>
                </c:pt>
                <c:pt idx="12">
                  <c:v>2019</c:v>
                </c:pt>
                <c:pt idx="14">
                  <c:v>2025</c:v>
                </c:pt>
                <c:pt idx="15">
                  <c:v>2023</c:v>
                </c:pt>
                <c:pt idx="16">
                  <c:v>2022</c:v>
                </c:pt>
                <c:pt idx="17">
                  <c:v>2021</c:v>
                </c:pt>
                <c:pt idx="18">
                  <c:v>2020</c:v>
                </c:pt>
                <c:pt idx="19">
                  <c:v>2019</c:v>
                </c:pt>
                <c:pt idx="21">
                  <c:v>2025</c:v>
                </c:pt>
                <c:pt idx="22">
                  <c:v>2023</c:v>
                </c:pt>
                <c:pt idx="23">
                  <c:v>2022</c:v>
                </c:pt>
                <c:pt idx="24">
                  <c:v>2021</c:v>
                </c:pt>
                <c:pt idx="25">
                  <c:v>2020</c:v>
                </c:pt>
                <c:pt idx="26">
                  <c:v>2019</c:v>
                </c:pt>
                <c:pt idx="28">
                  <c:v>2025</c:v>
                </c:pt>
                <c:pt idx="29">
                  <c:v>2023</c:v>
                </c:pt>
                <c:pt idx="30">
                  <c:v>2022</c:v>
                </c:pt>
                <c:pt idx="31">
                  <c:v>2021</c:v>
                </c:pt>
                <c:pt idx="32">
                  <c:v>2020</c:v>
                </c:pt>
                <c:pt idx="33">
                  <c:v>2019</c:v>
                </c:pt>
              </c:numCache>
            </c:numRef>
          </c:cat>
          <c:val>
            <c:numRef>
              <c:f>Arkusz1!$G$2:$G$35</c:f>
              <c:numCache>
                <c:formatCode>0%</c:formatCode>
                <c:ptCount val="34"/>
                <c:pt idx="0" formatCode="0.00%">
                  <c:v>5.5E-2</c:v>
                </c:pt>
                <c:pt idx="1">
                  <c:v>0.08</c:v>
                </c:pt>
                <c:pt idx="2">
                  <c:v>0.06</c:v>
                </c:pt>
                <c:pt idx="3">
                  <c:v>7.0000000000000007E-2</c:v>
                </c:pt>
                <c:pt idx="4">
                  <c:v>0.02</c:v>
                </c:pt>
                <c:pt idx="5">
                  <c:v>0.01</c:v>
                </c:pt>
                <c:pt idx="7" formatCode="0.00%">
                  <c:v>8.5999999999999993E-2</c:v>
                </c:pt>
                <c:pt idx="8">
                  <c:v>0.1</c:v>
                </c:pt>
                <c:pt idx="9">
                  <c:v>0.09</c:v>
                </c:pt>
                <c:pt idx="10">
                  <c:v>0.05</c:v>
                </c:pt>
                <c:pt idx="11">
                  <c:v>0.06</c:v>
                </c:pt>
                <c:pt idx="12">
                  <c:v>0.08</c:v>
                </c:pt>
                <c:pt idx="14" formatCode="0.00%">
                  <c:v>0.123</c:v>
                </c:pt>
                <c:pt idx="15">
                  <c:v>0.1</c:v>
                </c:pt>
                <c:pt idx="16">
                  <c:v>0.1</c:v>
                </c:pt>
                <c:pt idx="17">
                  <c:v>0.05</c:v>
                </c:pt>
                <c:pt idx="18">
                  <c:v>0.02</c:v>
                </c:pt>
                <c:pt idx="19">
                  <c:v>0.05</c:v>
                </c:pt>
                <c:pt idx="21" formatCode="0.00%">
                  <c:v>4.9000000000000002E-2</c:v>
                </c:pt>
                <c:pt idx="22">
                  <c:v>0.17</c:v>
                </c:pt>
                <c:pt idx="23">
                  <c:v>0.12</c:v>
                </c:pt>
                <c:pt idx="24">
                  <c:v>0.13</c:v>
                </c:pt>
                <c:pt idx="25">
                  <c:v>0.15</c:v>
                </c:pt>
                <c:pt idx="26">
                  <c:v>0.17</c:v>
                </c:pt>
                <c:pt idx="28" formatCode="0.00%">
                  <c:v>0.111</c:v>
                </c:pt>
                <c:pt idx="29">
                  <c:v>0.2</c:v>
                </c:pt>
                <c:pt idx="30">
                  <c:v>0.15</c:v>
                </c:pt>
                <c:pt idx="31">
                  <c:v>0.14000000000000001</c:v>
                </c:pt>
                <c:pt idx="32">
                  <c:v>0.14000000000000001</c:v>
                </c:pt>
                <c:pt idx="33">
                  <c:v>0.11</c:v>
                </c:pt>
              </c:numCache>
            </c:numRef>
          </c:val>
          <c:extLst>
            <c:ext xmlns:c16="http://schemas.microsoft.com/office/drawing/2014/chart" uri="{C3380CC4-5D6E-409C-BE32-E72D297353CC}">
              <c16:uniqueId val="{00000005-7A3B-4D01-97D1-446EB580DCD8}"/>
            </c:ext>
          </c:extLst>
        </c:ser>
        <c:dLbls>
          <c:showLegendKey val="0"/>
          <c:showVal val="0"/>
          <c:showCatName val="0"/>
          <c:showSerName val="0"/>
          <c:showPercent val="0"/>
          <c:showBubbleSize val="0"/>
        </c:dLbls>
        <c:gapWidth val="60"/>
        <c:overlap val="100"/>
        <c:axId val="838890079"/>
        <c:axId val="838890559"/>
      </c:barChart>
      <c:catAx>
        <c:axId val="838890079"/>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838890559"/>
        <c:crosses val="autoZero"/>
        <c:auto val="1"/>
        <c:lblAlgn val="ctr"/>
        <c:lblOffset val="100"/>
        <c:noMultiLvlLbl val="0"/>
      </c:catAx>
      <c:valAx>
        <c:axId val="838890559"/>
        <c:scaling>
          <c:orientation val="minMax"/>
        </c:scaling>
        <c:delete val="0"/>
        <c:axPos val="t"/>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838890079"/>
        <c:crosses val="autoZero"/>
        <c:crossBetween val="between"/>
      </c:valAx>
      <c:spPr>
        <a:noFill/>
        <a:ln>
          <a:noFill/>
        </a:ln>
        <a:effectLst/>
      </c:spPr>
    </c:plotArea>
    <c:legend>
      <c:legendPos val="b"/>
      <c:layout>
        <c:manualLayout>
          <c:xMode val="edge"/>
          <c:yMode val="edge"/>
          <c:x val="0"/>
          <c:y val="0.92661019696436309"/>
          <c:w val="1"/>
          <c:h val="6.3702281666383864E-2"/>
        </c:manualLayout>
      </c:layout>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pl-PL"/>
    </a:p>
  </c:txPr>
  <c:externalData r:id="rId3">
    <c:autoUpdate val="0"/>
  </c:externalData>
  <c:userShapes r:id="rId4"/>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Arkusz1!$B$1</c:f>
              <c:strCache>
                <c:ptCount val="1"/>
                <c:pt idx="0">
                  <c:v>Procent wskazań</c:v>
                </c:pt>
              </c:strCache>
            </c:strRef>
          </c:tx>
          <c:spPr>
            <a:solidFill>
              <a:srgbClr val="061A3D"/>
            </a:solidFill>
            <a:ln>
              <a:noFill/>
            </a:ln>
            <a:effectLst/>
          </c:spPr>
          <c:invertIfNegative val="0"/>
          <c:dLbls>
            <c:numFmt formatCode="0%" sourceLinked="0"/>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Arkusz1!$A$2:$A$11</c:f>
              <c:strCache>
                <c:ptCount val="10"/>
                <c:pt idx="0">
                  <c:v>Inne</c:v>
                </c:pt>
                <c:pt idx="1">
                  <c:v>Trudności w ocenie</c:v>
                </c:pt>
                <c:pt idx="2">
                  <c:v>Konieczność spłaty otrzymanych pieniędzy</c:v>
                </c:pt>
                <c:pt idx="3">
                  <c:v>Utrata suwerenności Polski</c:v>
                </c:pt>
                <c:pt idx="4">
                  <c:v>Polska będzie musiała przyjąć walutę euro</c:v>
                </c:pt>
                <c:pt idx="5">
                  <c:v>Emigracja zarobkowa Polaków do innych krajów UE</c:v>
                </c:pt>
                <c:pt idx="6">
                  <c:v>Likwidacja lub wyprzedaż polskich przedsiębiorstw</c:v>
                </c:pt>
                <c:pt idx="7">
                  <c:v>Konieczność dopasowania prawa polskiego do unijnego</c:v>
                </c:pt>
                <c:pt idx="8">
                  <c:v>Konieczność przyjęcia uchodźców</c:v>
                </c:pt>
                <c:pt idx="9">
                  <c:v>Wzrost cen produktów i kosztów życia</c:v>
                </c:pt>
              </c:strCache>
            </c:strRef>
          </c:cat>
          <c:val>
            <c:numRef>
              <c:f>Arkusz1!$B$2:$B$11</c:f>
              <c:numCache>
                <c:formatCode>0.00%</c:formatCode>
                <c:ptCount val="10"/>
                <c:pt idx="0">
                  <c:v>2.4E-2</c:v>
                </c:pt>
                <c:pt idx="1">
                  <c:v>8.0000000000000002E-3</c:v>
                </c:pt>
                <c:pt idx="2">
                  <c:v>0.126</c:v>
                </c:pt>
                <c:pt idx="3">
                  <c:v>0.14199999999999999</c:v>
                </c:pt>
                <c:pt idx="4">
                  <c:v>0.16200000000000001</c:v>
                </c:pt>
                <c:pt idx="5">
                  <c:v>0.20200000000000001</c:v>
                </c:pt>
                <c:pt idx="6">
                  <c:v>0.219</c:v>
                </c:pt>
                <c:pt idx="7">
                  <c:v>0.27100000000000002</c:v>
                </c:pt>
                <c:pt idx="8">
                  <c:v>0.39700000000000002</c:v>
                </c:pt>
                <c:pt idx="9">
                  <c:v>0.40500000000000003</c:v>
                </c:pt>
              </c:numCache>
            </c:numRef>
          </c:val>
          <c:extLst>
            <c:ext xmlns:c16="http://schemas.microsoft.com/office/drawing/2014/chart" uri="{C3380CC4-5D6E-409C-BE32-E72D297353CC}">
              <c16:uniqueId val="{00000000-7C38-432F-8E37-359D93911550}"/>
            </c:ext>
          </c:extLst>
        </c:ser>
        <c:dLbls>
          <c:showLegendKey val="0"/>
          <c:showVal val="0"/>
          <c:showCatName val="0"/>
          <c:showSerName val="0"/>
          <c:showPercent val="0"/>
          <c:showBubbleSize val="0"/>
        </c:dLbls>
        <c:gapWidth val="82"/>
        <c:axId val="432009056"/>
        <c:axId val="432009536"/>
      </c:barChart>
      <c:catAx>
        <c:axId val="43200905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crossAx val="432009536"/>
        <c:crosses val="autoZero"/>
        <c:auto val="1"/>
        <c:lblAlgn val="ctr"/>
        <c:lblOffset val="100"/>
        <c:noMultiLvlLbl val="0"/>
      </c:catAx>
      <c:valAx>
        <c:axId val="432009536"/>
        <c:scaling>
          <c:orientation val="minMax"/>
        </c:scaling>
        <c:delete val="1"/>
        <c:axPos val="b"/>
        <c:numFmt formatCode="0%" sourceLinked="0"/>
        <c:majorTickMark val="none"/>
        <c:minorTickMark val="none"/>
        <c:tickLblPos val="nextTo"/>
        <c:crossAx val="432009056"/>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5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percentStacked"/>
        <c:varyColors val="0"/>
        <c:ser>
          <c:idx val="0"/>
          <c:order val="0"/>
          <c:tx>
            <c:strRef>
              <c:f>Arkusz1!$B$1</c:f>
              <c:strCache>
                <c:ptCount val="1"/>
                <c:pt idx="0">
                  <c:v>tak</c:v>
                </c:pt>
              </c:strCache>
            </c:strRef>
          </c:tx>
          <c:spPr>
            <a:solidFill>
              <a:srgbClr val="061A3D"/>
            </a:solidFill>
            <a:ln>
              <a:noFill/>
            </a:ln>
            <a:effectLst/>
          </c:spPr>
          <c:invertIfNegative val="0"/>
          <c:dLbls>
            <c:dLbl>
              <c:idx val="5"/>
              <c:numFmt formatCode="0%" sourceLinked="0"/>
              <c:spPr>
                <a:solidFill>
                  <a:srgbClr val="00B0F0"/>
                </a:solid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bg1"/>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extLst>
                <c:ext xmlns:c16="http://schemas.microsoft.com/office/drawing/2014/chart" uri="{C3380CC4-5D6E-409C-BE32-E72D297353CC}">
                  <c16:uniqueId val="{00000005-7CC5-4B2D-828D-5B6AC50A6E20}"/>
                </c:ext>
              </c:extLst>
            </c:dLbl>
            <c:dLbl>
              <c:idx val="8"/>
              <c:numFmt formatCode="0%" sourceLinked="0"/>
              <c:spPr>
                <a:solidFill>
                  <a:srgbClr val="EE0000"/>
                </a:solid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bg1"/>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extLst>
                <c:ext xmlns:c16="http://schemas.microsoft.com/office/drawing/2014/chart" uri="{C3380CC4-5D6E-409C-BE32-E72D297353CC}">
                  <c16:uniqueId val="{00000006-7CC5-4B2D-828D-5B6AC50A6E20}"/>
                </c:ext>
              </c:extLst>
            </c:dLbl>
            <c:dLbl>
              <c:idx val="10"/>
              <c:numFmt formatCode="0%" sourceLinked="0"/>
              <c:spPr>
                <a:solidFill>
                  <a:srgbClr val="EE0000"/>
                </a:solid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bg1"/>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extLst>
                <c:ext xmlns:c16="http://schemas.microsoft.com/office/drawing/2014/chart" uri="{C3380CC4-5D6E-409C-BE32-E72D297353CC}">
                  <c16:uniqueId val="{00000001-7CC5-4B2D-828D-5B6AC50A6E20}"/>
                </c:ext>
              </c:extLst>
            </c:dLbl>
            <c:numFmt formatCode="0%" sourceLinked="0"/>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bg1"/>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Arkusz1!$A$2:$A$13</c:f>
              <c:strCache>
                <c:ptCount val="12"/>
                <c:pt idx="0">
                  <c:v>2014 N=6352</c:v>
                </c:pt>
                <c:pt idx="1">
                  <c:v>2015 N=1642</c:v>
                </c:pt>
                <c:pt idx="2">
                  <c:v>2016 N=5366</c:v>
                </c:pt>
                <c:pt idx="3">
                  <c:v>2017 N=919</c:v>
                </c:pt>
                <c:pt idx="4">
                  <c:v>2018 N=5615</c:v>
                </c:pt>
                <c:pt idx="5">
                  <c:v>2019 N=905</c:v>
                </c:pt>
                <c:pt idx="6">
                  <c:v>2020 N=5514</c:v>
                </c:pt>
                <c:pt idx="7">
                  <c:v>2021 N=887</c:v>
                </c:pt>
                <c:pt idx="8">
                  <c:v>2022 N=5279</c:v>
                </c:pt>
                <c:pt idx="9">
                  <c:v>2023 N=888</c:v>
                </c:pt>
                <c:pt idx="10">
                  <c:v>2024 N=5707</c:v>
                </c:pt>
                <c:pt idx="11">
                  <c:v>2025 N=955</c:v>
                </c:pt>
              </c:strCache>
            </c:strRef>
          </c:cat>
          <c:val>
            <c:numRef>
              <c:f>Arkusz1!$B$2:$B$13</c:f>
              <c:numCache>
                <c:formatCode>0%</c:formatCode>
                <c:ptCount val="12"/>
                <c:pt idx="0">
                  <c:v>0.48</c:v>
                </c:pt>
                <c:pt idx="1">
                  <c:v>0.59</c:v>
                </c:pt>
                <c:pt idx="2">
                  <c:v>0.56999999999999995</c:v>
                </c:pt>
                <c:pt idx="3">
                  <c:v>0.62</c:v>
                </c:pt>
                <c:pt idx="4">
                  <c:v>0.51</c:v>
                </c:pt>
                <c:pt idx="5">
                  <c:v>0.42</c:v>
                </c:pt>
                <c:pt idx="6">
                  <c:v>0.57999999999999996</c:v>
                </c:pt>
                <c:pt idx="7">
                  <c:v>0.6</c:v>
                </c:pt>
                <c:pt idx="8">
                  <c:v>0.76</c:v>
                </c:pt>
                <c:pt idx="9">
                  <c:v>0.7</c:v>
                </c:pt>
                <c:pt idx="10" formatCode="0.00%">
                  <c:v>0.78</c:v>
                </c:pt>
                <c:pt idx="11" formatCode="0.00%">
                  <c:v>0.68</c:v>
                </c:pt>
              </c:numCache>
            </c:numRef>
          </c:val>
          <c:extLst>
            <c:ext xmlns:c16="http://schemas.microsoft.com/office/drawing/2014/chart" uri="{C3380CC4-5D6E-409C-BE32-E72D297353CC}">
              <c16:uniqueId val="{00000000-93B3-4ABC-BE93-9603B7570419}"/>
            </c:ext>
          </c:extLst>
        </c:ser>
        <c:ser>
          <c:idx val="1"/>
          <c:order val="1"/>
          <c:tx>
            <c:strRef>
              <c:f>Arkusz1!$C$1</c:f>
              <c:strCache>
                <c:ptCount val="1"/>
                <c:pt idx="0">
                  <c:v>nie</c:v>
                </c:pt>
              </c:strCache>
            </c:strRef>
          </c:tx>
          <c:spPr>
            <a:solidFill>
              <a:schemeClr val="bg1">
                <a:lumMod val="85000"/>
              </a:schemeClr>
            </a:solidFill>
            <a:ln>
              <a:noFill/>
            </a:ln>
            <a:effectLst/>
          </c:spPr>
          <c:invertIfNegative val="0"/>
          <c:dLbls>
            <c:dLbl>
              <c:idx val="0"/>
              <c:numFmt formatCode="0%" sourceLinked="0"/>
              <c:spPr>
                <a:solidFill>
                  <a:srgbClr val="EE0000"/>
                </a:solid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bg1"/>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extLst>
                <c:ext xmlns:c16="http://schemas.microsoft.com/office/drawing/2014/chart" uri="{C3380CC4-5D6E-409C-BE32-E72D297353CC}">
                  <c16:uniqueId val="{00000002-7CC5-4B2D-828D-5B6AC50A6E20}"/>
                </c:ext>
              </c:extLst>
            </c:dLbl>
            <c:dLbl>
              <c:idx val="5"/>
              <c:numFmt formatCode="0%" sourceLinked="0"/>
              <c:spPr>
                <a:solidFill>
                  <a:srgbClr val="EE0000"/>
                </a:solid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bg1"/>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extLst>
                <c:ext xmlns:c16="http://schemas.microsoft.com/office/drawing/2014/chart" uri="{C3380CC4-5D6E-409C-BE32-E72D297353CC}">
                  <c16:uniqueId val="{00000000-7CC5-4B2D-828D-5B6AC50A6E20}"/>
                </c:ext>
              </c:extLst>
            </c:dLbl>
            <c:dLbl>
              <c:idx val="10"/>
              <c:numFmt formatCode="0%" sourceLinked="0"/>
              <c:spPr>
                <a:solidFill>
                  <a:srgbClr val="00B0F0"/>
                </a:solid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bg1"/>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extLst>
                <c:ext xmlns:c16="http://schemas.microsoft.com/office/drawing/2014/chart" uri="{C3380CC4-5D6E-409C-BE32-E72D297353CC}">
                  <c16:uniqueId val="{00000004-7CC5-4B2D-828D-5B6AC50A6E20}"/>
                </c:ext>
              </c:extLst>
            </c:dLbl>
            <c:dLbl>
              <c:idx val="11"/>
              <c:numFmt formatCode="0%" sourceLinked="0"/>
              <c:spPr>
                <a:solidFill>
                  <a:srgbClr val="00B0F0"/>
                </a:solid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bg1"/>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extLst>
                <c:ext xmlns:c16="http://schemas.microsoft.com/office/drawing/2014/chart" uri="{C3380CC4-5D6E-409C-BE32-E72D297353CC}">
                  <c16:uniqueId val="{00000003-7CC5-4B2D-828D-5B6AC50A6E20}"/>
                </c:ext>
              </c:extLst>
            </c:dLbl>
            <c:numFmt formatCode="0%" sourceLinked="0"/>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Arkusz1!$A$2:$A$13</c:f>
              <c:strCache>
                <c:ptCount val="12"/>
                <c:pt idx="0">
                  <c:v>2014 N=6352</c:v>
                </c:pt>
                <c:pt idx="1">
                  <c:v>2015 N=1642</c:v>
                </c:pt>
                <c:pt idx="2">
                  <c:v>2016 N=5366</c:v>
                </c:pt>
                <c:pt idx="3">
                  <c:v>2017 N=919</c:v>
                </c:pt>
                <c:pt idx="4">
                  <c:v>2018 N=5615</c:v>
                </c:pt>
                <c:pt idx="5">
                  <c:v>2019 N=905</c:v>
                </c:pt>
                <c:pt idx="6">
                  <c:v>2020 N=5514</c:v>
                </c:pt>
                <c:pt idx="7">
                  <c:v>2021 N=887</c:v>
                </c:pt>
                <c:pt idx="8">
                  <c:v>2022 N=5279</c:v>
                </c:pt>
                <c:pt idx="9">
                  <c:v>2023 N=888</c:v>
                </c:pt>
                <c:pt idx="10">
                  <c:v>2024 N=5707</c:v>
                </c:pt>
                <c:pt idx="11">
                  <c:v>2025 N=955</c:v>
                </c:pt>
              </c:strCache>
            </c:strRef>
          </c:cat>
          <c:val>
            <c:numRef>
              <c:f>Arkusz1!$C$2:$C$13</c:f>
              <c:numCache>
                <c:formatCode>0%</c:formatCode>
                <c:ptCount val="12"/>
                <c:pt idx="0">
                  <c:v>0.49</c:v>
                </c:pt>
                <c:pt idx="1">
                  <c:v>0.26</c:v>
                </c:pt>
                <c:pt idx="2">
                  <c:v>0.31</c:v>
                </c:pt>
                <c:pt idx="3">
                  <c:v>0.32</c:v>
                </c:pt>
                <c:pt idx="4">
                  <c:v>0.37</c:v>
                </c:pt>
                <c:pt idx="5">
                  <c:v>0.49</c:v>
                </c:pt>
                <c:pt idx="6">
                  <c:v>0.32</c:v>
                </c:pt>
                <c:pt idx="7">
                  <c:v>0.28000000000000003</c:v>
                </c:pt>
                <c:pt idx="8">
                  <c:v>0.18</c:v>
                </c:pt>
                <c:pt idx="9">
                  <c:v>0.18</c:v>
                </c:pt>
                <c:pt idx="10" formatCode="0.00%">
                  <c:v>0.17</c:v>
                </c:pt>
                <c:pt idx="11" formatCode="0.00%">
                  <c:v>0.16</c:v>
                </c:pt>
              </c:numCache>
            </c:numRef>
          </c:val>
          <c:extLst>
            <c:ext xmlns:c16="http://schemas.microsoft.com/office/drawing/2014/chart" uri="{C3380CC4-5D6E-409C-BE32-E72D297353CC}">
              <c16:uniqueId val="{00000001-93B3-4ABC-BE93-9603B7570419}"/>
            </c:ext>
          </c:extLst>
        </c:ser>
        <c:ser>
          <c:idx val="2"/>
          <c:order val="2"/>
          <c:tx>
            <c:strRef>
              <c:f>Arkusz1!$D$1</c:f>
              <c:strCache>
                <c:ptCount val="1"/>
                <c:pt idx="0">
                  <c:v>nie wiem / trudno powiedzieć</c:v>
                </c:pt>
              </c:strCache>
            </c:strRef>
          </c:tx>
          <c:spPr>
            <a:solidFill>
              <a:schemeClr val="tx1">
                <a:lumMod val="50000"/>
                <a:lumOff val="50000"/>
              </a:schemeClr>
            </a:solidFill>
            <a:ln>
              <a:noFill/>
            </a:ln>
            <a:effectLst/>
          </c:spPr>
          <c:invertIfNegative val="0"/>
          <c:dLbls>
            <c:dLbl>
              <c:idx val="0"/>
              <c:numFmt formatCode="0%" sourceLinked="0"/>
              <c:spPr>
                <a:solidFill>
                  <a:srgbClr val="00B0F0"/>
                </a:solid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bg1"/>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extLst>
                <c:ext xmlns:c16="http://schemas.microsoft.com/office/drawing/2014/chart" uri="{C3380CC4-5D6E-409C-BE32-E72D297353CC}">
                  <c16:uniqueId val="{00000007-7CC5-4B2D-828D-5B6AC50A6E20}"/>
                </c:ext>
              </c:extLst>
            </c:dLbl>
            <c:dLbl>
              <c:idx val="10"/>
              <c:numFmt formatCode="0%" sourceLinked="0"/>
              <c:spPr>
                <a:solidFill>
                  <a:srgbClr val="00B0F0"/>
                </a:solid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bg1"/>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extLst>
                <c:ext xmlns:c16="http://schemas.microsoft.com/office/drawing/2014/chart" uri="{C3380CC4-5D6E-409C-BE32-E72D297353CC}">
                  <c16:uniqueId val="{00000008-7CC5-4B2D-828D-5B6AC50A6E20}"/>
                </c:ext>
              </c:extLst>
            </c:dLbl>
            <c:numFmt formatCode="0%" sourceLinked="0"/>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bg1"/>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Arkusz1!$A$2:$A$13</c:f>
              <c:strCache>
                <c:ptCount val="12"/>
                <c:pt idx="0">
                  <c:v>2014 N=6352</c:v>
                </c:pt>
                <c:pt idx="1">
                  <c:v>2015 N=1642</c:v>
                </c:pt>
                <c:pt idx="2">
                  <c:v>2016 N=5366</c:v>
                </c:pt>
                <c:pt idx="3">
                  <c:v>2017 N=919</c:v>
                </c:pt>
                <c:pt idx="4">
                  <c:v>2018 N=5615</c:v>
                </c:pt>
                <c:pt idx="5">
                  <c:v>2019 N=905</c:v>
                </c:pt>
                <c:pt idx="6">
                  <c:v>2020 N=5514</c:v>
                </c:pt>
                <c:pt idx="7">
                  <c:v>2021 N=887</c:v>
                </c:pt>
                <c:pt idx="8">
                  <c:v>2022 N=5279</c:v>
                </c:pt>
                <c:pt idx="9">
                  <c:v>2023 N=888</c:v>
                </c:pt>
                <c:pt idx="10">
                  <c:v>2024 N=5707</c:v>
                </c:pt>
                <c:pt idx="11">
                  <c:v>2025 N=955</c:v>
                </c:pt>
              </c:strCache>
            </c:strRef>
          </c:cat>
          <c:val>
            <c:numRef>
              <c:f>Arkusz1!$D$2:$D$13</c:f>
              <c:numCache>
                <c:formatCode>0%</c:formatCode>
                <c:ptCount val="12"/>
                <c:pt idx="0">
                  <c:v>0.03</c:v>
                </c:pt>
                <c:pt idx="1">
                  <c:v>0.15</c:v>
                </c:pt>
                <c:pt idx="2">
                  <c:v>0.12</c:v>
                </c:pt>
                <c:pt idx="3">
                  <c:v>0.06</c:v>
                </c:pt>
                <c:pt idx="4">
                  <c:v>0.12</c:v>
                </c:pt>
                <c:pt idx="5">
                  <c:v>0.09</c:v>
                </c:pt>
                <c:pt idx="6">
                  <c:v>0.11</c:v>
                </c:pt>
                <c:pt idx="7">
                  <c:v>0.12</c:v>
                </c:pt>
                <c:pt idx="8">
                  <c:v>0.06</c:v>
                </c:pt>
                <c:pt idx="9">
                  <c:v>0.12</c:v>
                </c:pt>
                <c:pt idx="10" formatCode="0.00%">
                  <c:v>0.04</c:v>
                </c:pt>
                <c:pt idx="11" formatCode="0.00%">
                  <c:v>0.16</c:v>
                </c:pt>
              </c:numCache>
            </c:numRef>
          </c:val>
          <c:extLst>
            <c:ext xmlns:c16="http://schemas.microsoft.com/office/drawing/2014/chart" uri="{C3380CC4-5D6E-409C-BE32-E72D297353CC}">
              <c16:uniqueId val="{00000002-93B3-4ABC-BE93-9603B7570419}"/>
            </c:ext>
          </c:extLst>
        </c:ser>
        <c:dLbls>
          <c:showLegendKey val="0"/>
          <c:showVal val="0"/>
          <c:showCatName val="0"/>
          <c:showSerName val="0"/>
          <c:showPercent val="0"/>
          <c:showBubbleSize val="0"/>
        </c:dLbls>
        <c:gapWidth val="60"/>
        <c:overlap val="100"/>
        <c:axId val="875697471"/>
        <c:axId val="875698911"/>
      </c:barChart>
      <c:catAx>
        <c:axId val="875697471"/>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crossAx val="875698911"/>
        <c:crosses val="autoZero"/>
        <c:auto val="1"/>
        <c:lblAlgn val="ctr"/>
        <c:lblOffset val="100"/>
        <c:noMultiLvlLbl val="0"/>
      </c:catAx>
      <c:valAx>
        <c:axId val="875698911"/>
        <c:scaling>
          <c:orientation val="minMax"/>
        </c:scaling>
        <c:delete val="0"/>
        <c:axPos val="b"/>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pl-PL"/>
          </a:p>
        </c:txPr>
        <c:crossAx val="875697471"/>
        <c:crosses val="autoZero"/>
        <c:crossBetween val="between"/>
      </c:valAx>
      <c:spPr>
        <a:noFill/>
        <a:ln>
          <a:noFill/>
        </a:ln>
        <a:effectLst/>
      </c:spPr>
    </c:plotArea>
    <c:legend>
      <c:legendPos val="b"/>
      <c:legendEntry>
        <c:idx val="2"/>
        <c:txPr>
          <a:bodyPr rot="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pl-PL"/>
          </a:p>
        </c:txPr>
      </c:legendEntry>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pl-P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pl-PL"/>
    </a:p>
  </c:txPr>
  <c:externalData r:id="rId3">
    <c:autoUpdate val="0"/>
  </c:externalData>
</c:chartSpace>
</file>

<file path=word/charts/chart5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percentStacked"/>
        <c:varyColors val="0"/>
        <c:ser>
          <c:idx val="0"/>
          <c:order val="0"/>
          <c:tx>
            <c:strRef>
              <c:f>Arkusz1!$B$1</c:f>
              <c:strCache>
                <c:ptCount val="1"/>
                <c:pt idx="0">
                  <c:v>tak</c:v>
                </c:pt>
              </c:strCache>
            </c:strRef>
          </c:tx>
          <c:spPr>
            <a:solidFill>
              <a:srgbClr val="061A3D"/>
            </a:solidFill>
            <a:ln>
              <a:noFill/>
            </a:ln>
            <a:effectLst/>
          </c:spPr>
          <c:invertIfNegative val="0"/>
          <c:dLbls>
            <c:dLbl>
              <c:idx val="2"/>
              <c:layout>
                <c:manualLayout>
                  <c:x val="0"/>
                  <c:y val="2.4729939173033636E-3"/>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045-48D9-927D-31CC97A9F50A}"/>
                </c:ext>
              </c:extLst>
            </c:dLbl>
            <c:dLbl>
              <c:idx val="5"/>
              <c:layout>
                <c:manualLayout>
                  <c:x val="-2.3148148148148147E-3"/>
                  <c:y val="1.9470859911057113E-7"/>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583-427B-AECF-27087528E6A2}"/>
                </c:ext>
              </c:extLst>
            </c:dLbl>
            <c:dLbl>
              <c:idx val="7"/>
              <c:numFmt formatCode="0%" sourceLinked="0"/>
              <c:spPr>
                <a:solidFill>
                  <a:srgbClr val="EE0000"/>
                </a:solid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bg1"/>
                      </a:solidFill>
                      <a:latin typeface="Arial" panose="020B0604020202020204" pitchFamily="34" charset="0"/>
                      <a:ea typeface="+mn-ea"/>
                      <a:cs typeface="Arial" panose="020B0604020202020204" pitchFamily="34" charset="0"/>
                    </a:defRPr>
                  </a:pPr>
                  <a:endParaRPr lang="pl-PL"/>
                </a:p>
              </c:txPr>
              <c:dLblPos val="ctr"/>
              <c:showLegendKey val="0"/>
              <c:showVal val="1"/>
              <c:showCatName val="0"/>
              <c:showSerName val="0"/>
              <c:showPercent val="0"/>
              <c:showBubbleSize val="0"/>
              <c:extLst>
                <c:ext xmlns:c16="http://schemas.microsoft.com/office/drawing/2014/chart" uri="{C3380CC4-5D6E-409C-BE32-E72D297353CC}">
                  <c16:uniqueId val="{00000002-9238-48D2-903F-4DF26A4C4EB9}"/>
                </c:ext>
              </c:extLst>
            </c:dLbl>
            <c:dLbl>
              <c:idx val="14"/>
              <c:numFmt formatCode="0%" sourceLinked="0"/>
              <c:spPr>
                <a:solidFill>
                  <a:srgbClr val="EE0000"/>
                </a:solid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bg1"/>
                      </a:solidFill>
                      <a:latin typeface="Arial" panose="020B0604020202020204" pitchFamily="34" charset="0"/>
                      <a:ea typeface="+mn-ea"/>
                      <a:cs typeface="Arial" panose="020B0604020202020204" pitchFamily="34" charset="0"/>
                    </a:defRPr>
                  </a:pPr>
                  <a:endParaRPr lang="pl-PL"/>
                </a:p>
              </c:txPr>
              <c:dLblPos val="ctr"/>
              <c:showLegendKey val="0"/>
              <c:showVal val="1"/>
              <c:showCatName val="0"/>
              <c:showSerName val="0"/>
              <c:showPercent val="0"/>
              <c:showBubbleSize val="0"/>
              <c:extLst>
                <c:ext xmlns:c16="http://schemas.microsoft.com/office/drawing/2014/chart" uri="{C3380CC4-5D6E-409C-BE32-E72D297353CC}">
                  <c16:uniqueId val="{00000001-9238-48D2-903F-4DF26A4C4EB9}"/>
                </c:ext>
              </c:extLst>
            </c:dLbl>
            <c:dLbl>
              <c:idx val="19"/>
              <c:numFmt formatCode="0%" sourceLinked="0"/>
              <c:spPr>
                <a:solidFill>
                  <a:srgbClr val="EE0000"/>
                </a:solid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bg1"/>
                      </a:solidFill>
                      <a:latin typeface="Arial" panose="020B0604020202020204" pitchFamily="34" charset="0"/>
                      <a:ea typeface="+mn-ea"/>
                      <a:cs typeface="Arial" panose="020B0604020202020204" pitchFamily="34" charset="0"/>
                    </a:defRPr>
                  </a:pPr>
                  <a:endParaRPr lang="pl-PL"/>
                </a:p>
              </c:txPr>
              <c:dLblPos val="ctr"/>
              <c:showLegendKey val="0"/>
              <c:showVal val="1"/>
              <c:showCatName val="0"/>
              <c:showSerName val="0"/>
              <c:showPercent val="0"/>
              <c:showBubbleSize val="0"/>
              <c:extLst>
                <c:ext xmlns:c16="http://schemas.microsoft.com/office/drawing/2014/chart" uri="{C3380CC4-5D6E-409C-BE32-E72D297353CC}">
                  <c16:uniqueId val="{00000000-9238-48D2-903F-4DF26A4C4EB9}"/>
                </c:ext>
              </c:extLst>
            </c:dLbl>
            <c:numFmt formatCode="0%" sourceLinked="0"/>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bg1"/>
                    </a:solidFill>
                    <a:latin typeface="Arial" panose="020B0604020202020204" pitchFamily="34" charset="0"/>
                    <a:ea typeface="+mn-ea"/>
                    <a:cs typeface="Arial" panose="020B0604020202020204" pitchFamily="34" charset="0"/>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Arkusz1!$A$2:$A$25</c:f>
              <c:strCache>
                <c:ptCount val="24"/>
                <c:pt idx="0">
                  <c:v>Ogółem</c:v>
                </c:pt>
                <c:pt idx="2">
                  <c:v>Kobieta</c:v>
                </c:pt>
                <c:pt idx="3">
                  <c:v>Mężczyzna</c:v>
                </c:pt>
                <c:pt idx="5">
                  <c:v>15–19 lat</c:v>
                </c:pt>
                <c:pt idx="6">
                  <c:v>20–24 lata</c:v>
                </c:pt>
                <c:pt idx="7">
                  <c:v>25–34 lata</c:v>
                </c:pt>
                <c:pt idx="8">
                  <c:v>35–44 lata</c:v>
                </c:pt>
                <c:pt idx="9">
                  <c:v>45–54 lata</c:v>
                </c:pt>
                <c:pt idx="10">
                  <c:v>55–64 lata</c:v>
                </c:pt>
                <c:pt idx="11">
                  <c:v>65+</c:v>
                </c:pt>
                <c:pt idx="13">
                  <c:v>Wykształcenie wyższe</c:v>
                </c:pt>
                <c:pt idx="14">
                  <c:v>Wykształcenie średnie</c:v>
                </c:pt>
                <c:pt idx="15">
                  <c:v>Wykształcenie zawodowe</c:v>
                </c:pt>
                <c:pt idx="16">
                  <c:v>Wykształcenie podstawowe</c:v>
                </c:pt>
                <c:pt idx="18">
                  <c:v>Wieś</c:v>
                </c:pt>
                <c:pt idx="19">
                  <c:v>Miasta do 20 tys.</c:v>
                </c:pt>
                <c:pt idx="20">
                  <c:v>Miasta 20–49 tys.</c:v>
                </c:pt>
                <c:pt idx="21">
                  <c:v>Miasta 50–199 tys.</c:v>
                </c:pt>
                <c:pt idx="22">
                  <c:v>Miasta 200–499 tys.</c:v>
                </c:pt>
                <c:pt idx="23">
                  <c:v>Miasta 500+ tys.</c:v>
                </c:pt>
              </c:strCache>
            </c:strRef>
          </c:cat>
          <c:val>
            <c:numRef>
              <c:f>Arkusz1!$B$2:$B$25</c:f>
              <c:numCache>
                <c:formatCode>General</c:formatCode>
                <c:ptCount val="24"/>
                <c:pt idx="0" formatCode="0.00%">
                  <c:v>0.67600000000000005</c:v>
                </c:pt>
                <c:pt idx="2" formatCode="0.00%">
                  <c:v>0.66600000000000004</c:v>
                </c:pt>
                <c:pt idx="3" formatCode="0.00%">
                  <c:v>0.68600000000000005</c:v>
                </c:pt>
                <c:pt idx="5" formatCode="0.00%">
                  <c:v>0.64400000000000002</c:v>
                </c:pt>
                <c:pt idx="6" formatCode="0.00%">
                  <c:v>0.70499999999999996</c:v>
                </c:pt>
                <c:pt idx="7" formatCode="0.00%">
                  <c:v>0.72799999999999998</c:v>
                </c:pt>
                <c:pt idx="8" formatCode="0.00%">
                  <c:v>0.64600000000000002</c:v>
                </c:pt>
                <c:pt idx="9" formatCode="0.00%">
                  <c:v>0.61699999999999999</c:v>
                </c:pt>
                <c:pt idx="10" formatCode="0.00%">
                  <c:v>0.69299999999999995</c:v>
                </c:pt>
                <c:pt idx="11" formatCode="0.00%">
                  <c:v>0.69699999999999995</c:v>
                </c:pt>
                <c:pt idx="13" formatCode="0.00%">
                  <c:v>0.67200000000000004</c:v>
                </c:pt>
                <c:pt idx="14" formatCode="0.00%">
                  <c:v>0.71099999999999997</c:v>
                </c:pt>
                <c:pt idx="15" formatCode="0.00%">
                  <c:v>0.65300000000000002</c:v>
                </c:pt>
                <c:pt idx="16" formatCode="0.00%">
                  <c:v>0.63900000000000001</c:v>
                </c:pt>
                <c:pt idx="18" formatCode="0.00%">
                  <c:v>0.64300000000000002</c:v>
                </c:pt>
                <c:pt idx="19" formatCode="0.00%">
                  <c:v>0.78700000000000003</c:v>
                </c:pt>
                <c:pt idx="20" formatCode="0.00%">
                  <c:v>0.63700000000000001</c:v>
                </c:pt>
                <c:pt idx="21" formatCode="0.00%">
                  <c:v>0.69899999999999995</c:v>
                </c:pt>
                <c:pt idx="22" formatCode="0.00%">
                  <c:v>0.67900000000000005</c:v>
                </c:pt>
                <c:pt idx="23" formatCode="0.00%">
                  <c:v>0.67800000000000005</c:v>
                </c:pt>
              </c:numCache>
            </c:numRef>
          </c:val>
          <c:extLst>
            <c:ext xmlns:c16="http://schemas.microsoft.com/office/drawing/2014/chart" uri="{C3380CC4-5D6E-409C-BE32-E72D297353CC}">
              <c16:uniqueId val="{00000002-7045-48D9-927D-31CC97A9F50A}"/>
            </c:ext>
          </c:extLst>
        </c:ser>
        <c:ser>
          <c:idx val="1"/>
          <c:order val="1"/>
          <c:tx>
            <c:strRef>
              <c:f>Arkusz1!$C$1</c:f>
              <c:strCache>
                <c:ptCount val="1"/>
                <c:pt idx="0">
                  <c:v>nie</c:v>
                </c:pt>
              </c:strCache>
            </c:strRef>
          </c:tx>
          <c:spPr>
            <a:solidFill>
              <a:schemeClr val="bg1">
                <a:lumMod val="85000"/>
              </a:schemeClr>
            </a:solidFill>
            <a:ln>
              <a:noFill/>
            </a:ln>
            <a:effectLst/>
          </c:spPr>
          <c:invertIfNegative val="0"/>
          <c:dLbls>
            <c:dLbl>
              <c:idx val="7"/>
              <c:numFmt formatCode="0%" sourceLinked="0"/>
              <c:spPr>
                <a:solidFill>
                  <a:srgbClr val="00B0F0"/>
                </a:solid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bg1"/>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extLst>
                <c:ext xmlns:c16="http://schemas.microsoft.com/office/drawing/2014/chart" uri="{C3380CC4-5D6E-409C-BE32-E72D297353CC}">
                  <c16:uniqueId val="{00000004-9238-48D2-903F-4DF26A4C4EB9}"/>
                </c:ext>
              </c:extLst>
            </c:dLbl>
            <c:numFmt formatCode="0%" sourceLinked="0"/>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Arkusz1!$A$2:$A$25</c:f>
              <c:strCache>
                <c:ptCount val="24"/>
                <c:pt idx="0">
                  <c:v>Ogółem</c:v>
                </c:pt>
                <c:pt idx="2">
                  <c:v>Kobieta</c:v>
                </c:pt>
                <c:pt idx="3">
                  <c:v>Mężczyzna</c:v>
                </c:pt>
                <c:pt idx="5">
                  <c:v>15–19 lat</c:v>
                </c:pt>
                <c:pt idx="6">
                  <c:v>20–24 lata</c:v>
                </c:pt>
                <c:pt idx="7">
                  <c:v>25–34 lata</c:v>
                </c:pt>
                <c:pt idx="8">
                  <c:v>35–44 lata</c:v>
                </c:pt>
                <c:pt idx="9">
                  <c:v>45–54 lata</c:v>
                </c:pt>
                <c:pt idx="10">
                  <c:v>55–64 lata</c:v>
                </c:pt>
                <c:pt idx="11">
                  <c:v>65+</c:v>
                </c:pt>
                <c:pt idx="13">
                  <c:v>Wykształcenie wyższe</c:v>
                </c:pt>
                <c:pt idx="14">
                  <c:v>Wykształcenie średnie</c:v>
                </c:pt>
                <c:pt idx="15">
                  <c:v>Wykształcenie zawodowe</c:v>
                </c:pt>
                <c:pt idx="16">
                  <c:v>Wykształcenie podstawowe</c:v>
                </c:pt>
                <c:pt idx="18">
                  <c:v>Wieś</c:v>
                </c:pt>
                <c:pt idx="19">
                  <c:v>Miasta do 20 tys.</c:v>
                </c:pt>
                <c:pt idx="20">
                  <c:v>Miasta 20–49 tys.</c:v>
                </c:pt>
                <c:pt idx="21">
                  <c:v>Miasta 50–199 tys.</c:v>
                </c:pt>
                <c:pt idx="22">
                  <c:v>Miasta 200–499 tys.</c:v>
                </c:pt>
                <c:pt idx="23">
                  <c:v>Miasta 500+ tys.</c:v>
                </c:pt>
              </c:strCache>
            </c:strRef>
          </c:cat>
          <c:val>
            <c:numRef>
              <c:f>Arkusz1!$C$2:$C$25</c:f>
              <c:numCache>
                <c:formatCode>General</c:formatCode>
                <c:ptCount val="24"/>
                <c:pt idx="0" formatCode="0.00%">
                  <c:v>0.155</c:v>
                </c:pt>
                <c:pt idx="2" formatCode="0.00%">
                  <c:v>0.17</c:v>
                </c:pt>
                <c:pt idx="3" formatCode="0.00%">
                  <c:v>0.14099999999999999</c:v>
                </c:pt>
                <c:pt idx="5" formatCode="0.00%">
                  <c:v>0.186</c:v>
                </c:pt>
                <c:pt idx="6" formatCode="0.00%">
                  <c:v>0.13100000000000001</c:v>
                </c:pt>
                <c:pt idx="7" formatCode="0.00%">
                  <c:v>0.122</c:v>
                </c:pt>
                <c:pt idx="8" formatCode="0.00%">
                  <c:v>0.156</c:v>
                </c:pt>
                <c:pt idx="9" formatCode="0.00%">
                  <c:v>0.20599999999999999</c:v>
                </c:pt>
                <c:pt idx="10" formatCode="0.00%">
                  <c:v>0.13400000000000001</c:v>
                </c:pt>
                <c:pt idx="11" formatCode="0.00%">
                  <c:v>0.154</c:v>
                </c:pt>
                <c:pt idx="13" formatCode="0.00%">
                  <c:v>0.16400000000000001</c:v>
                </c:pt>
                <c:pt idx="14" formatCode="0.00%">
                  <c:v>0.14000000000000001</c:v>
                </c:pt>
                <c:pt idx="15" formatCode="0.00%">
                  <c:v>0.155</c:v>
                </c:pt>
                <c:pt idx="16" formatCode="0.00%">
                  <c:v>0.17599999999999999</c:v>
                </c:pt>
                <c:pt idx="18" formatCode="0.00%">
                  <c:v>0.192</c:v>
                </c:pt>
                <c:pt idx="19" formatCode="0.00%">
                  <c:v>0.115</c:v>
                </c:pt>
                <c:pt idx="20" formatCode="0.00%">
                  <c:v>0.13300000000000001</c:v>
                </c:pt>
                <c:pt idx="21" formatCode="0.00%">
                  <c:v>0.13300000000000001</c:v>
                </c:pt>
                <c:pt idx="22" formatCode="0.00%">
                  <c:v>0.13600000000000001</c:v>
                </c:pt>
                <c:pt idx="23" formatCode="0.00%">
                  <c:v>0.13900000000000001</c:v>
                </c:pt>
              </c:numCache>
            </c:numRef>
          </c:val>
          <c:extLst>
            <c:ext xmlns:c16="http://schemas.microsoft.com/office/drawing/2014/chart" uri="{C3380CC4-5D6E-409C-BE32-E72D297353CC}">
              <c16:uniqueId val="{00000003-7045-48D9-927D-31CC97A9F50A}"/>
            </c:ext>
          </c:extLst>
        </c:ser>
        <c:ser>
          <c:idx val="2"/>
          <c:order val="2"/>
          <c:tx>
            <c:strRef>
              <c:f>Arkusz1!$D$1</c:f>
              <c:strCache>
                <c:ptCount val="1"/>
                <c:pt idx="0">
                  <c:v>nie wiem / trudno powiedzieć</c:v>
                </c:pt>
              </c:strCache>
            </c:strRef>
          </c:tx>
          <c:spPr>
            <a:solidFill>
              <a:schemeClr val="tx1">
                <a:lumMod val="50000"/>
                <a:lumOff val="50000"/>
              </a:schemeClr>
            </a:solidFill>
            <a:ln>
              <a:noFill/>
            </a:ln>
            <a:effectLst/>
          </c:spPr>
          <c:invertIfNegative val="0"/>
          <c:dLbls>
            <c:dLbl>
              <c:idx val="19"/>
              <c:numFmt formatCode="0%" sourceLinked="0"/>
              <c:spPr>
                <a:solidFill>
                  <a:srgbClr val="00B0F0"/>
                </a:solid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bg1"/>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extLst>
                <c:ext xmlns:c16="http://schemas.microsoft.com/office/drawing/2014/chart" uri="{C3380CC4-5D6E-409C-BE32-E72D297353CC}">
                  <c16:uniqueId val="{00000003-9238-48D2-903F-4DF26A4C4EB9}"/>
                </c:ext>
              </c:extLst>
            </c:dLbl>
            <c:numFmt formatCode="0%" sourceLinked="0"/>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bg1"/>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Arkusz1!$A$2:$A$25</c:f>
              <c:strCache>
                <c:ptCount val="24"/>
                <c:pt idx="0">
                  <c:v>Ogółem</c:v>
                </c:pt>
                <c:pt idx="2">
                  <c:v>Kobieta</c:v>
                </c:pt>
                <c:pt idx="3">
                  <c:v>Mężczyzna</c:v>
                </c:pt>
                <c:pt idx="5">
                  <c:v>15–19 lat</c:v>
                </c:pt>
                <c:pt idx="6">
                  <c:v>20–24 lata</c:v>
                </c:pt>
                <c:pt idx="7">
                  <c:v>25–34 lata</c:v>
                </c:pt>
                <c:pt idx="8">
                  <c:v>35–44 lata</c:v>
                </c:pt>
                <c:pt idx="9">
                  <c:v>45–54 lata</c:v>
                </c:pt>
                <c:pt idx="10">
                  <c:v>55–64 lata</c:v>
                </c:pt>
                <c:pt idx="11">
                  <c:v>65+</c:v>
                </c:pt>
                <c:pt idx="13">
                  <c:v>Wykształcenie wyższe</c:v>
                </c:pt>
                <c:pt idx="14">
                  <c:v>Wykształcenie średnie</c:v>
                </c:pt>
                <c:pt idx="15">
                  <c:v>Wykształcenie zawodowe</c:v>
                </c:pt>
                <c:pt idx="16">
                  <c:v>Wykształcenie podstawowe</c:v>
                </c:pt>
                <c:pt idx="18">
                  <c:v>Wieś</c:v>
                </c:pt>
                <c:pt idx="19">
                  <c:v>Miasta do 20 tys.</c:v>
                </c:pt>
                <c:pt idx="20">
                  <c:v>Miasta 20–49 tys.</c:v>
                </c:pt>
                <c:pt idx="21">
                  <c:v>Miasta 50–199 tys.</c:v>
                </c:pt>
                <c:pt idx="22">
                  <c:v>Miasta 200–499 tys.</c:v>
                </c:pt>
                <c:pt idx="23">
                  <c:v>Miasta 500+ tys.</c:v>
                </c:pt>
              </c:strCache>
            </c:strRef>
          </c:cat>
          <c:val>
            <c:numRef>
              <c:f>Arkusz1!$D$2:$D$25</c:f>
              <c:numCache>
                <c:formatCode>General</c:formatCode>
                <c:ptCount val="24"/>
                <c:pt idx="0" formatCode="0.00%">
                  <c:v>0.16900000000000001</c:v>
                </c:pt>
                <c:pt idx="2" formatCode="0.00%">
                  <c:v>0.16400000000000001</c:v>
                </c:pt>
                <c:pt idx="3" formatCode="0.00%">
                  <c:v>0.17299999999999999</c:v>
                </c:pt>
                <c:pt idx="5" formatCode="0.00%">
                  <c:v>0.16900000000000001</c:v>
                </c:pt>
                <c:pt idx="6" formatCode="0.00%">
                  <c:v>0.16400000000000001</c:v>
                </c:pt>
                <c:pt idx="7" formatCode="0.00%">
                  <c:v>0.15</c:v>
                </c:pt>
                <c:pt idx="8" formatCode="0.00%">
                  <c:v>0.19800000000000001</c:v>
                </c:pt>
                <c:pt idx="9" formatCode="0.00%">
                  <c:v>0.17699999999999999</c:v>
                </c:pt>
                <c:pt idx="10" formatCode="0.00%">
                  <c:v>0.17299999999999999</c:v>
                </c:pt>
                <c:pt idx="11" formatCode="0.00%">
                  <c:v>0.14899999999999999</c:v>
                </c:pt>
                <c:pt idx="13" formatCode="0.00%">
                  <c:v>0.16400000000000001</c:v>
                </c:pt>
                <c:pt idx="14" formatCode="0.00%">
                  <c:v>0.14899999999999999</c:v>
                </c:pt>
                <c:pt idx="15" formatCode="0.00%">
                  <c:v>0.192</c:v>
                </c:pt>
                <c:pt idx="16" formatCode="0.00%">
                  <c:v>0.185</c:v>
                </c:pt>
                <c:pt idx="18" formatCode="0.00%">
                  <c:v>0.16500000000000001</c:v>
                </c:pt>
                <c:pt idx="19" formatCode="0.00%">
                  <c:v>9.8000000000000004E-2</c:v>
                </c:pt>
                <c:pt idx="20" formatCode="0.00%">
                  <c:v>0.23</c:v>
                </c:pt>
                <c:pt idx="21" formatCode="0.00%">
                  <c:v>0.16800000000000001</c:v>
                </c:pt>
                <c:pt idx="22" formatCode="0.00%">
                  <c:v>0.185</c:v>
                </c:pt>
                <c:pt idx="23" formatCode="0.00%">
                  <c:v>0.183</c:v>
                </c:pt>
              </c:numCache>
            </c:numRef>
          </c:val>
          <c:extLst>
            <c:ext xmlns:c16="http://schemas.microsoft.com/office/drawing/2014/chart" uri="{C3380CC4-5D6E-409C-BE32-E72D297353CC}">
              <c16:uniqueId val="{00000004-7045-48D9-927D-31CC97A9F50A}"/>
            </c:ext>
          </c:extLst>
        </c:ser>
        <c:dLbls>
          <c:showLegendKey val="0"/>
          <c:showVal val="0"/>
          <c:showCatName val="0"/>
          <c:showSerName val="0"/>
          <c:showPercent val="0"/>
          <c:showBubbleSize val="0"/>
        </c:dLbls>
        <c:gapWidth val="60"/>
        <c:overlap val="100"/>
        <c:axId val="875697471"/>
        <c:axId val="875698911"/>
      </c:barChart>
      <c:catAx>
        <c:axId val="875697471"/>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875698911"/>
        <c:crosses val="autoZero"/>
        <c:auto val="1"/>
        <c:lblAlgn val="ctr"/>
        <c:lblOffset val="100"/>
        <c:noMultiLvlLbl val="0"/>
      </c:catAx>
      <c:valAx>
        <c:axId val="875698911"/>
        <c:scaling>
          <c:orientation val="minMax"/>
        </c:scaling>
        <c:delete val="0"/>
        <c:axPos val="t"/>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87569747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pl-P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pl-PL"/>
    </a:p>
  </c:txPr>
  <c:externalData r:id="rId3">
    <c:autoUpdate val="0"/>
  </c:externalData>
</c:chartSpace>
</file>

<file path=word/charts/chart5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Arkusz1!$B$1</c:f>
              <c:strCache>
                <c:ptCount val="1"/>
                <c:pt idx="0">
                  <c:v>%</c:v>
                </c:pt>
              </c:strCache>
            </c:strRef>
          </c:tx>
          <c:spPr>
            <a:solidFill>
              <a:srgbClr val="061A3D"/>
            </a:solidFill>
            <a:ln>
              <a:noFill/>
            </a:ln>
            <a:effectLst/>
          </c:spPr>
          <c:invertIfNegative val="0"/>
          <c:dLbls>
            <c:numFmt formatCode="0%" sourceLinked="0"/>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Arkusz1!$A$2:$A$10</c:f>
              <c:strCache>
                <c:ptCount val="9"/>
                <c:pt idx="0">
                  <c:v>Nie pamiętam</c:v>
                </c:pt>
                <c:pt idx="1">
                  <c:v>Inne</c:v>
                </c:pt>
                <c:pt idx="2">
                  <c:v>Plakaty / ulotki</c:v>
                </c:pt>
                <c:pt idx="3">
                  <c:v>Przestrzeń miejska (dworce, przystanki, ulice)</c:v>
                </c:pt>
                <c:pt idx="4">
                  <c:v>Billboardy / banery</c:v>
                </c:pt>
                <c:pt idx="5">
                  <c:v>Urzędy, instytucje publiczne (szkoły, szpitale)</c:v>
                </c:pt>
                <c:pt idx="6">
                  <c:v>Telewizja</c:v>
                </c:pt>
                <c:pt idx="7">
                  <c:v>Internet</c:v>
                </c:pt>
                <c:pt idx="8">
                  <c:v>Tablice informacyjne / oznaczenia przy inwestycjach</c:v>
                </c:pt>
              </c:strCache>
            </c:strRef>
          </c:cat>
          <c:val>
            <c:numRef>
              <c:f>Arkusz1!$B$2:$B$10</c:f>
              <c:numCache>
                <c:formatCode>0%</c:formatCode>
                <c:ptCount val="9"/>
                <c:pt idx="0">
                  <c:v>0.02</c:v>
                </c:pt>
                <c:pt idx="1">
                  <c:v>0.02</c:v>
                </c:pt>
                <c:pt idx="2">
                  <c:v>0.03</c:v>
                </c:pt>
                <c:pt idx="3">
                  <c:v>0.04</c:v>
                </c:pt>
                <c:pt idx="4">
                  <c:v>0.05</c:v>
                </c:pt>
                <c:pt idx="5">
                  <c:v>7.0000000000000007E-2</c:v>
                </c:pt>
                <c:pt idx="6">
                  <c:v>0.12</c:v>
                </c:pt>
                <c:pt idx="7">
                  <c:v>0.13</c:v>
                </c:pt>
                <c:pt idx="8">
                  <c:v>0.61</c:v>
                </c:pt>
              </c:numCache>
            </c:numRef>
          </c:val>
          <c:extLst>
            <c:ext xmlns:c16="http://schemas.microsoft.com/office/drawing/2014/chart" uri="{C3380CC4-5D6E-409C-BE32-E72D297353CC}">
              <c16:uniqueId val="{00000000-D93F-4ABB-8644-2FA777DD1752}"/>
            </c:ext>
          </c:extLst>
        </c:ser>
        <c:dLbls>
          <c:showLegendKey val="0"/>
          <c:showVal val="0"/>
          <c:showCatName val="0"/>
          <c:showSerName val="0"/>
          <c:showPercent val="0"/>
          <c:showBubbleSize val="0"/>
        </c:dLbls>
        <c:gapWidth val="92"/>
        <c:axId val="432009056"/>
        <c:axId val="432009536"/>
      </c:barChart>
      <c:catAx>
        <c:axId val="43200905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crossAx val="432009536"/>
        <c:crosses val="autoZero"/>
        <c:auto val="1"/>
        <c:lblAlgn val="ctr"/>
        <c:lblOffset val="100"/>
        <c:noMultiLvlLbl val="0"/>
      </c:catAx>
      <c:valAx>
        <c:axId val="432009536"/>
        <c:scaling>
          <c:orientation val="minMax"/>
        </c:scaling>
        <c:delete val="0"/>
        <c:axPos val="b"/>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crossAx val="432009056"/>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5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2211431904345291"/>
          <c:y val="3.4564274971246568E-2"/>
          <c:w val="0.72138105132691743"/>
          <c:h val="0.73102893037246741"/>
        </c:manualLayout>
      </c:layout>
      <c:barChart>
        <c:barDir val="bar"/>
        <c:grouping val="percentStacked"/>
        <c:varyColors val="0"/>
        <c:ser>
          <c:idx val="0"/>
          <c:order val="0"/>
          <c:tx>
            <c:strRef>
              <c:f>Arkusz1!$B$1</c:f>
              <c:strCache>
                <c:ptCount val="1"/>
                <c:pt idx="0">
                  <c:v>Tak – sam/a korzystał/a</c:v>
                </c:pt>
              </c:strCache>
            </c:strRef>
          </c:tx>
          <c:spPr>
            <a:solidFill>
              <a:srgbClr val="061A3D"/>
            </a:solidFill>
            <a:ln>
              <a:noFill/>
            </a:ln>
            <a:effectLst/>
          </c:spPr>
          <c:invertIfNegative val="0"/>
          <c:dLbls>
            <c:dLbl>
              <c:idx val="0"/>
              <c:layout>
                <c:manualLayout>
                  <c:x val="8.6355785837650724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45E-4B1D-81EC-5B2187621B30}"/>
                </c:ext>
              </c:extLst>
            </c:dLbl>
            <c:dLbl>
              <c:idx val="1"/>
              <c:layout>
                <c:manualLayout>
                  <c:x val="6.4766839378237948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45E-4B1D-81EC-5B2187621B30}"/>
                </c:ext>
              </c:extLst>
            </c:dLbl>
            <c:dLbl>
              <c:idx val="2"/>
              <c:layout>
                <c:manualLayout>
                  <c:x val="4.3177892918825561E-3"/>
                  <c:y val="2.9427161392534172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F45E-4B1D-81EC-5B2187621B30}"/>
                </c:ext>
              </c:extLst>
            </c:dLbl>
            <c:dLbl>
              <c:idx val="3"/>
              <c:layout>
                <c:manualLayout>
                  <c:x val="4.3177892918825162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F45E-4B1D-81EC-5B2187621B30}"/>
                </c:ext>
              </c:extLst>
            </c:dLbl>
            <c:numFmt formatCode="0%" sourceLinked="0"/>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bg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Arkusz1!$A$2:$A$11</c:f>
              <c:strCache>
                <c:ptCount val="10"/>
                <c:pt idx="0">
                  <c:v>2016 N=5366</c:v>
                </c:pt>
                <c:pt idx="1">
                  <c:v>2017 N=919</c:v>
                </c:pt>
                <c:pt idx="2">
                  <c:v>2018 N=5615</c:v>
                </c:pt>
                <c:pt idx="3">
                  <c:v>2019 N=905</c:v>
                </c:pt>
                <c:pt idx="4">
                  <c:v>2020 N=5514</c:v>
                </c:pt>
                <c:pt idx="5">
                  <c:v>2021 N=887</c:v>
                </c:pt>
                <c:pt idx="6">
                  <c:v>2022 N=5279</c:v>
                </c:pt>
                <c:pt idx="7">
                  <c:v>2023 N=888</c:v>
                </c:pt>
                <c:pt idx="8">
                  <c:v>2024 N=5707</c:v>
                </c:pt>
                <c:pt idx="9">
                  <c:v>2025 N=955</c:v>
                </c:pt>
              </c:strCache>
            </c:strRef>
          </c:cat>
          <c:val>
            <c:numRef>
              <c:f>Arkusz1!$B$2:$B$11</c:f>
              <c:numCache>
                <c:formatCode>0%</c:formatCode>
                <c:ptCount val="10"/>
                <c:pt idx="0">
                  <c:v>0.03</c:v>
                </c:pt>
                <c:pt idx="1">
                  <c:v>0.02</c:v>
                </c:pt>
                <c:pt idx="2">
                  <c:v>0.03</c:v>
                </c:pt>
                <c:pt idx="3">
                  <c:v>0.03</c:v>
                </c:pt>
                <c:pt idx="4">
                  <c:v>7.0000000000000007E-2</c:v>
                </c:pt>
                <c:pt idx="5">
                  <c:v>0.05</c:v>
                </c:pt>
                <c:pt idx="6">
                  <c:v>0.04</c:v>
                </c:pt>
                <c:pt idx="7">
                  <c:v>0.05</c:v>
                </c:pt>
                <c:pt idx="8" formatCode="0.00%">
                  <c:v>7.0999999999999994E-2</c:v>
                </c:pt>
                <c:pt idx="9" formatCode="0.00%">
                  <c:v>4.2999999999999997E-2</c:v>
                </c:pt>
              </c:numCache>
            </c:numRef>
          </c:val>
          <c:extLst>
            <c:ext xmlns:c16="http://schemas.microsoft.com/office/drawing/2014/chart" uri="{C3380CC4-5D6E-409C-BE32-E72D297353CC}">
              <c16:uniqueId val="{00000000-F9FA-42C7-B892-A7BA052DEBB3}"/>
            </c:ext>
          </c:extLst>
        </c:ser>
        <c:ser>
          <c:idx val="1"/>
          <c:order val="1"/>
          <c:tx>
            <c:strRef>
              <c:f>Arkusz1!$C$1</c:f>
              <c:strCache>
                <c:ptCount val="1"/>
                <c:pt idx="0">
                  <c:v>Tak – ktoś z bliskich korzystał</c:v>
                </c:pt>
              </c:strCache>
            </c:strRef>
          </c:tx>
          <c:spPr>
            <a:solidFill>
              <a:schemeClr val="bg1">
                <a:lumMod val="85000"/>
              </a:schemeClr>
            </a:solidFill>
            <a:ln>
              <a:noFill/>
            </a:ln>
            <a:effectLst/>
          </c:spPr>
          <c:invertIfNegative val="0"/>
          <c:dLbls>
            <c:dLbl>
              <c:idx val="1"/>
              <c:numFmt formatCode="0%" sourceLinked="0"/>
              <c:spPr>
                <a:solidFill>
                  <a:srgbClr val="EE0000"/>
                </a:solid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bg1"/>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extLst>
                <c:ext xmlns:c16="http://schemas.microsoft.com/office/drawing/2014/chart" uri="{C3380CC4-5D6E-409C-BE32-E72D297353CC}">
                  <c16:uniqueId val="{00000005-FB5B-4C14-BC91-5DF0E45B1A73}"/>
                </c:ext>
              </c:extLst>
            </c:dLbl>
            <c:numFmt formatCode="0%" sourceLinked="0"/>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Arkusz1!$A$2:$A$11</c:f>
              <c:strCache>
                <c:ptCount val="10"/>
                <c:pt idx="0">
                  <c:v>2016 N=5366</c:v>
                </c:pt>
                <c:pt idx="1">
                  <c:v>2017 N=919</c:v>
                </c:pt>
                <c:pt idx="2">
                  <c:v>2018 N=5615</c:v>
                </c:pt>
                <c:pt idx="3">
                  <c:v>2019 N=905</c:v>
                </c:pt>
                <c:pt idx="4">
                  <c:v>2020 N=5514</c:v>
                </c:pt>
                <c:pt idx="5">
                  <c:v>2021 N=887</c:v>
                </c:pt>
                <c:pt idx="6">
                  <c:v>2022 N=5279</c:v>
                </c:pt>
                <c:pt idx="7">
                  <c:v>2023 N=888</c:v>
                </c:pt>
                <c:pt idx="8">
                  <c:v>2024 N=5707</c:v>
                </c:pt>
                <c:pt idx="9">
                  <c:v>2025 N=955</c:v>
                </c:pt>
              </c:strCache>
            </c:strRef>
          </c:cat>
          <c:val>
            <c:numRef>
              <c:f>Arkusz1!$C$2:$C$11</c:f>
              <c:numCache>
                <c:formatCode>0%</c:formatCode>
                <c:ptCount val="10"/>
                <c:pt idx="0">
                  <c:v>0.1</c:v>
                </c:pt>
                <c:pt idx="1">
                  <c:v>0.17</c:v>
                </c:pt>
                <c:pt idx="2">
                  <c:v>0.12</c:v>
                </c:pt>
                <c:pt idx="3">
                  <c:v>0.1</c:v>
                </c:pt>
                <c:pt idx="4">
                  <c:v>0.1</c:v>
                </c:pt>
                <c:pt idx="5">
                  <c:v>0.13</c:v>
                </c:pt>
                <c:pt idx="6">
                  <c:v>0.14000000000000001</c:v>
                </c:pt>
                <c:pt idx="7">
                  <c:v>0.12</c:v>
                </c:pt>
                <c:pt idx="8" formatCode="0.00%">
                  <c:v>0.159</c:v>
                </c:pt>
                <c:pt idx="9" formatCode="0.00%">
                  <c:v>0.112</c:v>
                </c:pt>
              </c:numCache>
            </c:numRef>
          </c:val>
          <c:extLst>
            <c:ext xmlns:c16="http://schemas.microsoft.com/office/drawing/2014/chart" uri="{C3380CC4-5D6E-409C-BE32-E72D297353CC}">
              <c16:uniqueId val="{00000001-F9FA-42C7-B892-A7BA052DEBB3}"/>
            </c:ext>
          </c:extLst>
        </c:ser>
        <c:ser>
          <c:idx val="2"/>
          <c:order val="2"/>
          <c:tx>
            <c:strRef>
              <c:f>Arkusz1!$D$1</c:f>
              <c:strCache>
                <c:ptCount val="1"/>
                <c:pt idx="0">
                  <c:v>Tak – słyszał/a, ale nikt nie korzystał/a</c:v>
                </c:pt>
              </c:strCache>
            </c:strRef>
          </c:tx>
          <c:spPr>
            <a:solidFill>
              <a:schemeClr val="tx1">
                <a:lumMod val="50000"/>
                <a:lumOff val="50000"/>
              </a:schemeClr>
            </a:solidFill>
            <a:ln>
              <a:noFill/>
            </a:ln>
            <a:effectLst/>
          </c:spPr>
          <c:invertIfNegative val="0"/>
          <c:dLbls>
            <c:dLbl>
              <c:idx val="9"/>
              <c:numFmt formatCode="0%" sourceLinked="0"/>
              <c:spPr>
                <a:solidFill>
                  <a:srgbClr val="00B0F0"/>
                </a:solid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bg1"/>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extLst>
                <c:ext xmlns:c16="http://schemas.microsoft.com/office/drawing/2014/chart" uri="{C3380CC4-5D6E-409C-BE32-E72D297353CC}">
                  <c16:uniqueId val="{00000002-FB5B-4C14-BC91-5DF0E45B1A73}"/>
                </c:ext>
              </c:extLst>
            </c:dLbl>
            <c:numFmt formatCode="0%" sourceLinked="0"/>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bg1"/>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Arkusz1!$A$2:$A$11</c:f>
              <c:strCache>
                <c:ptCount val="10"/>
                <c:pt idx="0">
                  <c:v>2016 N=5366</c:v>
                </c:pt>
                <c:pt idx="1">
                  <c:v>2017 N=919</c:v>
                </c:pt>
                <c:pt idx="2">
                  <c:v>2018 N=5615</c:v>
                </c:pt>
                <c:pt idx="3">
                  <c:v>2019 N=905</c:v>
                </c:pt>
                <c:pt idx="4">
                  <c:v>2020 N=5514</c:v>
                </c:pt>
                <c:pt idx="5">
                  <c:v>2021 N=887</c:v>
                </c:pt>
                <c:pt idx="6">
                  <c:v>2022 N=5279</c:v>
                </c:pt>
                <c:pt idx="7">
                  <c:v>2023 N=888</c:v>
                </c:pt>
                <c:pt idx="8">
                  <c:v>2024 N=5707</c:v>
                </c:pt>
                <c:pt idx="9">
                  <c:v>2025 N=955</c:v>
                </c:pt>
              </c:strCache>
            </c:strRef>
          </c:cat>
          <c:val>
            <c:numRef>
              <c:f>Arkusz1!$D$2:$D$11</c:f>
              <c:numCache>
                <c:formatCode>0%</c:formatCode>
                <c:ptCount val="10"/>
                <c:pt idx="0">
                  <c:v>0.35</c:v>
                </c:pt>
                <c:pt idx="1">
                  <c:v>0.33</c:v>
                </c:pt>
                <c:pt idx="2">
                  <c:v>0.32</c:v>
                </c:pt>
                <c:pt idx="3">
                  <c:v>0.33</c:v>
                </c:pt>
                <c:pt idx="4">
                  <c:v>0.33</c:v>
                </c:pt>
                <c:pt idx="5">
                  <c:v>0.31</c:v>
                </c:pt>
                <c:pt idx="6">
                  <c:v>0.4</c:v>
                </c:pt>
                <c:pt idx="7">
                  <c:v>0.33</c:v>
                </c:pt>
                <c:pt idx="8" formatCode="0.00%">
                  <c:v>0.376</c:v>
                </c:pt>
                <c:pt idx="9" formatCode="0.00%">
                  <c:v>0.17</c:v>
                </c:pt>
              </c:numCache>
            </c:numRef>
          </c:val>
          <c:extLst>
            <c:ext xmlns:c16="http://schemas.microsoft.com/office/drawing/2014/chart" uri="{C3380CC4-5D6E-409C-BE32-E72D297353CC}">
              <c16:uniqueId val="{00000002-F9FA-42C7-B892-A7BA052DEBB3}"/>
            </c:ext>
          </c:extLst>
        </c:ser>
        <c:ser>
          <c:idx val="3"/>
          <c:order val="3"/>
          <c:tx>
            <c:strRef>
              <c:f>Arkusz1!$E$1</c:f>
              <c:strCache>
                <c:ptCount val="1"/>
                <c:pt idx="0">
                  <c:v>Nie – nie słyszał/a</c:v>
                </c:pt>
              </c:strCache>
            </c:strRef>
          </c:tx>
          <c:spPr>
            <a:solidFill>
              <a:schemeClr val="accent4"/>
            </a:solidFill>
            <a:ln>
              <a:noFill/>
            </a:ln>
            <a:effectLst/>
          </c:spPr>
          <c:invertIfNegative val="0"/>
          <c:dLbls>
            <c:dLbl>
              <c:idx val="6"/>
              <c:numFmt formatCode="0%" sourceLinked="0"/>
              <c:spPr>
                <a:solidFill>
                  <a:schemeClr val="accent5"/>
                </a:solid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extLst>
                <c:ext xmlns:c16="http://schemas.microsoft.com/office/drawing/2014/chart" uri="{C3380CC4-5D6E-409C-BE32-E72D297353CC}">
                  <c16:uniqueId val="{00000003-FB5B-4C14-BC91-5DF0E45B1A73}"/>
                </c:ext>
              </c:extLst>
            </c:dLbl>
            <c:dLbl>
              <c:idx val="8"/>
              <c:numFmt formatCode="0%" sourceLinked="0"/>
              <c:spPr>
                <a:solidFill>
                  <a:schemeClr val="accent5"/>
                </a:solid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extLst>
                <c:ext xmlns:c16="http://schemas.microsoft.com/office/drawing/2014/chart" uri="{C3380CC4-5D6E-409C-BE32-E72D297353CC}">
                  <c16:uniqueId val="{00000000-FB5B-4C14-BC91-5DF0E45B1A73}"/>
                </c:ext>
              </c:extLst>
            </c:dLbl>
            <c:numFmt formatCode="0%" sourceLinked="0"/>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Arkusz1!$A$2:$A$11</c:f>
              <c:strCache>
                <c:ptCount val="10"/>
                <c:pt idx="0">
                  <c:v>2016 N=5366</c:v>
                </c:pt>
                <c:pt idx="1">
                  <c:v>2017 N=919</c:v>
                </c:pt>
                <c:pt idx="2">
                  <c:v>2018 N=5615</c:v>
                </c:pt>
                <c:pt idx="3">
                  <c:v>2019 N=905</c:v>
                </c:pt>
                <c:pt idx="4">
                  <c:v>2020 N=5514</c:v>
                </c:pt>
                <c:pt idx="5">
                  <c:v>2021 N=887</c:v>
                </c:pt>
                <c:pt idx="6">
                  <c:v>2022 N=5279</c:v>
                </c:pt>
                <c:pt idx="7">
                  <c:v>2023 N=888</c:v>
                </c:pt>
                <c:pt idx="8">
                  <c:v>2024 N=5707</c:v>
                </c:pt>
                <c:pt idx="9">
                  <c:v>2025 N=955</c:v>
                </c:pt>
              </c:strCache>
            </c:strRef>
          </c:cat>
          <c:val>
            <c:numRef>
              <c:f>Arkusz1!$E$2:$E$11</c:f>
              <c:numCache>
                <c:formatCode>0%</c:formatCode>
                <c:ptCount val="10"/>
                <c:pt idx="0">
                  <c:v>0.48</c:v>
                </c:pt>
                <c:pt idx="1">
                  <c:v>0.45</c:v>
                </c:pt>
                <c:pt idx="2">
                  <c:v>0.5</c:v>
                </c:pt>
                <c:pt idx="3">
                  <c:v>0.5</c:v>
                </c:pt>
                <c:pt idx="4">
                  <c:v>0.49</c:v>
                </c:pt>
                <c:pt idx="5">
                  <c:v>0.48</c:v>
                </c:pt>
                <c:pt idx="6">
                  <c:v>0.41</c:v>
                </c:pt>
                <c:pt idx="7">
                  <c:v>0.49</c:v>
                </c:pt>
                <c:pt idx="8" formatCode="0.00%">
                  <c:v>0.38600000000000001</c:v>
                </c:pt>
                <c:pt idx="9" formatCode="0.00%">
                  <c:v>0.47299999999999998</c:v>
                </c:pt>
              </c:numCache>
            </c:numRef>
          </c:val>
          <c:extLst>
            <c:ext xmlns:c16="http://schemas.microsoft.com/office/drawing/2014/chart" uri="{C3380CC4-5D6E-409C-BE32-E72D297353CC}">
              <c16:uniqueId val="{00000003-F9FA-42C7-B892-A7BA052DEBB3}"/>
            </c:ext>
          </c:extLst>
        </c:ser>
        <c:ser>
          <c:idx val="4"/>
          <c:order val="4"/>
          <c:tx>
            <c:strRef>
              <c:f>Arkusz1!$F$1</c:f>
              <c:strCache>
                <c:ptCount val="1"/>
                <c:pt idx="0">
                  <c:v>Nie wiem / trudno powiedzieć</c:v>
                </c:pt>
              </c:strCache>
            </c:strRef>
          </c:tx>
          <c:spPr>
            <a:solidFill>
              <a:schemeClr val="accent5"/>
            </a:solidFill>
            <a:ln>
              <a:noFill/>
            </a:ln>
            <a:effectLst/>
          </c:spPr>
          <c:invertIfNegative val="0"/>
          <c:dLbls>
            <c:dLbl>
              <c:idx val="9"/>
              <c:numFmt formatCode="0%" sourceLinked="0"/>
              <c:spPr>
                <a:solidFill>
                  <a:srgbClr val="EE0000"/>
                </a:solidFill>
                <a:ln>
                  <a:noFill/>
                </a:ln>
                <a:effectLst/>
              </c:spPr>
              <c:txPr>
                <a:bodyPr rot="0" spcFirstLastPara="1" vertOverflow="ellipsis" vert="horz" wrap="square" lIns="38100" tIns="19050" rIns="38100" bIns="19050" anchor="ctr" anchorCtr="1">
                  <a:noAutofit/>
                </a:bodyPr>
                <a:lstStyle/>
                <a:p>
                  <a:pPr>
                    <a:defRPr sz="1100" b="0" i="0" u="none" strike="noStrike" kern="1200" baseline="0">
                      <a:solidFill>
                        <a:schemeClr val="bg1"/>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extLst>
                <c:ext xmlns:c15="http://schemas.microsoft.com/office/drawing/2012/chart" uri="{CE6537A1-D6FC-4f65-9D91-7224C49458BB}">
                  <c15:layout>
                    <c:manualLayout>
                      <c:w val="0.10170943657949492"/>
                      <c:h val="5.1316338266705425E-2"/>
                    </c:manualLayout>
                  </c15:layout>
                </c:ext>
                <c:ext xmlns:c16="http://schemas.microsoft.com/office/drawing/2014/chart" uri="{C3380CC4-5D6E-409C-BE32-E72D297353CC}">
                  <c16:uniqueId val="{00000004-FB5B-4C14-BC91-5DF0E45B1A73}"/>
                </c:ext>
              </c:extLst>
            </c:dLbl>
            <c:numFmt formatCode="0%" sourceLinked="0"/>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Arkusz1!$A$2:$A$11</c:f>
              <c:strCache>
                <c:ptCount val="10"/>
                <c:pt idx="0">
                  <c:v>2016 N=5366</c:v>
                </c:pt>
                <c:pt idx="1">
                  <c:v>2017 N=919</c:v>
                </c:pt>
                <c:pt idx="2">
                  <c:v>2018 N=5615</c:v>
                </c:pt>
                <c:pt idx="3">
                  <c:v>2019 N=905</c:v>
                </c:pt>
                <c:pt idx="4">
                  <c:v>2020 N=5514</c:v>
                </c:pt>
                <c:pt idx="5">
                  <c:v>2021 N=887</c:v>
                </c:pt>
                <c:pt idx="6">
                  <c:v>2022 N=5279</c:v>
                </c:pt>
                <c:pt idx="7">
                  <c:v>2023 N=888</c:v>
                </c:pt>
                <c:pt idx="8">
                  <c:v>2024 N=5707</c:v>
                </c:pt>
                <c:pt idx="9">
                  <c:v>2025 N=955</c:v>
                </c:pt>
              </c:strCache>
            </c:strRef>
          </c:cat>
          <c:val>
            <c:numRef>
              <c:f>Arkusz1!$F$2:$F$11</c:f>
              <c:numCache>
                <c:formatCode>0%</c:formatCode>
                <c:ptCount val="10"/>
                <c:pt idx="0">
                  <c:v>0.04</c:v>
                </c:pt>
                <c:pt idx="1">
                  <c:v>0.04</c:v>
                </c:pt>
                <c:pt idx="2">
                  <c:v>0.03</c:v>
                </c:pt>
                <c:pt idx="3">
                  <c:v>0.05</c:v>
                </c:pt>
                <c:pt idx="4">
                  <c:v>0.02</c:v>
                </c:pt>
                <c:pt idx="5">
                  <c:v>0.03</c:v>
                </c:pt>
                <c:pt idx="6">
                  <c:v>0.02</c:v>
                </c:pt>
                <c:pt idx="7">
                  <c:v>0.03</c:v>
                </c:pt>
                <c:pt idx="8" formatCode="0.00%">
                  <c:v>2.1000000000000001E-2</c:v>
                </c:pt>
                <c:pt idx="9" formatCode="0.00%">
                  <c:v>0.10199999999999999</c:v>
                </c:pt>
              </c:numCache>
            </c:numRef>
          </c:val>
          <c:extLst>
            <c:ext xmlns:c16="http://schemas.microsoft.com/office/drawing/2014/chart" uri="{C3380CC4-5D6E-409C-BE32-E72D297353CC}">
              <c16:uniqueId val="{00000004-F9FA-42C7-B892-A7BA052DEBB3}"/>
            </c:ext>
          </c:extLst>
        </c:ser>
        <c:dLbls>
          <c:showLegendKey val="0"/>
          <c:showVal val="0"/>
          <c:showCatName val="0"/>
          <c:showSerName val="0"/>
          <c:showPercent val="0"/>
          <c:showBubbleSize val="0"/>
        </c:dLbls>
        <c:gapWidth val="60"/>
        <c:overlap val="100"/>
        <c:axId val="875697471"/>
        <c:axId val="875698911"/>
      </c:barChart>
      <c:catAx>
        <c:axId val="875697471"/>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crossAx val="875698911"/>
        <c:crosses val="autoZero"/>
        <c:auto val="1"/>
        <c:lblAlgn val="ctr"/>
        <c:lblOffset val="100"/>
        <c:noMultiLvlLbl val="0"/>
      </c:catAx>
      <c:valAx>
        <c:axId val="875698911"/>
        <c:scaling>
          <c:orientation val="minMax"/>
        </c:scaling>
        <c:delete val="0"/>
        <c:axPos val="b"/>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crossAx val="875697471"/>
        <c:crosses val="autoZero"/>
        <c:crossBetween val="between"/>
      </c:valAx>
      <c:spPr>
        <a:noFill/>
        <a:ln>
          <a:noFill/>
        </a:ln>
        <a:effectLst/>
      </c:spPr>
    </c:plotArea>
    <c:legend>
      <c:legendPos val="b"/>
      <c:layout>
        <c:manualLayout>
          <c:xMode val="edge"/>
          <c:yMode val="edge"/>
          <c:x val="0"/>
          <c:y val="0.84263975430037541"/>
          <c:w val="1"/>
          <c:h val="0.13809860846045929"/>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pl-PL"/>
    </a:p>
  </c:txPr>
  <c:externalData r:id="rId3">
    <c:autoUpdate val="0"/>
  </c:externalData>
</c:chartSpace>
</file>

<file path=word/charts/chart5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7751687592187429"/>
          <c:y val="1.5151515151515152E-2"/>
          <c:w val="0.78060452887450293"/>
          <c:h val="0.7316127415891196"/>
        </c:manualLayout>
      </c:layout>
      <c:barChart>
        <c:barDir val="bar"/>
        <c:grouping val="percentStacked"/>
        <c:varyColors val="0"/>
        <c:ser>
          <c:idx val="0"/>
          <c:order val="0"/>
          <c:tx>
            <c:strRef>
              <c:f>Arkusz1!$B$1</c:f>
              <c:strCache>
                <c:ptCount val="1"/>
                <c:pt idx="0">
                  <c:v>Tak – sam/a korzystał/a</c:v>
                </c:pt>
              </c:strCache>
            </c:strRef>
          </c:tx>
          <c:spPr>
            <a:solidFill>
              <a:srgbClr val="061A3D"/>
            </a:solidFill>
            <a:ln>
              <a:noFill/>
            </a:ln>
            <a:effectLst/>
          </c:spPr>
          <c:invertIfNegative val="0"/>
          <c:dLbls>
            <c:numFmt formatCode="0%" sourceLinked="0"/>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bg1"/>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Arkusz1!$A$2:$A$11</c:f>
              <c:strCache>
                <c:ptCount val="10"/>
                <c:pt idx="0">
                  <c:v>2016 N=5366</c:v>
                </c:pt>
                <c:pt idx="1">
                  <c:v>2017 N=919</c:v>
                </c:pt>
                <c:pt idx="2">
                  <c:v>2018 N=5615</c:v>
                </c:pt>
                <c:pt idx="3">
                  <c:v>2019 N=905</c:v>
                </c:pt>
                <c:pt idx="4">
                  <c:v>2020 N=5514</c:v>
                </c:pt>
                <c:pt idx="5">
                  <c:v>2021 N=887</c:v>
                </c:pt>
                <c:pt idx="6">
                  <c:v>2022 N=5279</c:v>
                </c:pt>
                <c:pt idx="7">
                  <c:v>2023 N=888</c:v>
                </c:pt>
                <c:pt idx="8">
                  <c:v>2024 N=5707</c:v>
                </c:pt>
                <c:pt idx="9">
                  <c:v>2025 N=955</c:v>
                </c:pt>
              </c:strCache>
            </c:strRef>
          </c:cat>
          <c:val>
            <c:numRef>
              <c:f>Arkusz1!$B$2:$B$11</c:f>
              <c:numCache>
                <c:formatCode>0%</c:formatCode>
                <c:ptCount val="10"/>
                <c:pt idx="0">
                  <c:v>0.05</c:v>
                </c:pt>
                <c:pt idx="1">
                  <c:v>0.09</c:v>
                </c:pt>
                <c:pt idx="2">
                  <c:v>0.05</c:v>
                </c:pt>
                <c:pt idx="3">
                  <c:v>0.1</c:v>
                </c:pt>
                <c:pt idx="4">
                  <c:v>7.0000000000000007E-2</c:v>
                </c:pt>
                <c:pt idx="5">
                  <c:v>0.1</c:v>
                </c:pt>
                <c:pt idx="6">
                  <c:v>0.06</c:v>
                </c:pt>
                <c:pt idx="7">
                  <c:v>7.0000000000000007E-2</c:v>
                </c:pt>
                <c:pt idx="8" formatCode="0.00%">
                  <c:v>7.0999999999999994E-2</c:v>
                </c:pt>
                <c:pt idx="9" formatCode="0.00%">
                  <c:v>3.5999999999999997E-2</c:v>
                </c:pt>
              </c:numCache>
            </c:numRef>
          </c:val>
          <c:extLst>
            <c:ext xmlns:c16="http://schemas.microsoft.com/office/drawing/2014/chart" uri="{C3380CC4-5D6E-409C-BE32-E72D297353CC}">
              <c16:uniqueId val="{00000000-F06A-4CA6-A75F-B4DDC0F476A9}"/>
            </c:ext>
          </c:extLst>
        </c:ser>
        <c:ser>
          <c:idx val="1"/>
          <c:order val="1"/>
          <c:tx>
            <c:strRef>
              <c:f>Arkusz1!$C$1</c:f>
              <c:strCache>
                <c:ptCount val="1"/>
                <c:pt idx="0">
                  <c:v>Tak – ktoś z bliskich korzystał</c:v>
                </c:pt>
              </c:strCache>
            </c:strRef>
          </c:tx>
          <c:spPr>
            <a:solidFill>
              <a:schemeClr val="bg1">
                <a:lumMod val="85000"/>
              </a:schemeClr>
            </a:solidFill>
            <a:ln>
              <a:noFill/>
            </a:ln>
            <a:effectLst/>
          </c:spPr>
          <c:invertIfNegative val="0"/>
          <c:dLbls>
            <c:dLbl>
              <c:idx val="5"/>
              <c:numFmt formatCode="0%" sourceLinked="0"/>
              <c:spPr>
                <a:solidFill>
                  <a:srgbClr val="EE0000"/>
                </a:solid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bg1"/>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extLst>
                <c:ext xmlns:c16="http://schemas.microsoft.com/office/drawing/2014/chart" uri="{C3380CC4-5D6E-409C-BE32-E72D297353CC}">
                  <c16:uniqueId val="{00000004-8EF8-4E23-B76C-BB93FA9E3EB2}"/>
                </c:ext>
              </c:extLst>
            </c:dLbl>
            <c:numFmt formatCode="0%" sourceLinked="0"/>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Arkusz1!$A$2:$A$11</c:f>
              <c:strCache>
                <c:ptCount val="10"/>
                <c:pt idx="0">
                  <c:v>2016 N=5366</c:v>
                </c:pt>
                <c:pt idx="1">
                  <c:v>2017 N=919</c:v>
                </c:pt>
                <c:pt idx="2">
                  <c:v>2018 N=5615</c:v>
                </c:pt>
                <c:pt idx="3">
                  <c:v>2019 N=905</c:v>
                </c:pt>
                <c:pt idx="4">
                  <c:v>2020 N=5514</c:v>
                </c:pt>
                <c:pt idx="5">
                  <c:v>2021 N=887</c:v>
                </c:pt>
                <c:pt idx="6">
                  <c:v>2022 N=5279</c:v>
                </c:pt>
                <c:pt idx="7">
                  <c:v>2023 N=888</c:v>
                </c:pt>
                <c:pt idx="8">
                  <c:v>2024 N=5707</c:v>
                </c:pt>
                <c:pt idx="9">
                  <c:v>2025 N=955</c:v>
                </c:pt>
              </c:strCache>
            </c:strRef>
          </c:cat>
          <c:val>
            <c:numRef>
              <c:f>Arkusz1!$C$2:$C$11</c:f>
              <c:numCache>
                <c:formatCode>0%</c:formatCode>
                <c:ptCount val="10"/>
                <c:pt idx="0">
                  <c:v>0.08</c:v>
                </c:pt>
                <c:pt idx="1">
                  <c:v>0.13</c:v>
                </c:pt>
                <c:pt idx="2">
                  <c:v>0.1</c:v>
                </c:pt>
                <c:pt idx="3">
                  <c:v>0.1</c:v>
                </c:pt>
                <c:pt idx="4">
                  <c:v>0.1</c:v>
                </c:pt>
                <c:pt idx="5">
                  <c:v>0.15</c:v>
                </c:pt>
                <c:pt idx="6">
                  <c:v>0.12</c:v>
                </c:pt>
                <c:pt idx="7">
                  <c:v>0.1</c:v>
                </c:pt>
                <c:pt idx="8" formatCode="0.00%">
                  <c:v>0.159</c:v>
                </c:pt>
                <c:pt idx="9" formatCode="0.00%">
                  <c:v>0.105</c:v>
                </c:pt>
              </c:numCache>
            </c:numRef>
          </c:val>
          <c:extLst>
            <c:ext xmlns:c16="http://schemas.microsoft.com/office/drawing/2014/chart" uri="{C3380CC4-5D6E-409C-BE32-E72D297353CC}">
              <c16:uniqueId val="{00000001-F06A-4CA6-A75F-B4DDC0F476A9}"/>
            </c:ext>
          </c:extLst>
        </c:ser>
        <c:ser>
          <c:idx val="2"/>
          <c:order val="2"/>
          <c:tx>
            <c:strRef>
              <c:f>Arkusz1!$D$1</c:f>
              <c:strCache>
                <c:ptCount val="1"/>
                <c:pt idx="0">
                  <c:v>Tak – słyszał/a, ale nikt nie korzystał/a</c:v>
                </c:pt>
              </c:strCache>
            </c:strRef>
          </c:tx>
          <c:spPr>
            <a:solidFill>
              <a:schemeClr val="tx1">
                <a:lumMod val="50000"/>
                <a:lumOff val="50000"/>
              </a:schemeClr>
            </a:solidFill>
            <a:ln>
              <a:noFill/>
            </a:ln>
            <a:effectLst/>
          </c:spPr>
          <c:invertIfNegative val="0"/>
          <c:dLbls>
            <c:dLbl>
              <c:idx val="1"/>
              <c:numFmt formatCode="0%" sourceLinked="0"/>
              <c:spPr>
                <a:solidFill>
                  <a:srgbClr val="00B0F0"/>
                </a:solid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bg1"/>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extLst>
                <c:ext xmlns:c16="http://schemas.microsoft.com/office/drawing/2014/chart" uri="{C3380CC4-5D6E-409C-BE32-E72D297353CC}">
                  <c16:uniqueId val="{00000005-8EF8-4E23-B76C-BB93FA9E3EB2}"/>
                </c:ext>
              </c:extLst>
            </c:dLbl>
            <c:dLbl>
              <c:idx val="9"/>
              <c:numFmt formatCode="0%" sourceLinked="0"/>
              <c:spPr>
                <a:solidFill>
                  <a:srgbClr val="00B0F0"/>
                </a:solid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bg1"/>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extLst>
                <c:ext xmlns:c16="http://schemas.microsoft.com/office/drawing/2014/chart" uri="{C3380CC4-5D6E-409C-BE32-E72D297353CC}">
                  <c16:uniqueId val="{00000003-8EF8-4E23-B76C-BB93FA9E3EB2}"/>
                </c:ext>
              </c:extLst>
            </c:dLbl>
            <c:numFmt formatCode="0%" sourceLinked="0"/>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bg1"/>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Arkusz1!$A$2:$A$11</c:f>
              <c:strCache>
                <c:ptCount val="10"/>
                <c:pt idx="0">
                  <c:v>2016 N=5366</c:v>
                </c:pt>
                <c:pt idx="1">
                  <c:v>2017 N=919</c:v>
                </c:pt>
                <c:pt idx="2">
                  <c:v>2018 N=5615</c:v>
                </c:pt>
                <c:pt idx="3">
                  <c:v>2019 N=905</c:v>
                </c:pt>
                <c:pt idx="4">
                  <c:v>2020 N=5514</c:v>
                </c:pt>
                <c:pt idx="5">
                  <c:v>2021 N=887</c:v>
                </c:pt>
                <c:pt idx="6">
                  <c:v>2022 N=5279</c:v>
                </c:pt>
                <c:pt idx="7">
                  <c:v>2023 N=888</c:v>
                </c:pt>
                <c:pt idx="8">
                  <c:v>2024 N=5707</c:v>
                </c:pt>
                <c:pt idx="9">
                  <c:v>2025 N=955</c:v>
                </c:pt>
              </c:strCache>
            </c:strRef>
          </c:cat>
          <c:val>
            <c:numRef>
              <c:f>Arkusz1!$D$2:$D$11</c:f>
              <c:numCache>
                <c:formatCode>0%</c:formatCode>
                <c:ptCount val="10"/>
                <c:pt idx="0">
                  <c:v>0.35</c:v>
                </c:pt>
                <c:pt idx="1">
                  <c:v>0.31</c:v>
                </c:pt>
                <c:pt idx="2">
                  <c:v>0.31</c:v>
                </c:pt>
                <c:pt idx="3">
                  <c:v>0.32</c:v>
                </c:pt>
                <c:pt idx="4">
                  <c:v>0.33</c:v>
                </c:pt>
                <c:pt idx="5">
                  <c:v>0.31</c:v>
                </c:pt>
                <c:pt idx="6">
                  <c:v>0.4</c:v>
                </c:pt>
                <c:pt idx="7">
                  <c:v>0.37</c:v>
                </c:pt>
                <c:pt idx="8" formatCode="0.00%">
                  <c:v>0.376</c:v>
                </c:pt>
                <c:pt idx="9" formatCode="0.00%">
                  <c:v>0.3</c:v>
                </c:pt>
              </c:numCache>
            </c:numRef>
          </c:val>
          <c:extLst>
            <c:ext xmlns:c16="http://schemas.microsoft.com/office/drawing/2014/chart" uri="{C3380CC4-5D6E-409C-BE32-E72D297353CC}">
              <c16:uniqueId val="{00000002-F06A-4CA6-A75F-B4DDC0F476A9}"/>
            </c:ext>
          </c:extLst>
        </c:ser>
        <c:ser>
          <c:idx val="3"/>
          <c:order val="3"/>
          <c:tx>
            <c:strRef>
              <c:f>Arkusz1!$E$1</c:f>
              <c:strCache>
                <c:ptCount val="1"/>
                <c:pt idx="0">
                  <c:v>Nie – nie słyszał/a</c:v>
                </c:pt>
              </c:strCache>
            </c:strRef>
          </c:tx>
          <c:spPr>
            <a:solidFill>
              <a:schemeClr val="accent4"/>
            </a:solidFill>
            <a:ln>
              <a:noFill/>
            </a:ln>
            <a:effectLst/>
          </c:spPr>
          <c:invertIfNegative val="0"/>
          <c:dLbls>
            <c:dLbl>
              <c:idx val="6"/>
              <c:numFmt formatCode="0%" sourceLinked="0"/>
              <c:spPr>
                <a:solidFill>
                  <a:srgbClr val="00B0F0"/>
                </a:solid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bg1"/>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extLst>
                <c:ext xmlns:c16="http://schemas.microsoft.com/office/drawing/2014/chart" uri="{C3380CC4-5D6E-409C-BE32-E72D297353CC}">
                  <c16:uniqueId val="{00000002-8EF8-4E23-B76C-BB93FA9E3EB2}"/>
                </c:ext>
              </c:extLst>
            </c:dLbl>
            <c:dLbl>
              <c:idx val="8"/>
              <c:numFmt formatCode="0%" sourceLinked="0"/>
              <c:spPr>
                <a:solidFill>
                  <a:srgbClr val="00B0F0"/>
                </a:solid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bg1"/>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extLst>
                <c:ext xmlns:c16="http://schemas.microsoft.com/office/drawing/2014/chart" uri="{C3380CC4-5D6E-409C-BE32-E72D297353CC}">
                  <c16:uniqueId val="{00000000-8EF8-4E23-B76C-BB93FA9E3EB2}"/>
                </c:ext>
              </c:extLst>
            </c:dLbl>
            <c:numFmt formatCode="0%" sourceLinked="0"/>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Arkusz1!$A$2:$A$11</c:f>
              <c:strCache>
                <c:ptCount val="10"/>
                <c:pt idx="0">
                  <c:v>2016 N=5366</c:v>
                </c:pt>
                <c:pt idx="1">
                  <c:v>2017 N=919</c:v>
                </c:pt>
                <c:pt idx="2">
                  <c:v>2018 N=5615</c:v>
                </c:pt>
                <c:pt idx="3">
                  <c:v>2019 N=905</c:v>
                </c:pt>
                <c:pt idx="4">
                  <c:v>2020 N=5514</c:v>
                </c:pt>
                <c:pt idx="5">
                  <c:v>2021 N=887</c:v>
                </c:pt>
                <c:pt idx="6">
                  <c:v>2022 N=5279</c:v>
                </c:pt>
                <c:pt idx="7">
                  <c:v>2023 N=888</c:v>
                </c:pt>
                <c:pt idx="8">
                  <c:v>2024 N=5707</c:v>
                </c:pt>
                <c:pt idx="9">
                  <c:v>2025 N=955</c:v>
                </c:pt>
              </c:strCache>
            </c:strRef>
          </c:cat>
          <c:val>
            <c:numRef>
              <c:f>Arkusz1!$E$2:$E$11</c:f>
              <c:numCache>
                <c:formatCode>0%</c:formatCode>
                <c:ptCount val="10"/>
                <c:pt idx="0">
                  <c:v>0.49</c:v>
                </c:pt>
                <c:pt idx="1">
                  <c:v>0.49</c:v>
                </c:pt>
                <c:pt idx="2">
                  <c:v>0.52</c:v>
                </c:pt>
                <c:pt idx="3">
                  <c:v>0.52</c:v>
                </c:pt>
                <c:pt idx="4">
                  <c:v>0.49</c:v>
                </c:pt>
                <c:pt idx="5">
                  <c:v>0.41</c:v>
                </c:pt>
                <c:pt idx="6">
                  <c:v>0.4</c:v>
                </c:pt>
                <c:pt idx="7">
                  <c:v>0.44</c:v>
                </c:pt>
                <c:pt idx="8" formatCode="0.00%">
                  <c:v>0.38600000000000001</c:v>
                </c:pt>
                <c:pt idx="9" formatCode="0.00%">
                  <c:v>0.43</c:v>
                </c:pt>
              </c:numCache>
            </c:numRef>
          </c:val>
          <c:extLst>
            <c:ext xmlns:c16="http://schemas.microsoft.com/office/drawing/2014/chart" uri="{C3380CC4-5D6E-409C-BE32-E72D297353CC}">
              <c16:uniqueId val="{00000003-F06A-4CA6-A75F-B4DDC0F476A9}"/>
            </c:ext>
          </c:extLst>
        </c:ser>
        <c:ser>
          <c:idx val="4"/>
          <c:order val="4"/>
          <c:tx>
            <c:strRef>
              <c:f>Arkusz1!$F$1</c:f>
              <c:strCache>
                <c:ptCount val="1"/>
                <c:pt idx="0">
                  <c:v>Nie wiem / trudno powiedzieć</c:v>
                </c:pt>
              </c:strCache>
            </c:strRef>
          </c:tx>
          <c:spPr>
            <a:solidFill>
              <a:schemeClr val="accent5"/>
            </a:solidFill>
            <a:ln>
              <a:noFill/>
            </a:ln>
            <a:effectLst/>
          </c:spPr>
          <c:invertIfNegative val="0"/>
          <c:dLbls>
            <c:dLbl>
              <c:idx val="9"/>
              <c:numFmt formatCode="0%" sourceLinked="0"/>
              <c:spPr>
                <a:solidFill>
                  <a:srgbClr val="EE0000"/>
                </a:solidFill>
                <a:ln>
                  <a:noFill/>
                </a:ln>
                <a:effectLst/>
              </c:spPr>
              <c:txPr>
                <a:bodyPr rot="0" spcFirstLastPara="1" vertOverflow="ellipsis" vert="horz" wrap="square" lIns="38100" tIns="19050" rIns="38100" bIns="19050" anchor="ctr" anchorCtr="1">
                  <a:noAutofit/>
                </a:bodyPr>
                <a:lstStyle/>
                <a:p>
                  <a:pPr>
                    <a:defRPr sz="1100" b="0" i="0" u="none" strike="noStrike" kern="1200" baseline="0">
                      <a:solidFill>
                        <a:schemeClr val="bg1"/>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extLst>
                <c:ext xmlns:c15="http://schemas.microsoft.com/office/drawing/2012/chart" uri="{CE6537A1-D6FC-4f65-9D91-7224C49458BB}">
                  <c15:layout>
                    <c:manualLayout>
                      <c:w val="6.1469998541848939E-2"/>
                      <c:h val="5.1316338266705425E-2"/>
                    </c:manualLayout>
                  </c15:layout>
                </c:ext>
                <c:ext xmlns:c16="http://schemas.microsoft.com/office/drawing/2014/chart" uri="{C3380CC4-5D6E-409C-BE32-E72D297353CC}">
                  <c16:uniqueId val="{00000001-8EF8-4E23-B76C-BB93FA9E3EB2}"/>
                </c:ext>
              </c:extLst>
            </c:dLbl>
            <c:numFmt formatCode="0%" sourceLinked="0"/>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Arkusz1!$A$2:$A$11</c:f>
              <c:strCache>
                <c:ptCount val="10"/>
                <c:pt idx="0">
                  <c:v>2016 N=5366</c:v>
                </c:pt>
                <c:pt idx="1">
                  <c:v>2017 N=919</c:v>
                </c:pt>
                <c:pt idx="2">
                  <c:v>2018 N=5615</c:v>
                </c:pt>
                <c:pt idx="3">
                  <c:v>2019 N=905</c:v>
                </c:pt>
                <c:pt idx="4">
                  <c:v>2020 N=5514</c:v>
                </c:pt>
                <c:pt idx="5">
                  <c:v>2021 N=887</c:v>
                </c:pt>
                <c:pt idx="6">
                  <c:v>2022 N=5279</c:v>
                </c:pt>
                <c:pt idx="7">
                  <c:v>2023 N=888</c:v>
                </c:pt>
                <c:pt idx="8">
                  <c:v>2024 N=5707</c:v>
                </c:pt>
                <c:pt idx="9">
                  <c:v>2025 N=955</c:v>
                </c:pt>
              </c:strCache>
            </c:strRef>
          </c:cat>
          <c:val>
            <c:numRef>
              <c:f>Arkusz1!$F$2:$F$11</c:f>
              <c:numCache>
                <c:formatCode>0%</c:formatCode>
                <c:ptCount val="10"/>
                <c:pt idx="0">
                  <c:v>0.04</c:v>
                </c:pt>
                <c:pt idx="1">
                  <c:v>0.04</c:v>
                </c:pt>
                <c:pt idx="2">
                  <c:v>0.03</c:v>
                </c:pt>
                <c:pt idx="3">
                  <c:v>0.04</c:v>
                </c:pt>
                <c:pt idx="4">
                  <c:v>0.02</c:v>
                </c:pt>
                <c:pt idx="5">
                  <c:v>0.03</c:v>
                </c:pt>
                <c:pt idx="6">
                  <c:v>0.02</c:v>
                </c:pt>
                <c:pt idx="7">
                  <c:v>0.02</c:v>
                </c:pt>
                <c:pt idx="8" formatCode="0.00%">
                  <c:v>2.1000000000000001E-2</c:v>
                </c:pt>
                <c:pt idx="9" formatCode="0.00%">
                  <c:v>0.114</c:v>
                </c:pt>
              </c:numCache>
            </c:numRef>
          </c:val>
          <c:extLst>
            <c:ext xmlns:c16="http://schemas.microsoft.com/office/drawing/2014/chart" uri="{C3380CC4-5D6E-409C-BE32-E72D297353CC}">
              <c16:uniqueId val="{00000004-F06A-4CA6-A75F-B4DDC0F476A9}"/>
            </c:ext>
          </c:extLst>
        </c:ser>
        <c:dLbls>
          <c:showLegendKey val="0"/>
          <c:showVal val="0"/>
          <c:showCatName val="0"/>
          <c:showSerName val="0"/>
          <c:showPercent val="0"/>
          <c:showBubbleSize val="0"/>
        </c:dLbls>
        <c:gapWidth val="60"/>
        <c:overlap val="100"/>
        <c:axId val="875697471"/>
        <c:axId val="875698911"/>
      </c:barChart>
      <c:catAx>
        <c:axId val="875697471"/>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crossAx val="875698911"/>
        <c:crosses val="autoZero"/>
        <c:auto val="1"/>
        <c:lblAlgn val="ctr"/>
        <c:lblOffset val="100"/>
        <c:noMultiLvlLbl val="0"/>
      </c:catAx>
      <c:valAx>
        <c:axId val="875698911"/>
        <c:scaling>
          <c:orientation val="minMax"/>
        </c:scaling>
        <c:delete val="0"/>
        <c:axPos val="b"/>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crossAx val="875697471"/>
        <c:crosses val="autoZero"/>
        <c:crossBetween val="between"/>
      </c:valAx>
      <c:spPr>
        <a:noFill/>
        <a:ln>
          <a:noFill/>
        </a:ln>
        <a:effectLst/>
      </c:spPr>
    </c:plotArea>
    <c:legend>
      <c:legendPos val="b"/>
      <c:layout>
        <c:manualLayout>
          <c:xMode val="edge"/>
          <c:yMode val="edge"/>
          <c:x val="2.2699875923571627E-2"/>
          <c:y val="0.82382174138345077"/>
          <c:w val="0.94166642620847218"/>
          <c:h val="0.15691662137738402"/>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pl-PL"/>
    </a:p>
  </c:txPr>
  <c:externalData r:id="rId3">
    <c:autoUpdate val="0"/>
  </c:externalData>
</c:chartSpace>
</file>

<file path=word/charts/chart5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percentStacked"/>
        <c:varyColors val="0"/>
        <c:ser>
          <c:idx val="0"/>
          <c:order val="0"/>
          <c:tx>
            <c:strRef>
              <c:f>Arkusz1!$B$1</c:f>
              <c:strCache>
                <c:ptCount val="1"/>
                <c:pt idx="0">
                  <c:v>bardzo często</c:v>
                </c:pt>
              </c:strCache>
            </c:strRef>
          </c:tx>
          <c:spPr>
            <a:solidFill>
              <a:srgbClr val="061A3D"/>
            </a:solidFill>
            <a:ln>
              <a:noFill/>
            </a:ln>
            <a:effectLst/>
          </c:spPr>
          <c:invertIfNegative val="0"/>
          <c:dLbls>
            <c:dLbl>
              <c:idx val="0"/>
              <c:layout>
                <c:manualLayout>
                  <c:x val="4.1384831831855085E-3"/>
                  <c:y val="0"/>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C6D-4782-B6E0-CF10A128793D}"/>
                </c:ext>
              </c:extLst>
            </c:dLbl>
            <c:dLbl>
              <c:idx val="1"/>
              <c:layout>
                <c:manualLayout>
                  <c:x val="3.7423727759597672E-3"/>
                  <c:y val="2.9427161392534172E-17"/>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C6D-4782-B6E0-CF10A128793D}"/>
                </c:ext>
              </c:extLst>
            </c:dLbl>
            <c:dLbl>
              <c:idx val="2"/>
              <c:layout>
                <c:manualLayout>
                  <c:x val="5.8608172497687542E-4"/>
                  <c:y val="4.4943820224719162E-2"/>
                </c:manualLayout>
              </c:layout>
              <c:numFmt formatCode="0%" sourceLinked="0"/>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solidFill>
                      <a:latin typeface="+mn-lt"/>
                      <a:ea typeface="+mn-ea"/>
                      <a:cs typeface="+mn-cs"/>
                    </a:defRPr>
                  </a:pPr>
                  <a:endParaRPr lang="pl-PL"/>
                </a:p>
              </c:txPr>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C6D-4782-B6E0-CF10A128793D}"/>
                </c:ext>
              </c:extLst>
            </c:dLbl>
            <c:dLbl>
              <c:idx val="4"/>
              <c:layout>
                <c:manualLayout>
                  <c:x val="-3.7588514663702576E-3"/>
                  <c:y val="4.1733547351524937E-2"/>
                </c:manualLayout>
              </c:layout>
              <c:numFmt formatCode="0%" sourceLinked="0"/>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solidFill>
                      <a:latin typeface="+mn-lt"/>
                      <a:ea typeface="+mn-ea"/>
                      <a:cs typeface="+mn-cs"/>
                    </a:defRPr>
                  </a:pPr>
                  <a:endParaRPr lang="pl-PL"/>
                </a:p>
              </c:txPr>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C6D-4782-B6E0-CF10A128793D}"/>
                </c:ext>
              </c:extLst>
            </c:dLbl>
            <c:dLbl>
              <c:idx val="5"/>
              <c:layout>
                <c:manualLayout>
                  <c:x val="1.7680391135708234E-3"/>
                  <c:y val="0"/>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DC6D-4782-B6E0-CF10A128793D}"/>
                </c:ext>
              </c:extLst>
            </c:dLbl>
            <c:dLbl>
              <c:idx val="7"/>
              <c:layout>
                <c:manualLayout>
                  <c:x val="6.0866996758672685E-3"/>
                  <c:y val="-2.2070371044400629E-17"/>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FEB-4123-ADEB-D8DF4B75EC5E}"/>
                </c:ext>
              </c:extLst>
            </c:dLbl>
            <c:numFmt formatCode="0%" sourceLinked="0"/>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bg1"/>
                    </a:solidFill>
                    <a:latin typeface="+mn-lt"/>
                    <a:ea typeface="+mn-ea"/>
                    <a:cs typeface="+mn-cs"/>
                  </a:defRPr>
                </a:pPr>
                <a:endParaRPr lang="pl-PL"/>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Arkusz1!$A$2:$A$9</c:f>
              <c:strCache>
                <c:ptCount val="8"/>
                <c:pt idx="0">
                  <c:v>2018 N=5615</c:v>
                </c:pt>
                <c:pt idx="1">
                  <c:v>2019 N=905</c:v>
                </c:pt>
                <c:pt idx="2">
                  <c:v>2020 N=5514</c:v>
                </c:pt>
                <c:pt idx="3">
                  <c:v>2021 N=887</c:v>
                </c:pt>
                <c:pt idx="4">
                  <c:v>2022 N=5279</c:v>
                </c:pt>
                <c:pt idx="5">
                  <c:v>2023 N=888</c:v>
                </c:pt>
                <c:pt idx="6">
                  <c:v>2024 N=5707</c:v>
                </c:pt>
                <c:pt idx="7">
                  <c:v>2025 N=955</c:v>
                </c:pt>
              </c:strCache>
            </c:strRef>
          </c:cat>
          <c:val>
            <c:numRef>
              <c:f>Arkusz1!$B$2:$B$9</c:f>
              <c:numCache>
                <c:formatCode>0%</c:formatCode>
                <c:ptCount val="8"/>
                <c:pt idx="0">
                  <c:v>0.02</c:v>
                </c:pt>
                <c:pt idx="1">
                  <c:v>0.03</c:v>
                </c:pt>
                <c:pt idx="2">
                  <c:v>0.01</c:v>
                </c:pt>
                <c:pt idx="3">
                  <c:v>0.05</c:v>
                </c:pt>
                <c:pt idx="4">
                  <c:v>0.02</c:v>
                </c:pt>
                <c:pt idx="5">
                  <c:v>0.03</c:v>
                </c:pt>
                <c:pt idx="6" formatCode="0.00%">
                  <c:v>5.6000000000000001E-2</c:v>
                </c:pt>
                <c:pt idx="7" formatCode="0.00%">
                  <c:v>0.02</c:v>
                </c:pt>
              </c:numCache>
            </c:numRef>
          </c:val>
          <c:extLst>
            <c:ext xmlns:c16="http://schemas.microsoft.com/office/drawing/2014/chart" uri="{C3380CC4-5D6E-409C-BE32-E72D297353CC}">
              <c16:uniqueId val="{00000000-B89D-46D4-BF86-874C0EEEA037}"/>
            </c:ext>
          </c:extLst>
        </c:ser>
        <c:ser>
          <c:idx val="1"/>
          <c:order val="1"/>
          <c:tx>
            <c:strRef>
              <c:f>Arkusz1!$C$1</c:f>
              <c:strCache>
                <c:ptCount val="1"/>
                <c:pt idx="0">
                  <c:v>często</c:v>
                </c:pt>
              </c:strCache>
            </c:strRef>
          </c:tx>
          <c:spPr>
            <a:solidFill>
              <a:schemeClr val="bg1">
                <a:lumMod val="85000"/>
              </a:schemeClr>
            </a:solidFill>
            <a:ln>
              <a:noFill/>
            </a:ln>
            <a:effectLst/>
          </c:spPr>
          <c:invertIfNegative val="0"/>
          <c:dLbls>
            <c:dLbl>
              <c:idx val="2"/>
              <c:numFmt formatCode="0%" sourceLinked="0"/>
              <c:spPr>
                <a:solidFill>
                  <a:srgbClr val="00B0F0"/>
                </a:solid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bg1"/>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extLst>
                <c:ext xmlns:c16="http://schemas.microsoft.com/office/drawing/2014/chart" uri="{C3380CC4-5D6E-409C-BE32-E72D297353CC}">
                  <c16:uniqueId val="{00000005-1EEB-4C3F-8941-47AE6C2F75D8}"/>
                </c:ext>
              </c:extLst>
            </c:dLbl>
            <c:dLbl>
              <c:idx val="5"/>
              <c:numFmt formatCode="0%" sourceLinked="0"/>
              <c:spPr>
                <a:solidFill>
                  <a:srgbClr val="EE0000"/>
                </a:solid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bg1"/>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extLst>
                <c:ext xmlns:c16="http://schemas.microsoft.com/office/drawing/2014/chart" uri="{C3380CC4-5D6E-409C-BE32-E72D297353CC}">
                  <c16:uniqueId val="{00000002-1EEB-4C3F-8941-47AE6C2F75D8}"/>
                </c:ext>
              </c:extLst>
            </c:dLbl>
            <c:dLbl>
              <c:idx val="6"/>
              <c:numFmt formatCode="0%" sourceLinked="0"/>
              <c:spPr>
                <a:solidFill>
                  <a:srgbClr val="EE0000"/>
                </a:solid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bg1"/>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extLst>
                <c:ext xmlns:c16="http://schemas.microsoft.com/office/drawing/2014/chart" uri="{C3380CC4-5D6E-409C-BE32-E72D297353CC}">
                  <c16:uniqueId val="{00000001-1EEB-4C3F-8941-47AE6C2F75D8}"/>
                </c:ext>
              </c:extLst>
            </c:dLbl>
            <c:numFmt formatCode="0%" sourceLinked="0"/>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Arkusz1!$A$2:$A$9</c:f>
              <c:strCache>
                <c:ptCount val="8"/>
                <c:pt idx="0">
                  <c:v>2018 N=5615</c:v>
                </c:pt>
                <c:pt idx="1">
                  <c:v>2019 N=905</c:v>
                </c:pt>
                <c:pt idx="2">
                  <c:v>2020 N=5514</c:v>
                </c:pt>
                <c:pt idx="3">
                  <c:v>2021 N=887</c:v>
                </c:pt>
                <c:pt idx="4">
                  <c:v>2022 N=5279</c:v>
                </c:pt>
                <c:pt idx="5">
                  <c:v>2023 N=888</c:v>
                </c:pt>
                <c:pt idx="6">
                  <c:v>2024 N=5707</c:v>
                </c:pt>
                <c:pt idx="7">
                  <c:v>2025 N=955</c:v>
                </c:pt>
              </c:strCache>
            </c:strRef>
          </c:cat>
          <c:val>
            <c:numRef>
              <c:f>Arkusz1!$C$2:$C$9</c:f>
              <c:numCache>
                <c:formatCode>0%</c:formatCode>
                <c:ptCount val="8"/>
                <c:pt idx="0">
                  <c:v>0.13</c:v>
                </c:pt>
                <c:pt idx="1">
                  <c:v>0.11</c:v>
                </c:pt>
                <c:pt idx="2">
                  <c:v>0.09</c:v>
                </c:pt>
                <c:pt idx="3">
                  <c:v>0.16</c:v>
                </c:pt>
                <c:pt idx="4">
                  <c:v>0.12</c:v>
                </c:pt>
                <c:pt idx="5">
                  <c:v>0.2</c:v>
                </c:pt>
                <c:pt idx="6" formatCode="0.00%">
                  <c:v>0.20699999999999999</c:v>
                </c:pt>
                <c:pt idx="7" formatCode="0.00%">
                  <c:v>0.11700000000000001</c:v>
                </c:pt>
              </c:numCache>
            </c:numRef>
          </c:val>
          <c:extLst>
            <c:ext xmlns:c16="http://schemas.microsoft.com/office/drawing/2014/chart" uri="{C3380CC4-5D6E-409C-BE32-E72D297353CC}">
              <c16:uniqueId val="{00000001-B89D-46D4-BF86-874C0EEEA037}"/>
            </c:ext>
          </c:extLst>
        </c:ser>
        <c:ser>
          <c:idx val="2"/>
          <c:order val="2"/>
          <c:tx>
            <c:strRef>
              <c:f>Arkusz1!$D$1</c:f>
              <c:strCache>
                <c:ptCount val="1"/>
                <c:pt idx="0">
                  <c:v>ani często ani rzadko</c:v>
                </c:pt>
              </c:strCache>
            </c:strRef>
          </c:tx>
          <c:spPr>
            <a:solidFill>
              <a:schemeClr val="tx1">
                <a:lumMod val="50000"/>
                <a:lumOff val="50000"/>
              </a:schemeClr>
            </a:solidFill>
            <a:ln>
              <a:noFill/>
            </a:ln>
            <a:effectLst/>
          </c:spPr>
          <c:invertIfNegative val="0"/>
          <c:dLbls>
            <c:numFmt formatCode="0%" sourceLinked="0"/>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bg1"/>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Arkusz1!$A$2:$A$9</c:f>
              <c:strCache>
                <c:ptCount val="8"/>
                <c:pt idx="0">
                  <c:v>2018 N=5615</c:v>
                </c:pt>
                <c:pt idx="1">
                  <c:v>2019 N=905</c:v>
                </c:pt>
                <c:pt idx="2">
                  <c:v>2020 N=5514</c:v>
                </c:pt>
                <c:pt idx="3">
                  <c:v>2021 N=887</c:v>
                </c:pt>
                <c:pt idx="4">
                  <c:v>2022 N=5279</c:v>
                </c:pt>
                <c:pt idx="5">
                  <c:v>2023 N=888</c:v>
                </c:pt>
                <c:pt idx="6">
                  <c:v>2024 N=5707</c:v>
                </c:pt>
                <c:pt idx="7">
                  <c:v>2025 N=955</c:v>
                </c:pt>
              </c:strCache>
            </c:strRef>
          </c:cat>
          <c:val>
            <c:numRef>
              <c:f>Arkusz1!$D$2:$D$9</c:f>
              <c:numCache>
                <c:formatCode>0%</c:formatCode>
                <c:ptCount val="8"/>
                <c:pt idx="0">
                  <c:v>0.3</c:v>
                </c:pt>
                <c:pt idx="1">
                  <c:v>0.34</c:v>
                </c:pt>
                <c:pt idx="2">
                  <c:v>0.25</c:v>
                </c:pt>
                <c:pt idx="3">
                  <c:v>0.33</c:v>
                </c:pt>
                <c:pt idx="4">
                  <c:v>0.26</c:v>
                </c:pt>
                <c:pt idx="5">
                  <c:v>0.33</c:v>
                </c:pt>
                <c:pt idx="6" formatCode="0.00%">
                  <c:v>0.26400000000000001</c:v>
                </c:pt>
                <c:pt idx="7" formatCode="0.00%">
                  <c:v>0.27700000000000002</c:v>
                </c:pt>
              </c:numCache>
            </c:numRef>
          </c:val>
          <c:extLst>
            <c:ext xmlns:c16="http://schemas.microsoft.com/office/drawing/2014/chart" uri="{C3380CC4-5D6E-409C-BE32-E72D297353CC}">
              <c16:uniqueId val="{00000002-B89D-46D4-BF86-874C0EEEA037}"/>
            </c:ext>
          </c:extLst>
        </c:ser>
        <c:ser>
          <c:idx val="3"/>
          <c:order val="3"/>
          <c:tx>
            <c:strRef>
              <c:f>Arkusz1!$E$1</c:f>
              <c:strCache>
                <c:ptCount val="1"/>
                <c:pt idx="0">
                  <c:v>rzadko</c:v>
                </c:pt>
              </c:strCache>
            </c:strRef>
          </c:tx>
          <c:spPr>
            <a:solidFill>
              <a:schemeClr val="accent4"/>
            </a:solidFill>
            <a:ln>
              <a:noFill/>
            </a:ln>
            <a:effectLst/>
          </c:spPr>
          <c:invertIfNegative val="0"/>
          <c:dLbls>
            <c:numFmt formatCode="0%" sourceLinked="0"/>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rgbClr val="061A3D"/>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Arkusz1!$A$2:$A$9</c:f>
              <c:strCache>
                <c:ptCount val="8"/>
                <c:pt idx="0">
                  <c:v>2018 N=5615</c:v>
                </c:pt>
                <c:pt idx="1">
                  <c:v>2019 N=905</c:v>
                </c:pt>
                <c:pt idx="2">
                  <c:v>2020 N=5514</c:v>
                </c:pt>
                <c:pt idx="3">
                  <c:v>2021 N=887</c:v>
                </c:pt>
                <c:pt idx="4">
                  <c:v>2022 N=5279</c:v>
                </c:pt>
                <c:pt idx="5">
                  <c:v>2023 N=888</c:v>
                </c:pt>
                <c:pt idx="6">
                  <c:v>2024 N=5707</c:v>
                </c:pt>
                <c:pt idx="7">
                  <c:v>2025 N=955</c:v>
                </c:pt>
              </c:strCache>
            </c:strRef>
          </c:cat>
          <c:val>
            <c:numRef>
              <c:f>Arkusz1!$E$2:$E$9</c:f>
              <c:numCache>
                <c:formatCode>0%</c:formatCode>
                <c:ptCount val="8"/>
                <c:pt idx="0">
                  <c:v>0.3</c:v>
                </c:pt>
                <c:pt idx="1">
                  <c:v>0.3</c:v>
                </c:pt>
                <c:pt idx="2">
                  <c:v>0.3</c:v>
                </c:pt>
                <c:pt idx="3">
                  <c:v>0.33</c:v>
                </c:pt>
                <c:pt idx="4">
                  <c:v>0.3</c:v>
                </c:pt>
                <c:pt idx="5">
                  <c:v>0.25</c:v>
                </c:pt>
                <c:pt idx="6" formatCode="0.00%">
                  <c:v>0.27800000000000002</c:v>
                </c:pt>
                <c:pt idx="7" formatCode="0.00%">
                  <c:v>0.29799999999999999</c:v>
                </c:pt>
              </c:numCache>
            </c:numRef>
          </c:val>
          <c:extLst>
            <c:ext xmlns:c16="http://schemas.microsoft.com/office/drawing/2014/chart" uri="{C3380CC4-5D6E-409C-BE32-E72D297353CC}">
              <c16:uniqueId val="{00000003-B89D-46D4-BF86-874C0EEEA037}"/>
            </c:ext>
          </c:extLst>
        </c:ser>
        <c:ser>
          <c:idx val="4"/>
          <c:order val="4"/>
          <c:tx>
            <c:strRef>
              <c:f>Arkusz1!$F$1</c:f>
              <c:strCache>
                <c:ptCount val="1"/>
                <c:pt idx="0">
                  <c:v>bardzo rzadko</c:v>
                </c:pt>
              </c:strCache>
            </c:strRef>
          </c:tx>
          <c:spPr>
            <a:solidFill>
              <a:schemeClr val="accent5">
                <a:lumMod val="50000"/>
              </a:schemeClr>
            </a:solidFill>
            <a:ln>
              <a:noFill/>
            </a:ln>
            <a:effectLst/>
          </c:spPr>
          <c:invertIfNegative val="0"/>
          <c:dLbls>
            <c:dLbl>
              <c:idx val="2"/>
              <c:numFmt formatCode="0%" sourceLinked="0"/>
              <c:spPr>
                <a:solidFill>
                  <a:srgbClr val="EE0000"/>
                </a:solid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bg1"/>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extLst>
                <c:ext xmlns:c16="http://schemas.microsoft.com/office/drawing/2014/chart" uri="{C3380CC4-5D6E-409C-BE32-E72D297353CC}">
                  <c16:uniqueId val="{00000000-1EEB-4C3F-8941-47AE6C2F75D8}"/>
                </c:ext>
              </c:extLst>
            </c:dLbl>
            <c:dLbl>
              <c:idx val="3"/>
              <c:numFmt formatCode="0%" sourceLinked="0"/>
              <c:spPr>
                <a:solidFill>
                  <a:srgbClr val="00B0F0"/>
                </a:solidFill>
                <a:ln>
                  <a:noFill/>
                </a:ln>
                <a:effectLst/>
              </c:spPr>
              <c:txPr>
                <a:bodyPr rot="0" spcFirstLastPara="1" vertOverflow="ellipsis" vert="horz" wrap="square" lIns="38100" tIns="19050" rIns="38100" bIns="19050" anchor="ctr" anchorCtr="1">
                  <a:noAutofit/>
                </a:bodyPr>
                <a:lstStyle/>
                <a:p>
                  <a:pPr>
                    <a:defRPr sz="1100" b="0" i="0" u="none" strike="noStrike" kern="1200" baseline="0">
                      <a:solidFill>
                        <a:schemeClr val="bg1"/>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extLst>
                <c:ext xmlns:c15="http://schemas.microsoft.com/office/drawing/2012/chart" uri="{CE6537A1-D6FC-4f65-9D91-7224C49458BB}">
                  <c15:layout>
                    <c:manualLayout>
                      <c:w val="5.5135055304661451E-2"/>
                      <c:h val="7.6998521252259186E-2"/>
                    </c:manualLayout>
                  </c15:layout>
                </c:ext>
                <c:ext xmlns:c16="http://schemas.microsoft.com/office/drawing/2014/chart" uri="{C3380CC4-5D6E-409C-BE32-E72D297353CC}">
                  <c16:uniqueId val="{00000003-1EEB-4C3F-8941-47AE6C2F75D8}"/>
                </c:ext>
              </c:extLst>
            </c:dLbl>
            <c:numFmt formatCode="0%" sourceLinked="0"/>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bg1"/>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Arkusz1!$A$2:$A$9</c:f>
              <c:strCache>
                <c:ptCount val="8"/>
                <c:pt idx="0">
                  <c:v>2018 N=5615</c:v>
                </c:pt>
                <c:pt idx="1">
                  <c:v>2019 N=905</c:v>
                </c:pt>
                <c:pt idx="2">
                  <c:v>2020 N=5514</c:v>
                </c:pt>
                <c:pt idx="3">
                  <c:v>2021 N=887</c:v>
                </c:pt>
                <c:pt idx="4">
                  <c:v>2022 N=5279</c:v>
                </c:pt>
                <c:pt idx="5">
                  <c:v>2023 N=888</c:v>
                </c:pt>
                <c:pt idx="6">
                  <c:v>2024 N=5707</c:v>
                </c:pt>
                <c:pt idx="7">
                  <c:v>2025 N=955</c:v>
                </c:pt>
              </c:strCache>
            </c:strRef>
          </c:cat>
          <c:val>
            <c:numRef>
              <c:f>Arkusz1!$F$2:$F$9</c:f>
              <c:numCache>
                <c:formatCode>0%</c:formatCode>
                <c:ptCount val="8"/>
                <c:pt idx="0">
                  <c:v>0.2</c:v>
                </c:pt>
                <c:pt idx="1">
                  <c:v>0.17</c:v>
                </c:pt>
                <c:pt idx="2">
                  <c:v>0.3</c:v>
                </c:pt>
                <c:pt idx="3">
                  <c:v>7.0000000000000007E-2</c:v>
                </c:pt>
                <c:pt idx="4">
                  <c:v>0.26</c:v>
                </c:pt>
                <c:pt idx="5">
                  <c:v>0.12</c:v>
                </c:pt>
                <c:pt idx="6" formatCode="0.00%">
                  <c:v>0.16500000000000001</c:v>
                </c:pt>
                <c:pt idx="7" formatCode="0.00%">
                  <c:v>0.23699999999999999</c:v>
                </c:pt>
              </c:numCache>
            </c:numRef>
          </c:val>
          <c:extLst>
            <c:ext xmlns:c16="http://schemas.microsoft.com/office/drawing/2014/chart" uri="{C3380CC4-5D6E-409C-BE32-E72D297353CC}">
              <c16:uniqueId val="{00000004-B89D-46D4-BF86-874C0EEEA037}"/>
            </c:ext>
          </c:extLst>
        </c:ser>
        <c:ser>
          <c:idx val="5"/>
          <c:order val="5"/>
          <c:tx>
            <c:strRef>
              <c:f>Arkusz1!$G$1</c:f>
              <c:strCache>
                <c:ptCount val="1"/>
                <c:pt idx="0">
                  <c:v>nie wiem</c:v>
                </c:pt>
              </c:strCache>
            </c:strRef>
          </c:tx>
          <c:spPr>
            <a:solidFill>
              <a:schemeClr val="accent6"/>
            </a:solidFill>
            <a:ln>
              <a:noFill/>
            </a:ln>
            <a:effectLst/>
          </c:spPr>
          <c:invertIfNegative val="0"/>
          <c:dLbls>
            <c:dLbl>
              <c:idx val="7"/>
              <c:tx>
                <c:rich>
                  <a:bodyPr/>
                  <a:lstStyle/>
                  <a:p>
                    <a:r>
                      <a:rPr lang="en-US"/>
                      <a:t>5%</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1EEB-4C3F-8941-47AE6C2F75D8}"/>
                </c:ext>
              </c:extLst>
            </c:dLbl>
            <c:numFmt formatCode="0%" sourceLinked="0"/>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bg1"/>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Arkusz1!$A$2:$A$9</c:f>
              <c:strCache>
                <c:ptCount val="8"/>
                <c:pt idx="0">
                  <c:v>2018 N=5615</c:v>
                </c:pt>
                <c:pt idx="1">
                  <c:v>2019 N=905</c:v>
                </c:pt>
                <c:pt idx="2">
                  <c:v>2020 N=5514</c:v>
                </c:pt>
                <c:pt idx="3">
                  <c:v>2021 N=887</c:v>
                </c:pt>
                <c:pt idx="4">
                  <c:v>2022 N=5279</c:v>
                </c:pt>
                <c:pt idx="5">
                  <c:v>2023 N=888</c:v>
                </c:pt>
                <c:pt idx="6">
                  <c:v>2024 N=5707</c:v>
                </c:pt>
                <c:pt idx="7">
                  <c:v>2025 N=955</c:v>
                </c:pt>
              </c:strCache>
            </c:strRef>
          </c:cat>
          <c:val>
            <c:numRef>
              <c:f>Arkusz1!$G$2:$G$9</c:f>
              <c:numCache>
                <c:formatCode>0%</c:formatCode>
                <c:ptCount val="8"/>
                <c:pt idx="0">
                  <c:v>0.05</c:v>
                </c:pt>
                <c:pt idx="1">
                  <c:v>0.05</c:v>
                </c:pt>
                <c:pt idx="2">
                  <c:v>0.05</c:v>
                </c:pt>
                <c:pt idx="3">
                  <c:v>0.06</c:v>
                </c:pt>
                <c:pt idx="4">
                  <c:v>0.04</c:v>
                </c:pt>
                <c:pt idx="5">
                  <c:v>7.0000000000000007E-2</c:v>
                </c:pt>
                <c:pt idx="6" formatCode="0.00%">
                  <c:v>2.9000000000000001E-2</c:v>
                </c:pt>
                <c:pt idx="7" formatCode="0.00%">
                  <c:v>4.8000000000000001E-2</c:v>
                </c:pt>
              </c:numCache>
            </c:numRef>
          </c:val>
          <c:extLst>
            <c:ext xmlns:c16="http://schemas.microsoft.com/office/drawing/2014/chart" uri="{C3380CC4-5D6E-409C-BE32-E72D297353CC}">
              <c16:uniqueId val="{00000005-B89D-46D4-BF86-874C0EEEA037}"/>
            </c:ext>
          </c:extLst>
        </c:ser>
        <c:dLbls>
          <c:showLegendKey val="0"/>
          <c:showVal val="0"/>
          <c:showCatName val="0"/>
          <c:showSerName val="0"/>
          <c:showPercent val="0"/>
          <c:showBubbleSize val="0"/>
        </c:dLbls>
        <c:gapWidth val="60"/>
        <c:overlap val="100"/>
        <c:axId val="875697471"/>
        <c:axId val="875698911"/>
      </c:barChart>
      <c:catAx>
        <c:axId val="875697471"/>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crossAx val="875698911"/>
        <c:crosses val="autoZero"/>
        <c:auto val="1"/>
        <c:lblAlgn val="ctr"/>
        <c:lblOffset val="100"/>
        <c:noMultiLvlLbl val="0"/>
      </c:catAx>
      <c:valAx>
        <c:axId val="875698911"/>
        <c:scaling>
          <c:orientation val="minMax"/>
        </c:scaling>
        <c:delete val="0"/>
        <c:axPos val="b"/>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crossAx val="87569747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pl-PL"/>
    </a:p>
  </c:txPr>
  <c:externalData r:id="rId3">
    <c:autoUpdate val="0"/>
  </c:externalData>
</c:chartSpace>
</file>

<file path=word/charts/chart5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Arkusz1!$B$1</c:f>
              <c:strCache>
                <c:ptCount val="1"/>
                <c:pt idx="0">
                  <c:v>T2B – informacje przekazywane zrozumiałym językiem</c:v>
                </c:pt>
              </c:strCache>
            </c:strRef>
          </c:tx>
          <c:spPr>
            <a:ln w="28575" cap="rnd">
              <a:solidFill>
                <a:srgbClr val="061A3D"/>
              </a:solidFill>
              <a:round/>
            </a:ln>
            <a:effectLst/>
          </c:spPr>
          <c:marker>
            <c:symbol val="circle"/>
            <c:size val="5"/>
            <c:spPr>
              <a:solidFill>
                <a:srgbClr val="061A3D"/>
              </a:solidFill>
              <a:ln w="9525">
                <a:solidFill>
                  <a:srgbClr val="061A3D"/>
                </a:solidFill>
              </a:ln>
              <a:effectLst/>
            </c:spPr>
          </c:marker>
          <c:dLbls>
            <c:dLbl>
              <c:idx val="0"/>
              <c:numFmt formatCode="0%" sourceLinked="0"/>
              <c:spPr>
                <a:solidFill>
                  <a:srgbClr val="00B0F0"/>
                </a:solid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bg1"/>
                      </a:solidFill>
                      <a:latin typeface="Arial" panose="020B0604020202020204" pitchFamily="34" charset="0"/>
                      <a:ea typeface="+mn-ea"/>
                      <a:cs typeface="Arial" panose="020B0604020202020204" pitchFamily="34" charset="0"/>
                    </a:defRPr>
                  </a:pPr>
                  <a:endParaRPr lang="pl-PL"/>
                </a:p>
              </c:txPr>
              <c:dLblPos val="t"/>
              <c:showLegendKey val="0"/>
              <c:showVal val="1"/>
              <c:showCatName val="0"/>
              <c:showSerName val="0"/>
              <c:showPercent val="0"/>
              <c:showBubbleSize val="0"/>
              <c:extLst>
                <c:ext xmlns:c16="http://schemas.microsoft.com/office/drawing/2014/chart" uri="{C3380CC4-5D6E-409C-BE32-E72D297353CC}">
                  <c16:uniqueId val="{00000000-0A03-405B-8198-4C2DC5E76449}"/>
                </c:ext>
              </c:extLst>
            </c:dLbl>
            <c:numFmt formatCode="0%" sourceLinked="0"/>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Arkusz1!$A$2:$A$10</c:f>
              <c:strCache>
                <c:ptCount val="9"/>
                <c:pt idx="0">
                  <c:v>2016 N=934</c:v>
                </c:pt>
                <c:pt idx="1">
                  <c:v>2018 N=713</c:v>
                </c:pt>
                <c:pt idx="2">
                  <c:v>2019 N=124</c:v>
                </c:pt>
                <c:pt idx="3">
                  <c:v>2020 N=536</c:v>
                </c:pt>
                <c:pt idx="4">
                  <c:v>2021 N=190</c:v>
                </c:pt>
                <c:pt idx="5">
                  <c:v>2022 N=677</c:v>
                </c:pt>
                <c:pt idx="6">
                  <c:v>2023 N=888</c:v>
                </c:pt>
                <c:pt idx="7">
                  <c:v>2024 N=1343</c:v>
                </c:pt>
                <c:pt idx="8">
                  <c:v>2025 N=118</c:v>
                </c:pt>
              </c:strCache>
            </c:strRef>
          </c:cat>
          <c:val>
            <c:numRef>
              <c:f>Arkusz1!$B$2:$B$10</c:f>
              <c:numCache>
                <c:formatCode>0%</c:formatCode>
                <c:ptCount val="9"/>
                <c:pt idx="0">
                  <c:v>0.78</c:v>
                </c:pt>
                <c:pt idx="1">
                  <c:v>0.82</c:v>
                </c:pt>
                <c:pt idx="2">
                  <c:v>0.8</c:v>
                </c:pt>
                <c:pt idx="3">
                  <c:v>0.85</c:v>
                </c:pt>
                <c:pt idx="4">
                  <c:v>0.83</c:v>
                </c:pt>
                <c:pt idx="5">
                  <c:v>0.87</c:v>
                </c:pt>
                <c:pt idx="6">
                  <c:v>0.86</c:v>
                </c:pt>
                <c:pt idx="7">
                  <c:v>0.88</c:v>
                </c:pt>
                <c:pt idx="8" formatCode="0.00%">
                  <c:v>0.89</c:v>
                </c:pt>
              </c:numCache>
            </c:numRef>
          </c:val>
          <c:smooth val="0"/>
          <c:extLst>
            <c:ext xmlns:c16="http://schemas.microsoft.com/office/drawing/2014/chart" uri="{C3380CC4-5D6E-409C-BE32-E72D297353CC}">
              <c16:uniqueId val="{00000000-1253-4E44-9C3D-EE7523463548}"/>
            </c:ext>
          </c:extLst>
        </c:ser>
        <c:dLbls>
          <c:showLegendKey val="0"/>
          <c:showVal val="0"/>
          <c:showCatName val="0"/>
          <c:showSerName val="0"/>
          <c:showPercent val="0"/>
          <c:showBubbleSize val="0"/>
        </c:dLbls>
        <c:marker val="1"/>
        <c:smooth val="0"/>
        <c:axId val="877883119"/>
        <c:axId val="877885519"/>
      </c:lineChart>
      <c:catAx>
        <c:axId val="87788311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877885519"/>
        <c:crosses val="autoZero"/>
        <c:auto val="1"/>
        <c:lblAlgn val="ctr"/>
        <c:lblOffset val="100"/>
        <c:noMultiLvlLbl val="0"/>
      </c:catAx>
      <c:valAx>
        <c:axId val="877885519"/>
        <c:scaling>
          <c:orientation val="minMax"/>
          <c:max val="1"/>
          <c:min val="0.5"/>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877883119"/>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pl-PL"/>
    </a:p>
  </c:txPr>
  <c:externalData r:id="rId3">
    <c:autoUpdate val="0"/>
  </c:externalData>
</c:chartSpace>
</file>

<file path=word/charts/chart5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9182747755832516"/>
          <c:y val="6.3649347202386251E-4"/>
          <c:w val="0.74634076990376208"/>
          <c:h val="0.74334828932900243"/>
        </c:manualLayout>
      </c:layout>
      <c:barChart>
        <c:barDir val="bar"/>
        <c:grouping val="percentStacked"/>
        <c:varyColors val="0"/>
        <c:ser>
          <c:idx val="0"/>
          <c:order val="0"/>
          <c:tx>
            <c:strRef>
              <c:f>Arkusz1!$B$1</c:f>
              <c:strCache>
                <c:ptCount val="1"/>
                <c:pt idx="0">
                  <c:v>zdecydowanie tak</c:v>
                </c:pt>
              </c:strCache>
            </c:strRef>
          </c:tx>
          <c:spPr>
            <a:solidFill>
              <a:srgbClr val="061A3D"/>
            </a:solidFill>
            <a:ln>
              <a:noFill/>
            </a:ln>
            <a:effectLst/>
          </c:spPr>
          <c:invertIfNegative val="0"/>
          <c:dLbls>
            <c:dLbl>
              <c:idx val="0"/>
              <c:numFmt formatCode="0%" sourceLinked="0"/>
              <c:spPr>
                <a:solidFill>
                  <a:srgbClr val="00B0F0"/>
                </a:solid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bg1"/>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extLst>
                <c:ext xmlns:c16="http://schemas.microsoft.com/office/drawing/2014/chart" uri="{C3380CC4-5D6E-409C-BE32-E72D297353CC}">
                  <c16:uniqueId val="{00000004-0A51-4354-AB57-2ABB50CEDD58}"/>
                </c:ext>
              </c:extLst>
            </c:dLbl>
            <c:dLbl>
              <c:idx val="1"/>
              <c:numFmt formatCode="0%" sourceLinked="0"/>
              <c:spPr>
                <a:solidFill>
                  <a:srgbClr val="00B0F0"/>
                </a:solid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bg1"/>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extLst>
                <c:ext xmlns:c16="http://schemas.microsoft.com/office/drawing/2014/chart" uri="{C3380CC4-5D6E-409C-BE32-E72D297353CC}">
                  <c16:uniqueId val="{00000002-0A51-4354-AB57-2ABB50CEDD58}"/>
                </c:ext>
              </c:extLst>
            </c:dLbl>
            <c:dLbl>
              <c:idx val="3"/>
              <c:numFmt formatCode="0%" sourceLinked="0"/>
              <c:spPr>
                <a:solidFill>
                  <a:srgbClr val="EE0000"/>
                </a:solid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bg1"/>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extLst>
                <c:ext xmlns:c16="http://schemas.microsoft.com/office/drawing/2014/chart" uri="{C3380CC4-5D6E-409C-BE32-E72D297353CC}">
                  <c16:uniqueId val="{00000000-0A51-4354-AB57-2ABB50CEDD58}"/>
                </c:ext>
              </c:extLst>
            </c:dLbl>
            <c:numFmt formatCode="0%" sourceLinked="0"/>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bg1"/>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Arkusz1!$A$2:$A$10</c:f>
              <c:strCache>
                <c:ptCount val="8"/>
                <c:pt idx="0">
                  <c:v>2018 N=713</c:v>
                </c:pt>
                <c:pt idx="1">
                  <c:v>2019 N=124</c:v>
                </c:pt>
                <c:pt idx="2">
                  <c:v>2020 N=536</c:v>
                </c:pt>
                <c:pt idx="3">
                  <c:v>2021 N=190</c:v>
                </c:pt>
                <c:pt idx="4">
                  <c:v>2022 N=677</c:v>
                </c:pt>
                <c:pt idx="5">
                  <c:v>2023 N=888</c:v>
                </c:pt>
                <c:pt idx="6">
                  <c:v>2024 N=1343</c:v>
                </c:pt>
                <c:pt idx="7">
                  <c:v>2025 N=118</c:v>
                </c:pt>
              </c:strCache>
            </c:strRef>
          </c:cat>
          <c:val>
            <c:numRef>
              <c:f>Arkusz1!$B$2:$B$10</c:f>
              <c:numCache>
                <c:formatCode>0%</c:formatCode>
                <c:ptCount val="9"/>
                <c:pt idx="0">
                  <c:v>0.19</c:v>
                </c:pt>
                <c:pt idx="1">
                  <c:v>0.16</c:v>
                </c:pt>
                <c:pt idx="2">
                  <c:v>0.32</c:v>
                </c:pt>
                <c:pt idx="3">
                  <c:v>0.41</c:v>
                </c:pt>
                <c:pt idx="4">
                  <c:v>0.32</c:v>
                </c:pt>
                <c:pt idx="5">
                  <c:v>0.33</c:v>
                </c:pt>
                <c:pt idx="6" formatCode="0.00%">
                  <c:v>0.33500000000000002</c:v>
                </c:pt>
                <c:pt idx="7" formatCode="0.00%">
                  <c:v>0.33100000000000002</c:v>
                </c:pt>
              </c:numCache>
            </c:numRef>
          </c:val>
          <c:extLst>
            <c:ext xmlns:c16="http://schemas.microsoft.com/office/drawing/2014/chart" uri="{C3380CC4-5D6E-409C-BE32-E72D297353CC}">
              <c16:uniqueId val="{00000000-6DEE-4CA2-A57F-207428614821}"/>
            </c:ext>
          </c:extLst>
        </c:ser>
        <c:ser>
          <c:idx val="1"/>
          <c:order val="1"/>
          <c:tx>
            <c:strRef>
              <c:f>Arkusz1!$C$1</c:f>
              <c:strCache>
                <c:ptCount val="1"/>
                <c:pt idx="0">
                  <c:v>raczej tak</c:v>
                </c:pt>
              </c:strCache>
            </c:strRef>
          </c:tx>
          <c:spPr>
            <a:solidFill>
              <a:schemeClr val="bg1">
                <a:lumMod val="85000"/>
              </a:schemeClr>
            </a:solidFill>
            <a:ln>
              <a:noFill/>
            </a:ln>
            <a:effectLst/>
          </c:spPr>
          <c:invertIfNegative val="0"/>
          <c:dLbls>
            <c:dLbl>
              <c:idx val="3"/>
              <c:numFmt formatCode="0%" sourceLinked="0"/>
              <c:spPr>
                <a:solidFill>
                  <a:srgbClr val="00B0F0"/>
                </a:solid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bg1"/>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extLst>
                <c:ext xmlns:c16="http://schemas.microsoft.com/office/drawing/2014/chart" uri="{C3380CC4-5D6E-409C-BE32-E72D297353CC}">
                  <c16:uniqueId val="{00000003-0A51-4354-AB57-2ABB50CEDD58}"/>
                </c:ext>
              </c:extLst>
            </c:dLbl>
            <c:numFmt formatCode="0%" sourceLinked="0"/>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Arkusz1!$A$2:$A$10</c:f>
              <c:strCache>
                <c:ptCount val="8"/>
                <c:pt idx="0">
                  <c:v>2018 N=713</c:v>
                </c:pt>
                <c:pt idx="1">
                  <c:v>2019 N=124</c:v>
                </c:pt>
                <c:pt idx="2">
                  <c:v>2020 N=536</c:v>
                </c:pt>
                <c:pt idx="3">
                  <c:v>2021 N=190</c:v>
                </c:pt>
                <c:pt idx="4">
                  <c:v>2022 N=677</c:v>
                </c:pt>
                <c:pt idx="5">
                  <c:v>2023 N=888</c:v>
                </c:pt>
                <c:pt idx="6">
                  <c:v>2024 N=1343</c:v>
                </c:pt>
                <c:pt idx="7">
                  <c:v>2025 N=118</c:v>
                </c:pt>
              </c:strCache>
            </c:strRef>
          </c:cat>
          <c:val>
            <c:numRef>
              <c:f>Arkusz1!$C$2:$C$10</c:f>
              <c:numCache>
                <c:formatCode>0%</c:formatCode>
                <c:ptCount val="9"/>
                <c:pt idx="0">
                  <c:v>0.62</c:v>
                </c:pt>
                <c:pt idx="1">
                  <c:v>0.56999999999999995</c:v>
                </c:pt>
                <c:pt idx="2">
                  <c:v>0.52</c:v>
                </c:pt>
                <c:pt idx="3">
                  <c:v>0.39</c:v>
                </c:pt>
                <c:pt idx="4">
                  <c:v>0.55000000000000004</c:v>
                </c:pt>
                <c:pt idx="5">
                  <c:v>0.54</c:v>
                </c:pt>
                <c:pt idx="6" formatCode="0.00%">
                  <c:v>0.54500000000000004</c:v>
                </c:pt>
                <c:pt idx="7" formatCode="0.00%">
                  <c:v>0.52500000000000002</c:v>
                </c:pt>
              </c:numCache>
            </c:numRef>
          </c:val>
          <c:extLst>
            <c:ext xmlns:c16="http://schemas.microsoft.com/office/drawing/2014/chart" uri="{C3380CC4-5D6E-409C-BE32-E72D297353CC}">
              <c16:uniqueId val="{00000001-6DEE-4CA2-A57F-207428614821}"/>
            </c:ext>
          </c:extLst>
        </c:ser>
        <c:ser>
          <c:idx val="2"/>
          <c:order val="2"/>
          <c:tx>
            <c:strRef>
              <c:f>Arkusz1!$D$1</c:f>
              <c:strCache>
                <c:ptCount val="1"/>
                <c:pt idx="0">
                  <c:v>ani tak, ani nie</c:v>
                </c:pt>
              </c:strCache>
            </c:strRef>
          </c:tx>
          <c:spPr>
            <a:solidFill>
              <a:schemeClr val="tx1">
                <a:lumMod val="50000"/>
                <a:lumOff val="50000"/>
              </a:schemeClr>
            </a:solidFill>
            <a:ln>
              <a:noFill/>
            </a:ln>
            <a:effectLst/>
          </c:spPr>
          <c:invertIfNegative val="0"/>
          <c:dLbls>
            <c:dLbl>
              <c:idx val="1"/>
              <c:numFmt formatCode="0%" sourceLinked="0"/>
              <c:spPr>
                <a:solidFill>
                  <a:srgbClr val="EE0000"/>
                </a:solid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bg1"/>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extLst>
                <c:ext xmlns:c16="http://schemas.microsoft.com/office/drawing/2014/chart" uri="{C3380CC4-5D6E-409C-BE32-E72D297353CC}">
                  <c16:uniqueId val="{00000001-0A51-4354-AB57-2ABB50CEDD58}"/>
                </c:ext>
              </c:extLst>
            </c:dLbl>
            <c:numFmt formatCode="0%" sourceLinked="0"/>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bg1"/>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Arkusz1!$A$2:$A$10</c:f>
              <c:strCache>
                <c:ptCount val="8"/>
                <c:pt idx="0">
                  <c:v>2018 N=713</c:v>
                </c:pt>
                <c:pt idx="1">
                  <c:v>2019 N=124</c:v>
                </c:pt>
                <c:pt idx="2">
                  <c:v>2020 N=536</c:v>
                </c:pt>
                <c:pt idx="3">
                  <c:v>2021 N=190</c:v>
                </c:pt>
                <c:pt idx="4">
                  <c:v>2022 N=677</c:v>
                </c:pt>
                <c:pt idx="5">
                  <c:v>2023 N=888</c:v>
                </c:pt>
                <c:pt idx="6">
                  <c:v>2024 N=1343</c:v>
                </c:pt>
                <c:pt idx="7">
                  <c:v>2025 N=118</c:v>
                </c:pt>
              </c:strCache>
            </c:strRef>
          </c:cat>
          <c:val>
            <c:numRef>
              <c:f>Arkusz1!$D$2:$D$10</c:f>
              <c:numCache>
                <c:formatCode>0%</c:formatCode>
                <c:ptCount val="9"/>
                <c:pt idx="0">
                  <c:v>0.13</c:v>
                </c:pt>
                <c:pt idx="1">
                  <c:v>0.2</c:v>
                </c:pt>
                <c:pt idx="2">
                  <c:v>0.09</c:v>
                </c:pt>
                <c:pt idx="3">
                  <c:v>0.08</c:v>
                </c:pt>
                <c:pt idx="4">
                  <c:v>0.1</c:v>
                </c:pt>
                <c:pt idx="5">
                  <c:v>0.08</c:v>
                </c:pt>
                <c:pt idx="6" formatCode="0.00%">
                  <c:v>0.09</c:v>
                </c:pt>
                <c:pt idx="7" formatCode="0.00%">
                  <c:v>7.5999999999999998E-2</c:v>
                </c:pt>
              </c:numCache>
            </c:numRef>
          </c:val>
          <c:extLst>
            <c:ext xmlns:c16="http://schemas.microsoft.com/office/drawing/2014/chart" uri="{C3380CC4-5D6E-409C-BE32-E72D297353CC}">
              <c16:uniqueId val="{00000002-6DEE-4CA2-A57F-207428614821}"/>
            </c:ext>
          </c:extLst>
        </c:ser>
        <c:ser>
          <c:idx val="3"/>
          <c:order val="3"/>
          <c:tx>
            <c:strRef>
              <c:f>Arkusz1!$E$1</c:f>
              <c:strCache>
                <c:ptCount val="1"/>
                <c:pt idx="0">
                  <c:v>raczej nie</c:v>
                </c:pt>
              </c:strCache>
            </c:strRef>
          </c:tx>
          <c:spPr>
            <a:solidFill>
              <a:schemeClr val="accent4"/>
            </a:solidFill>
            <a:ln>
              <a:noFill/>
            </a:ln>
            <a:effectLst/>
          </c:spPr>
          <c:invertIfNegative val="0"/>
          <c:dLbls>
            <c:dLbl>
              <c:idx val="3"/>
              <c:numFmt formatCode="0%" sourceLinked="0"/>
              <c:spPr>
                <a:solidFill>
                  <a:srgbClr val="EE0000"/>
                </a:solid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bg1"/>
                      </a:solidFill>
                      <a:latin typeface="+mn-lt"/>
                      <a:ea typeface="+mn-ea"/>
                      <a:cs typeface="+mn-cs"/>
                    </a:defRPr>
                  </a:pPr>
                  <a:endParaRPr lang="pl-PL"/>
                </a:p>
              </c:txPr>
              <c:showLegendKey val="0"/>
              <c:showVal val="1"/>
              <c:showCatName val="0"/>
              <c:showSerName val="0"/>
              <c:showPercent val="0"/>
              <c:showBubbleSize val="0"/>
              <c:extLst>
                <c:ext xmlns:c16="http://schemas.microsoft.com/office/drawing/2014/chart" uri="{C3380CC4-5D6E-409C-BE32-E72D297353CC}">
                  <c16:uniqueId val="{00000005-0A51-4354-AB57-2ABB50CEDD58}"/>
                </c:ext>
              </c:extLst>
            </c:dLbl>
            <c:numFmt formatCode="0%" sourceLinked="0"/>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bg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Arkusz1!$A$2:$A$10</c:f>
              <c:strCache>
                <c:ptCount val="8"/>
                <c:pt idx="0">
                  <c:v>2018 N=713</c:v>
                </c:pt>
                <c:pt idx="1">
                  <c:v>2019 N=124</c:v>
                </c:pt>
                <c:pt idx="2">
                  <c:v>2020 N=536</c:v>
                </c:pt>
                <c:pt idx="3">
                  <c:v>2021 N=190</c:v>
                </c:pt>
                <c:pt idx="4">
                  <c:v>2022 N=677</c:v>
                </c:pt>
                <c:pt idx="5">
                  <c:v>2023 N=888</c:v>
                </c:pt>
                <c:pt idx="6">
                  <c:v>2024 N=1343</c:v>
                </c:pt>
                <c:pt idx="7">
                  <c:v>2025 N=118</c:v>
                </c:pt>
              </c:strCache>
            </c:strRef>
          </c:cat>
          <c:val>
            <c:numRef>
              <c:f>Arkusz1!$E$2:$E$10</c:f>
              <c:numCache>
                <c:formatCode>0%</c:formatCode>
                <c:ptCount val="9"/>
                <c:pt idx="0">
                  <c:v>0.03</c:v>
                </c:pt>
                <c:pt idx="1">
                  <c:v>0.05</c:v>
                </c:pt>
                <c:pt idx="2">
                  <c:v>0.02</c:v>
                </c:pt>
                <c:pt idx="3">
                  <c:v>7.0000000000000007E-2</c:v>
                </c:pt>
                <c:pt idx="4">
                  <c:v>0.02</c:v>
                </c:pt>
                <c:pt idx="5">
                  <c:v>0.02</c:v>
                </c:pt>
                <c:pt idx="6" formatCode="0.00%">
                  <c:v>2.4E-2</c:v>
                </c:pt>
                <c:pt idx="7" formatCode="0.00%">
                  <c:v>3.4000000000000002E-2</c:v>
                </c:pt>
              </c:numCache>
            </c:numRef>
          </c:val>
          <c:extLst>
            <c:ext xmlns:c16="http://schemas.microsoft.com/office/drawing/2014/chart" uri="{C3380CC4-5D6E-409C-BE32-E72D297353CC}">
              <c16:uniqueId val="{00000003-6DEE-4CA2-A57F-207428614821}"/>
            </c:ext>
          </c:extLst>
        </c:ser>
        <c:ser>
          <c:idx val="4"/>
          <c:order val="4"/>
          <c:tx>
            <c:strRef>
              <c:f>Arkusz1!$F$1</c:f>
              <c:strCache>
                <c:ptCount val="1"/>
                <c:pt idx="0">
                  <c:v>zdecydowanie nie</c:v>
                </c:pt>
              </c:strCache>
            </c:strRef>
          </c:tx>
          <c:spPr>
            <a:solidFill>
              <a:schemeClr val="accent5"/>
            </a:solidFill>
            <a:ln>
              <a:noFill/>
            </a:ln>
            <a:effectLst/>
          </c:spPr>
          <c:invertIfNegative val="0"/>
          <c:dLbls>
            <c:dLbl>
              <c:idx val="0"/>
              <c:layout>
                <c:manualLayout>
                  <c:x val="0"/>
                  <c:y val="-3.852327447833065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A3BB-48D6-8EB8-D5DAE56EE604}"/>
                </c:ext>
              </c:extLst>
            </c:dLbl>
            <c:dLbl>
              <c:idx val="4"/>
              <c:layout>
                <c:manualLayout>
                  <c:x val="-4.3625259024975462E-3"/>
                  <c:y val="-3.210272873194227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A3BB-48D6-8EB8-D5DAE56EE604}"/>
                </c:ext>
              </c:extLst>
            </c:dLbl>
            <c:dLbl>
              <c:idx val="5"/>
              <c:layout>
                <c:manualLayout>
                  <c:x val="-4.3625259024975462E-3"/>
                  <c:y val="-3.210272873194221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A3BB-48D6-8EB8-D5DAE56EE604}"/>
                </c:ext>
              </c:extLst>
            </c:dLbl>
            <c:dLbl>
              <c:idx val="6"/>
              <c:delete val="1"/>
              <c:extLst>
                <c:ext xmlns:c15="http://schemas.microsoft.com/office/drawing/2012/chart" uri="{CE6537A1-D6FC-4f65-9D91-7224C49458BB}"/>
                <c:ext xmlns:c16="http://schemas.microsoft.com/office/drawing/2014/chart" uri="{C3380CC4-5D6E-409C-BE32-E72D297353CC}">
                  <c16:uniqueId val="{00000001-A3BB-48D6-8EB8-D5DAE56EE604}"/>
                </c:ext>
              </c:extLst>
            </c:dLbl>
            <c:dLbl>
              <c:idx val="7"/>
              <c:layout>
                <c:manualLayout>
                  <c:x val="-4.3625259024975462E-3"/>
                  <c:y val="-4.4943820224719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A3BB-48D6-8EB8-D5DAE56EE604}"/>
                </c:ext>
              </c:extLst>
            </c:dLbl>
            <c:numFmt formatCode="0%" sourceLinked="0"/>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Arkusz1!$A$2:$A$10</c:f>
              <c:strCache>
                <c:ptCount val="8"/>
                <c:pt idx="0">
                  <c:v>2018 N=713</c:v>
                </c:pt>
                <c:pt idx="1">
                  <c:v>2019 N=124</c:v>
                </c:pt>
                <c:pt idx="2">
                  <c:v>2020 N=536</c:v>
                </c:pt>
                <c:pt idx="3">
                  <c:v>2021 N=190</c:v>
                </c:pt>
                <c:pt idx="4">
                  <c:v>2022 N=677</c:v>
                </c:pt>
                <c:pt idx="5">
                  <c:v>2023 N=888</c:v>
                </c:pt>
                <c:pt idx="6">
                  <c:v>2024 N=1343</c:v>
                </c:pt>
                <c:pt idx="7">
                  <c:v>2025 N=118</c:v>
                </c:pt>
              </c:strCache>
            </c:strRef>
          </c:cat>
          <c:val>
            <c:numRef>
              <c:f>Arkusz1!$F$2:$F$10</c:f>
              <c:numCache>
                <c:formatCode>0%</c:formatCode>
                <c:ptCount val="9"/>
                <c:pt idx="0">
                  <c:v>0.01</c:v>
                </c:pt>
                <c:pt idx="1">
                  <c:v>0.01</c:v>
                </c:pt>
                <c:pt idx="2">
                  <c:v>0.02</c:v>
                </c:pt>
                <c:pt idx="3">
                  <c:v>0.02</c:v>
                </c:pt>
                <c:pt idx="4">
                  <c:v>0.01</c:v>
                </c:pt>
                <c:pt idx="5">
                  <c:v>0.01</c:v>
                </c:pt>
                <c:pt idx="6" formatCode="0.00%">
                  <c:v>2E-3</c:v>
                </c:pt>
                <c:pt idx="7" formatCode="0.00%">
                  <c:v>8.0000000000000002E-3</c:v>
                </c:pt>
              </c:numCache>
            </c:numRef>
          </c:val>
          <c:extLst>
            <c:ext xmlns:c16="http://schemas.microsoft.com/office/drawing/2014/chart" uri="{C3380CC4-5D6E-409C-BE32-E72D297353CC}">
              <c16:uniqueId val="{00000004-6DEE-4CA2-A57F-207428614821}"/>
            </c:ext>
          </c:extLst>
        </c:ser>
        <c:ser>
          <c:idx val="5"/>
          <c:order val="5"/>
          <c:tx>
            <c:strRef>
              <c:f>Arkusz1!$G$1</c:f>
              <c:strCache>
                <c:ptCount val="1"/>
                <c:pt idx="0">
                  <c:v>nie wiem / trudno powiedzieć</c:v>
                </c:pt>
              </c:strCache>
            </c:strRef>
          </c:tx>
          <c:spPr>
            <a:solidFill>
              <a:schemeClr val="accent6"/>
            </a:solidFill>
            <a:ln>
              <a:noFill/>
            </a:ln>
            <a:effectLst/>
          </c:spPr>
          <c:invertIfNegative val="0"/>
          <c:dLbls>
            <c:dLbl>
              <c:idx val="0"/>
              <c:layout>
                <c:manualLayout>
                  <c:x val="2.5462962962962792E-2"/>
                  <c:y val="-6.4205457463884577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6DEE-4CA2-A57F-207428614821}"/>
                </c:ext>
              </c:extLst>
            </c:dLbl>
            <c:dLbl>
              <c:idx val="1"/>
              <c:layout>
                <c:manualLayout>
                  <c:x val="1.9631366561238796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A3BB-48D6-8EB8-D5DAE56EE604}"/>
                </c:ext>
              </c:extLst>
            </c:dLbl>
            <c:dLbl>
              <c:idx val="2"/>
              <c:layout>
                <c:manualLayout>
                  <c:x val="1.3087577707492639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A3BB-48D6-8EB8-D5DAE56EE604}"/>
                </c:ext>
              </c:extLst>
            </c:dLbl>
            <c:dLbl>
              <c:idx val="3"/>
              <c:layout>
                <c:manualLayout>
                  <c:x val="1.7450103609990185E-2"/>
                  <c:y val="-3.2102728731942805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3BB-48D6-8EB8-D5DAE56EE604}"/>
                </c:ext>
              </c:extLst>
            </c:dLbl>
            <c:dLbl>
              <c:idx val="4"/>
              <c:layout>
                <c:manualLayout>
                  <c:x val="1.9631366561238959E-2"/>
                  <c:y val="1.2638869579504809E-7"/>
                </c:manualLayout>
              </c:layout>
              <c:numFmt formatCode="0%" sourceLinked="0"/>
              <c:spPr>
                <a:noFill/>
                <a:ln>
                  <a:noFill/>
                </a:ln>
                <a:effectLst/>
              </c:spPr>
              <c:txPr>
                <a:bodyPr rot="0" spcFirstLastPara="1" vertOverflow="ellipsis" vert="horz" wrap="square" lIns="38100" tIns="19050" rIns="38100" bIns="19050" anchor="ctr" anchorCtr="1">
                  <a:noAutofit/>
                </a:bodyPr>
                <a:lstStyle/>
                <a:p>
                  <a:pPr>
                    <a:defRPr sz="11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extLst>
                <c:ext xmlns:c15="http://schemas.microsoft.com/office/drawing/2012/chart" uri="{CE6537A1-D6FC-4f65-9D91-7224C49458BB}">
                  <c15:layout>
                    <c:manualLayout>
                      <c:w val="5.2339318638720163E-2"/>
                      <c:h val="3.2054701027540093E-2"/>
                    </c:manualLayout>
                  </c15:layout>
                </c:ext>
                <c:ext xmlns:c16="http://schemas.microsoft.com/office/drawing/2014/chart" uri="{C3380CC4-5D6E-409C-BE32-E72D297353CC}">
                  <c16:uniqueId val="{00000003-A3BB-48D6-8EB8-D5DAE56EE604}"/>
                </c:ext>
              </c:extLst>
            </c:dLbl>
            <c:dLbl>
              <c:idx val="5"/>
              <c:layout>
                <c:manualLayout>
                  <c:x val="1.9631366561238959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A3BB-48D6-8EB8-D5DAE56EE604}"/>
                </c:ext>
              </c:extLst>
            </c:dLbl>
            <c:dLbl>
              <c:idx val="6"/>
              <c:delete val="1"/>
              <c:extLst>
                <c:ext xmlns:c15="http://schemas.microsoft.com/office/drawing/2012/chart" uri="{CE6537A1-D6FC-4f65-9D91-7224C49458BB}"/>
                <c:ext xmlns:c16="http://schemas.microsoft.com/office/drawing/2014/chart" uri="{C3380CC4-5D6E-409C-BE32-E72D297353CC}">
                  <c16:uniqueId val="{00000000-A3BB-48D6-8EB8-D5DAE56EE604}"/>
                </c:ext>
              </c:extLst>
            </c:dLbl>
            <c:dLbl>
              <c:idx val="7"/>
              <c:layout>
                <c:manualLayout>
                  <c:x val="1.6203703703703703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6DEE-4CA2-A57F-207428614821}"/>
                </c:ext>
              </c:extLst>
            </c:dLbl>
            <c:numFmt formatCode="0%" sourceLinked="0"/>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Arkusz1!$A$2:$A$10</c:f>
              <c:strCache>
                <c:ptCount val="8"/>
                <c:pt idx="0">
                  <c:v>2018 N=713</c:v>
                </c:pt>
                <c:pt idx="1">
                  <c:v>2019 N=124</c:v>
                </c:pt>
                <c:pt idx="2">
                  <c:v>2020 N=536</c:v>
                </c:pt>
                <c:pt idx="3">
                  <c:v>2021 N=190</c:v>
                </c:pt>
                <c:pt idx="4">
                  <c:v>2022 N=677</c:v>
                </c:pt>
                <c:pt idx="5">
                  <c:v>2023 N=888</c:v>
                </c:pt>
                <c:pt idx="6">
                  <c:v>2024 N=1343</c:v>
                </c:pt>
                <c:pt idx="7">
                  <c:v>2025 N=118</c:v>
                </c:pt>
              </c:strCache>
            </c:strRef>
          </c:cat>
          <c:val>
            <c:numRef>
              <c:f>Arkusz1!$G$2:$G$10</c:f>
              <c:numCache>
                <c:formatCode>0%</c:formatCode>
                <c:ptCount val="9"/>
                <c:pt idx="0">
                  <c:v>0.01</c:v>
                </c:pt>
                <c:pt idx="1">
                  <c:v>0.01</c:v>
                </c:pt>
                <c:pt idx="2">
                  <c:v>0.02</c:v>
                </c:pt>
                <c:pt idx="3">
                  <c:v>0.03</c:v>
                </c:pt>
                <c:pt idx="4">
                  <c:v>0.01</c:v>
                </c:pt>
                <c:pt idx="5">
                  <c:v>0.02</c:v>
                </c:pt>
                <c:pt idx="6" formatCode="0.00%">
                  <c:v>4.0000000000000001E-3</c:v>
                </c:pt>
                <c:pt idx="7" formatCode="0.00%">
                  <c:v>2.5000000000000001E-2</c:v>
                </c:pt>
              </c:numCache>
            </c:numRef>
          </c:val>
          <c:extLst>
            <c:ext xmlns:c16="http://schemas.microsoft.com/office/drawing/2014/chart" uri="{C3380CC4-5D6E-409C-BE32-E72D297353CC}">
              <c16:uniqueId val="{00000005-6DEE-4CA2-A57F-207428614821}"/>
            </c:ext>
          </c:extLst>
        </c:ser>
        <c:dLbls>
          <c:showLegendKey val="0"/>
          <c:showVal val="0"/>
          <c:showCatName val="0"/>
          <c:showSerName val="0"/>
          <c:showPercent val="0"/>
          <c:showBubbleSize val="0"/>
        </c:dLbls>
        <c:gapWidth val="60"/>
        <c:overlap val="100"/>
        <c:axId val="875697471"/>
        <c:axId val="875698911"/>
      </c:barChart>
      <c:catAx>
        <c:axId val="875697471"/>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875698911"/>
        <c:crosses val="autoZero"/>
        <c:auto val="1"/>
        <c:lblAlgn val="ctr"/>
        <c:lblOffset val="100"/>
        <c:noMultiLvlLbl val="0"/>
      </c:catAx>
      <c:valAx>
        <c:axId val="875698911"/>
        <c:scaling>
          <c:orientation val="minMax"/>
        </c:scaling>
        <c:delete val="0"/>
        <c:axPos val="b"/>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pl-PL"/>
          </a:p>
        </c:txPr>
        <c:crossAx val="875697471"/>
        <c:crosses val="autoZero"/>
        <c:crossBetween val="between"/>
      </c:valAx>
      <c:spPr>
        <a:noFill/>
        <a:ln>
          <a:noFill/>
        </a:ln>
        <a:effectLst/>
      </c:spPr>
    </c:plotArea>
    <c:legend>
      <c:legendPos val="b"/>
      <c:layout>
        <c:manualLayout>
          <c:xMode val="edge"/>
          <c:yMode val="edge"/>
          <c:x val="5.4745005832604256E-2"/>
          <c:y val="0.83387242325046451"/>
          <c:w val="0.94143591426071727"/>
          <c:h val="0.14686593951037019"/>
        </c:manualLayout>
      </c:layout>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pl-PL"/>
    </a:p>
  </c:txPr>
  <c:externalData r:id="rId3">
    <c:autoUpdate val="0"/>
  </c:externalData>
</c:chartSpace>
</file>

<file path=word/charts/chart5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Arkusz1!$B$1</c:f>
              <c:strCache>
                <c:ptCount val="1"/>
                <c:pt idx="0">
                  <c:v>Liczba wskazań</c:v>
                </c:pt>
              </c:strCache>
            </c:strRef>
          </c:tx>
          <c:spPr>
            <a:solidFill>
              <a:srgbClr val="061A3D"/>
            </a:solidFill>
            <a:ln>
              <a:noFill/>
            </a:ln>
            <a:effectLst/>
          </c:spPr>
          <c:invertIfNegative val="0"/>
          <c:dLbls>
            <c:numFmt formatCode="0%" sourceLinked="0"/>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Arkusz1!$A$2:$A$11</c:f>
              <c:strCache>
                <c:ptCount val="10"/>
                <c:pt idx="0">
                  <c:v>Inne</c:v>
                </c:pt>
                <c:pt idx="1">
                  <c:v>Urząd marszałkowski</c:v>
                </c:pt>
                <c:pt idx="2">
                  <c:v>Urząd pracy</c:v>
                </c:pt>
                <c:pt idx="3">
                  <c:v>Znajomi / rodzina</c:v>
                </c:pt>
                <c:pt idx="4">
                  <c:v>AI / narzędzia cyfrowe</c:v>
                </c:pt>
                <c:pt idx="5">
                  <c:v>Urząd gminy / miasta / dzielnicy</c:v>
                </c:pt>
                <c:pt idx="6">
                  <c:v>Media społecznościowe</c:v>
                </c:pt>
                <c:pt idx="7">
                  <c:v>Urzędy (ogólnie)</c:v>
                </c:pt>
                <c:pt idx="8">
                  <c:v>Oficjalne strony instytucji</c:v>
                </c:pt>
                <c:pt idx="9">
                  <c:v>Internet – ogólnie</c:v>
                </c:pt>
              </c:strCache>
            </c:strRef>
          </c:cat>
          <c:val>
            <c:numRef>
              <c:f>Arkusz1!$B$2:$B$11</c:f>
              <c:numCache>
                <c:formatCode>0.00%</c:formatCode>
                <c:ptCount val="10"/>
                <c:pt idx="0">
                  <c:v>0.01</c:v>
                </c:pt>
                <c:pt idx="1">
                  <c:v>0</c:v>
                </c:pt>
                <c:pt idx="2">
                  <c:v>0.01</c:v>
                </c:pt>
                <c:pt idx="3">
                  <c:v>0.01</c:v>
                </c:pt>
                <c:pt idx="4">
                  <c:v>0.01</c:v>
                </c:pt>
                <c:pt idx="5">
                  <c:v>1.2E-2</c:v>
                </c:pt>
                <c:pt idx="6">
                  <c:v>1.4E-2</c:v>
                </c:pt>
                <c:pt idx="7">
                  <c:v>2.4E-2</c:v>
                </c:pt>
                <c:pt idx="8">
                  <c:v>2.8000000000000001E-2</c:v>
                </c:pt>
                <c:pt idx="9">
                  <c:v>0.83099999999999996</c:v>
                </c:pt>
              </c:numCache>
            </c:numRef>
          </c:val>
          <c:extLst>
            <c:ext xmlns:c16="http://schemas.microsoft.com/office/drawing/2014/chart" uri="{C3380CC4-5D6E-409C-BE32-E72D297353CC}">
              <c16:uniqueId val="{00000000-F28C-4AE1-89D4-C159213D3046}"/>
            </c:ext>
          </c:extLst>
        </c:ser>
        <c:dLbls>
          <c:showLegendKey val="0"/>
          <c:showVal val="0"/>
          <c:showCatName val="0"/>
          <c:showSerName val="0"/>
          <c:showPercent val="0"/>
          <c:showBubbleSize val="0"/>
        </c:dLbls>
        <c:gapWidth val="182"/>
        <c:axId val="1872702431"/>
        <c:axId val="1872702911"/>
      </c:barChart>
      <c:catAx>
        <c:axId val="1872702431"/>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crossAx val="1872702911"/>
        <c:crosses val="autoZero"/>
        <c:auto val="1"/>
        <c:lblAlgn val="ctr"/>
        <c:lblOffset val="100"/>
        <c:noMultiLvlLbl val="0"/>
      </c:catAx>
      <c:valAx>
        <c:axId val="1872702911"/>
        <c:scaling>
          <c:orientation val="minMax"/>
        </c:scaling>
        <c:delete val="0"/>
        <c:axPos val="b"/>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crossAx val="1872702431"/>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pl-PL"/>
    </a:p>
  </c:txPr>
  <c:externalData r:id="rId3">
    <c:autoUpdate val="0"/>
  </c:externalData>
</c:chartSpace>
</file>

<file path=word/charts/chart5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percentStacked"/>
        <c:varyColors val="0"/>
        <c:ser>
          <c:idx val="0"/>
          <c:order val="0"/>
          <c:tx>
            <c:strRef>
              <c:f>Arkusz1!$B$1</c:f>
              <c:strCache>
                <c:ptCount val="1"/>
                <c:pt idx="0">
                  <c:v>zdecydowanie tak</c:v>
                </c:pt>
              </c:strCache>
            </c:strRef>
          </c:tx>
          <c:spPr>
            <a:solidFill>
              <a:srgbClr val="061A3D"/>
            </a:solidFill>
            <a:ln>
              <a:noFill/>
            </a:ln>
            <a:effectLst/>
          </c:spPr>
          <c:invertIfNegative val="0"/>
          <c:dLbls>
            <c:numFmt formatCode="0%" sourceLinked="0"/>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bg1"/>
                    </a:solidFill>
                    <a:latin typeface="Arial" panose="020B0604020202020204" pitchFamily="34" charset="0"/>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Arkusz1!$A$2:$A$9</c:f>
              <c:strCache>
                <c:ptCount val="8"/>
                <c:pt idx="0">
                  <c:v>2018 N=5615</c:v>
                </c:pt>
                <c:pt idx="1">
                  <c:v>2019 N=905</c:v>
                </c:pt>
                <c:pt idx="2">
                  <c:v>2020 N=5514</c:v>
                </c:pt>
                <c:pt idx="3">
                  <c:v>2021 N=887</c:v>
                </c:pt>
                <c:pt idx="4">
                  <c:v>2022 N=5279</c:v>
                </c:pt>
                <c:pt idx="5">
                  <c:v>2023 N=888</c:v>
                </c:pt>
                <c:pt idx="6">
                  <c:v>2024 N=5707</c:v>
                </c:pt>
                <c:pt idx="7">
                  <c:v>2025 N=955</c:v>
                </c:pt>
              </c:strCache>
            </c:strRef>
          </c:cat>
          <c:val>
            <c:numRef>
              <c:f>Arkusz1!$B$2:$B$9</c:f>
              <c:numCache>
                <c:formatCode>0%</c:formatCode>
                <c:ptCount val="8"/>
                <c:pt idx="0">
                  <c:v>7.0000000000000007E-2</c:v>
                </c:pt>
                <c:pt idx="1">
                  <c:v>0.06</c:v>
                </c:pt>
                <c:pt idx="2">
                  <c:v>7.0000000000000007E-2</c:v>
                </c:pt>
                <c:pt idx="3">
                  <c:v>0.11</c:v>
                </c:pt>
                <c:pt idx="4">
                  <c:v>0.11</c:v>
                </c:pt>
                <c:pt idx="5">
                  <c:v>0.11</c:v>
                </c:pt>
                <c:pt idx="6" formatCode="0.00%">
                  <c:v>0.122</c:v>
                </c:pt>
                <c:pt idx="7" formatCode="0.00%">
                  <c:v>0.115</c:v>
                </c:pt>
              </c:numCache>
            </c:numRef>
          </c:val>
          <c:extLst>
            <c:ext xmlns:c16="http://schemas.microsoft.com/office/drawing/2014/chart" uri="{C3380CC4-5D6E-409C-BE32-E72D297353CC}">
              <c16:uniqueId val="{00000000-A30B-43DA-A856-1B459CEAE223}"/>
            </c:ext>
          </c:extLst>
        </c:ser>
        <c:ser>
          <c:idx val="1"/>
          <c:order val="1"/>
          <c:tx>
            <c:strRef>
              <c:f>Arkusz1!$C$1</c:f>
              <c:strCache>
                <c:ptCount val="1"/>
                <c:pt idx="0">
                  <c:v>raczej tak</c:v>
                </c:pt>
              </c:strCache>
            </c:strRef>
          </c:tx>
          <c:spPr>
            <a:solidFill>
              <a:schemeClr val="bg1">
                <a:lumMod val="85000"/>
              </a:schemeClr>
            </a:solidFill>
            <a:ln>
              <a:noFill/>
            </a:ln>
            <a:effectLst/>
          </c:spPr>
          <c:invertIfNegative val="0"/>
          <c:dLbls>
            <c:dLbl>
              <c:idx val="0"/>
              <c:numFmt formatCode="0%" sourceLinked="0"/>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extLst>
                <c:ext xmlns:c16="http://schemas.microsoft.com/office/drawing/2014/chart" uri="{C3380CC4-5D6E-409C-BE32-E72D297353CC}">
                  <c16:uniqueId val="{00000001-A30B-43DA-A856-1B459CEAE223}"/>
                </c:ext>
              </c:extLst>
            </c:dLbl>
            <c:dLbl>
              <c:idx val="1"/>
              <c:numFmt formatCode="0%" sourceLinked="0"/>
              <c:spPr>
                <a:solidFill>
                  <a:srgbClr val="00B0F0"/>
                </a:solid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bg1"/>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extLst>
                <c:ext xmlns:c16="http://schemas.microsoft.com/office/drawing/2014/chart" uri="{C3380CC4-5D6E-409C-BE32-E72D297353CC}">
                  <c16:uniqueId val="{00000002-A30B-43DA-A856-1B459CEAE223}"/>
                </c:ext>
              </c:extLst>
            </c:dLbl>
            <c:dLbl>
              <c:idx val="2"/>
              <c:numFmt formatCode="0%" sourceLinked="0"/>
              <c:spPr>
                <a:solidFill>
                  <a:srgbClr val="00B0F0"/>
                </a:solid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bg1"/>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extLst>
                <c:ext xmlns:c16="http://schemas.microsoft.com/office/drawing/2014/chart" uri="{C3380CC4-5D6E-409C-BE32-E72D297353CC}">
                  <c16:uniqueId val="{00000003-A30B-43DA-A856-1B459CEAE223}"/>
                </c:ext>
              </c:extLst>
            </c:dLbl>
            <c:dLbl>
              <c:idx val="3"/>
              <c:numFmt formatCode="0%" sourceLinked="0"/>
              <c:spPr>
                <a:solidFill>
                  <a:srgbClr val="EE0000"/>
                </a:solid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bg1"/>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extLst>
                <c:ext xmlns:c16="http://schemas.microsoft.com/office/drawing/2014/chart" uri="{C3380CC4-5D6E-409C-BE32-E72D297353CC}">
                  <c16:uniqueId val="{00000004-A30B-43DA-A856-1B459CEAE223}"/>
                </c:ext>
              </c:extLst>
            </c:dLbl>
            <c:dLbl>
              <c:idx val="4"/>
              <c:numFmt formatCode="0%" sourceLinked="0"/>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extLst>
                <c:ext xmlns:c16="http://schemas.microsoft.com/office/drawing/2014/chart" uri="{C3380CC4-5D6E-409C-BE32-E72D297353CC}">
                  <c16:uniqueId val="{00000005-A30B-43DA-A856-1B459CEAE223}"/>
                </c:ext>
              </c:extLst>
            </c:dLbl>
            <c:dLbl>
              <c:idx val="5"/>
              <c:numFmt formatCode="0%" sourceLinked="0"/>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extLst>
                <c:ext xmlns:c16="http://schemas.microsoft.com/office/drawing/2014/chart" uri="{C3380CC4-5D6E-409C-BE32-E72D297353CC}">
                  <c16:uniqueId val="{00000006-A30B-43DA-A856-1B459CEAE223}"/>
                </c:ext>
              </c:extLst>
            </c:dLbl>
            <c:dLbl>
              <c:idx val="6"/>
              <c:numFmt formatCode="0%" sourceLinked="0"/>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extLst>
                <c:ext xmlns:c16="http://schemas.microsoft.com/office/drawing/2014/chart" uri="{C3380CC4-5D6E-409C-BE32-E72D297353CC}">
                  <c16:uniqueId val="{00000007-A30B-43DA-A856-1B459CEAE223}"/>
                </c:ext>
              </c:extLst>
            </c:dLbl>
            <c:dLbl>
              <c:idx val="7"/>
              <c:numFmt formatCode="0%" sourceLinked="0"/>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extLst>
                <c:ext xmlns:c16="http://schemas.microsoft.com/office/drawing/2014/chart" uri="{C3380CC4-5D6E-409C-BE32-E72D297353CC}">
                  <c16:uniqueId val="{00000008-A30B-43DA-A856-1B459CEAE223}"/>
                </c:ext>
              </c:extLst>
            </c:dLbl>
            <c:numFmt formatCode="0%" sourceLinked="0"/>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Arkusz1!$A$2:$A$9</c:f>
              <c:strCache>
                <c:ptCount val="8"/>
                <c:pt idx="0">
                  <c:v>2018 N=5615</c:v>
                </c:pt>
                <c:pt idx="1">
                  <c:v>2019 N=905</c:v>
                </c:pt>
                <c:pt idx="2">
                  <c:v>2020 N=5514</c:v>
                </c:pt>
                <c:pt idx="3">
                  <c:v>2021 N=887</c:v>
                </c:pt>
                <c:pt idx="4">
                  <c:v>2022 N=5279</c:v>
                </c:pt>
                <c:pt idx="5">
                  <c:v>2023 N=888</c:v>
                </c:pt>
                <c:pt idx="6">
                  <c:v>2024 N=5707</c:v>
                </c:pt>
                <c:pt idx="7">
                  <c:v>2025 N=955</c:v>
                </c:pt>
              </c:strCache>
            </c:strRef>
          </c:cat>
          <c:val>
            <c:numRef>
              <c:f>Arkusz1!$C$2:$C$9</c:f>
              <c:numCache>
                <c:formatCode>0%</c:formatCode>
                <c:ptCount val="8"/>
                <c:pt idx="0">
                  <c:v>0.44</c:v>
                </c:pt>
                <c:pt idx="1">
                  <c:v>0.37</c:v>
                </c:pt>
                <c:pt idx="2">
                  <c:v>0.37</c:v>
                </c:pt>
                <c:pt idx="3">
                  <c:v>0.51</c:v>
                </c:pt>
                <c:pt idx="4">
                  <c:v>0.42</c:v>
                </c:pt>
                <c:pt idx="5">
                  <c:v>0.45</c:v>
                </c:pt>
                <c:pt idx="6" formatCode="0.00%">
                  <c:v>0.44700000000000001</c:v>
                </c:pt>
                <c:pt idx="7" formatCode="0.00%">
                  <c:v>0.432</c:v>
                </c:pt>
              </c:numCache>
            </c:numRef>
          </c:val>
          <c:extLst>
            <c:ext xmlns:c16="http://schemas.microsoft.com/office/drawing/2014/chart" uri="{C3380CC4-5D6E-409C-BE32-E72D297353CC}">
              <c16:uniqueId val="{00000009-A30B-43DA-A856-1B459CEAE223}"/>
            </c:ext>
          </c:extLst>
        </c:ser>
        <c:ser>
          <c:idx val="2"/>
          <c:order val="2"/>
          <c:tx>
            <c:strRef>
              <c:f>Arkusz1!$D$1</c:f>
              <c:strCache>
                <c:ptCount val="1"/>
                <c:pt idx="0">
                  <c:v>ani tak, ani nie</c:v>
                </c:pt>
              </c:strCache>
            </c:strRef>
          </c:tx>
          <c:spPr>
            <a:solidFill>
              <a:schemeClr val="tx1">
                <a:lumMod val="50000"/>
                <a:lumOff val="50000"/>
              </a:schemeClr>
            </a:solidFill>
            <a:ln>
              <a:noFill/>
            </a:ln>
            <a:effectLst/>
          </c:spPr>
          <c:invertIfNegative val="0"/>
          <c:dLbls>
            <c:dLbl>
              <c:idx val="3"/>
              <c:numFmt formatCode="0%" sourceLinked="0"/>
              <c:spPr>
                <a:solidFill>
                  <a:srgbClr val="00B0F0"/>
                </a:solid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bg1"/>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extLst>
                <c:ext xmlns:c16="http://schemas.microsoft.com/office/drawing/2014/chart" uri="{C3380CC4-5D6E-409C-BE32-E72D297353CC}">
                  <c16:uniqueId val="{0000000A-A30B-43DA-A856-1B459CEAE223}"/>
                </c:ext>
              </c:extLst>
            </c:dLbl>
            <c:dLbl>
              <c:idx val="7"/>
              <c:numFmt formatCode="0%" sourceLinked="0"/>
              <c:spPr>
                <a:solidFill>
                  <a:srgbClr val="EE0000"/>
                </a:solid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bg1"/>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extLst>
                <c:ext xmlns:c16="http://schemas.microsoft.com/office/drawing/2014/chart" uri="{C3380CC4-5D6E-409C-BE32-E72D297353CC}">
                  <c16:uniqueId val="{0000000B-A30B-43DA-A856-1B459CEAE223}"/>
                </c:ext>
              </c:extLst>
            </c:dLbl>
            <c:numFmt formatCode="0%" sourceLinked="0"/>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bg1"/>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Arkusz1!$A$2:$A$9</c:f>
              <c:strCache>
                <c:ptCount val="8"/>
                <c:pt idx="0">
                  <c:v>2018 N=5615</c:v>
                </c:pt>
                <c:pt idx="1">
                  <c:v>2019 N=905</c:v>
                </c:pt>
                <c:pt idx="2">
                  <c:v>2020 N=5514</c:v>
                </c:pt>
                <c:pt idx="3">
                  <c:v>2021 N=887</c:v>
                </c:pt>
                <c:pt idx="4">
                  <c:v>2022 N=5279</c:v>
                </c:pt>
                <c:pt idx="5">
                  <c:v>2023 N=888</c:v>
                </c:pt>
                <c:pt idx="6">
                  <c:v>2024 N=5707</c:v>
                </c:pt>
                <c:pt idx="7">
                  <c:v>2025 N=955</c:v>
                </c:pt>
              </c:strCache>
            </c:strRef>
          </c:cat>
          <c:val>
            <c:numRef>
              <c:f>Arkusz1!$D$2:$D$9</c:f>
              <c:numCache>
                <c:formatCode>0%</c:formatCode>
                <c:ptCount val="8"/>
                <c:pt idx="0">
                  <c:v>0.2</c:v>
                </c:pt>
                <c:pt idx="1">
                  <c:v>0.24</c:v>
                </c:pt>
                <c:pt idx="2">
                  <c:v>0.21</c:v>
                </c:pt>
                <c:pt idx="3">
                  <c:v>0.15</c:v>
                </c:pt>
                <c:pt idx="4">
                  <c:v>0.18</c:v>
                </c:pt>
                <c:pt idx="5">
                  <c:v>0.2</c:v>
                </c:pt>
                <c:pt idx="6" formatCode="0.00%">
                  <c:v>0.16600000000000001</c:v>
                </c:pt>
                <c:pt idx="7" formatCode="0.00%">
                  <c:v>0.25800000000000001</c:v>
                </c:pt>
              </c:numCache>
            </c:numRef>
          </c:val>
          <c:extLst>
            <c:ext xmlns:c16="http://schemas.microsoft.com/office/drawing/2014/chart" uri="{C3380CC4-5D6E-409C-BE32-E72D297353CC}">
              <c16:uniqueId val="{0000000C-A30B-43DA-A856-1B459CEAE223}"/>
            </c:ext>
          </c:extLst>
        </c:ser>
        <c:ser>
          <c:idx val="3"/>
          <c:order val="3"/>
          <c:tx>
            <c:strRef>
              <c:f>Arkusz1!$E$1</c:f>
              <c:strCache>
                <c:ptCount val="1"/>
                <c:pt idx="0">
                  <c:v>raczej nie</c:v>
                </c:pt>
              </c:strCache>
            </c:strRef>
          </c:tx>
          <c:spPr>
            <a:solidFill>
              <a:schemeClr val="accent4"/>
            </a:solidFill>
            <a:ln>
              <a:noFill/>
            </a:ln>
            <a:effectLst/>
          </c:spPr>
          <c:invertIfNegative val="0"/>
          <c:dLbls>
            <c:numFmt formatCode="0%" sourceLinked="0"/>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Arkusz1!$A$2:$A$9</c:f>
              <c:strCache>
                <c:ptCount val="8"/>
                <c:pt idx="0">
                  <c:v>2018 N=5615</c:v>
                </c:pt>
                <c:pt idx="1">
                  <c:v>2019 N=905</c:v>
                </c:pt>
                <c:pt idx="2">
                  <c:v>2020 N=5514</c:v>
                </c:pt>
                <c:pt idx="3">
                  <c:v>2021 N=887</c:v>
                </c:pt>
                <c:pt idx="4">
                  <c:v>2022 N=5279</c:v>
                </c:pt>
                <c:pt idx="5">
                  <c:v>2023 N=888</c:v>
                </c:pt>
                <c:pt idx="6">
                  <c:v>2024 N=5707</c:v>
                </c:pt>
                <c:pt idx="7">
                  <c:v>2025 N=955</c:v>
                </c:pt>
              </c:strCache>
            </c:strRef>
          </c:cat>
          <c:val>
            <c:numRef>
              <c:f>Arkusz1!$E$2:$E$9</c:f>
              <c:numCache>
                <c:formatCode>0%</c:formatCode>
                <c:ptCount val="8"/>
                <c:pt idx="0">
                  <c:v>0.11</c:v>
                </c:pt>
                <c:pt idx="1">
                  <c:v>0.13</c:v>
                </c:pt>
                <c:pt idx="2">
                  <c:v>0.12</c:v>
                </c:pt>
                <c:pt idx="3">
                  <c:v>0.11</c:v>
                </c:pt>
                <c:pt idx="4">
                  <c:v>0.12</c:v>
                </c:pt>
                <c:pt idx="5">
                  <c:v>0.1</c:v>
                </c:pt>
                <c:pt idx="6" formatCode="0.00%">
                  <c:v>9.7000000000000003E-2</c:v>
                </c:pt>
                <c:pt idx="7" formatCode="0.00%">
                  <c:v>9.7000000000000003E-2</c:v>
                </c:pt>
              </c:numCache>
            </c:numRef>
          </c:val>
          <c:extLst>
            <c:ext xmlns:c16="http://schemas.microsoft.com/office/drawing/2014/chart" uri="{C3380CC4-5D6E-409C-BE32-E72D297353CC}">
              <c16:uniqueId val="{0000000D-A30B-43DA-A856-1B459CEAE223}"/>
            </c:ext>
          </c:extLst>
        </c:ser>
        <c:ser>
          <c:idx val="4"/>
          <c:order val="4"/>
          <c:tx>
            <c:strRef>
              <c:f>Arkusz1!$F$1</c:f>
              <c:strCache>
                <c:ptCount val="1"/>
                <c:pt idx="0">
                  <c:v>zdecydowanie nie</c:v>
                </c:pt>
              </c:strCache>
            </c:strRef>
          </c:tx>
          <c:spPr>
            <a:solidFill>
              <a:schemeClr val="accent5"/>
            </a:solidFill>
            <a:ln>
              <a:noFill/>
            </a:ln>
            <a:effectLst/>
          </c:spPr>
          <c:invertIfNegative val="0"/>
          <c:dLbls>
            <c:numFmt formatCode="0%" sourceLinked="0"/>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bg1"/>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Arkusz1!$A$2:$A$9</c:f>
              <c:strCache>
                <c:ptCount val="8"/>
                <c:pt idx="0">
                  <c:v>2018 N=5615</c:v>
                </c:pt>
                <c:pt idx="1">
                  <c:v>2019 N=905</c:v>
                </c:pt>
                <c:pt idx="2">
                  <c:v>2020 N=5514</c:v>
                </c:pt>
                <c:pt idx="3">
                  <c:v>2021 N=887</c:v>
                </c:pt>
                <c:pt idx="4">
                  <c:v>2022 N=5279</c:v>
                </c:pt>
                <c:pt idx="5">
                  <c:v>2023 N=888</c:v>
                </c:pt>
                <c:pt idx="6">
                  <c:v>2024 N=5707</c:v>
                </c:pt>
                <c:pt idx="7">
                  <c:v>2025 N=955</c:v>
                </c:pt>
              </c:strCache>
            </c:strRef>
          </c:cat>
          <c:val>
            <c:numRef>
              <c:f>Arkusz1!$F$2:$F$9</c:f>
              <c:numCache>
                <c:formatCode>0%</c:formatCode>
                <c:ptCount val="8"/>
                <c:pt idx="0">
                  <c:v>0.04</c:v>
                </c:pt>
                <c:pt idx="1">
                  <c:v>0.03</c:v>
                </c:pt>
                <c:pt idx="2">
                  <c:v>0.06</c:v>
                </c:pt>
                <c:pt idx="3">
                  <c:v>0.03</c:v>
                </c:pt>
                <c:pt idx="4">
                  <c:v>0.04</c:v>
                </c:pt>
                <c:pt idx="5">
                  <c:v>0.04</c:v>
                </c:pt>
                <c:pt idx="6" formatCode="0.00%">
                  <c:v>3.5000000000000003E-2</c:v>
                </c:pt>
                <c:pt idx="7" formatCode="0.00%">
                  <c:v>4.5999999999999999E-2</c:v>
                </c:pt>
              </c:numCache>
            </c:numRef>
          </c:val>
          <c:extLst>
            <c:ext xmlns:c16="http://schemas.microsoft.com/office/drawing/2014/chart" uri="{C3380CC4-5D6E-409C-BE32-E72D297353CC}">
              <c16:uniqueId val="{0000000E-A30B-43DA-A856-1B459CEAE223}"/>
            </c:ext>
          </c:extLst>
        </c:ser>
        <c:ser>
          <c:idx val="5"/>
          <c:order val="5"/>
          <c:tx>
            <c:strRef>
              <c:f>Arkusz1!$G$1</c:f>
              <c:strCache>
                <c:ptCount val="1"/>
                <c:pt idx="0">
                  <c:v>nie wiem / trudno powiedzieć</c:v>
                </c:pt>
              </c:strCache>
            </c:strRef>
          </c:tx>
          <c:spPr>
            <a:solidFill>
              <a:schemeClr val="accent6"/>
            </a:solidFill>
            <a:ln>
              <a:noFill/>
            </a:ln>
            <a:effectLst/>
          </c:spPr>
          <c:invertIfNegative val="0"/>
          <c:dLbls>
            <c:dLbl>
              <c:idx val="0"/>
              <c:layout>
                <c:manualLayout>
                  <c:x val="2.5462962962962792E-2"/>
                  <c:y val="-6.4205457463884577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A30B-43DA-A856-1B459CEAE223}"/>
                </c:ext>
              </c:extLst>
            </c:dLbl>
            <c:dLbl>
              <c:idx val="1"/>
              <c:tx>
                <c:rich>
                  <a:bodyPr rot="0" spcFirstLastPara="1" vertOverflow="ellipsis" vert="horz" wrap="square" lIns="38100" tIns="19050" rIns="38100" bIns="19050" anchor="ctr" anchorCtr="1">
                    <a:spAutoFit/>
                  </a:bodyPr>
                  <a:lstStyle/>
                  <a:p>
                    <a:pPr>
                      <a:defRPr sz="1100" b="0" i="0" u="none" strike="noStrike" kern="1200" baseline="0">
                        <a:solidFill>
                          <a:schemeClr val="bg1"/>
                        </a:solidFill>
                        <a:latin typeface="Arial" panose="020B0604020202020204" pitchFamily="34" charset="0"/>
                        <a:ea typeface="+mn-ea"/>
                        <a:cs typeface="Arial" panose="020B0604020202020204" pitchFamily="34" charset="0"/>
                      </a:defRPr>
                    </a:pPr>
                    <a:r>
                      <a:rPr lang="en-US" sz="1100">
                        <a:solidFill>
                          <a:schemeClr val="bg1"/>
                        </a:solidFill>
                        <a:latin typeface="Arial" panose="020B0604020202020204" pitchFamily="34" charset="0"/>
                        <a:cs typeface="Arial" panose="020B0604020202020204" pitchFamily="34" charset="0"/>
                      </a:rPr>
                      <a:t>17%</a:t>
                    </a:r>
                  </a:p>
                </c:rich>
              </c:tx>
              <c:numFmt formatCode="0%" sourceLinked="0"/>
              <c:spPr>
                <a:solidFill>
                  <a:srgbClr val="EE0000"/>
                </a:solid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bg1"/>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0-A30B-43DA-A856-1B459CEAE223}"/>
                </c:ext>
              </c:extLst>
            </c:dLbl>
            <c:dLbl>
              <c:idx val="7"/>
              <c:layout>
                <c:manualLayout>
                  <c:x val="1.6203703703703703E-2"/>
                  <c:y val="0"/>
                </c:manualLayout>
              </c:layout>
              <c:tx>
                <c:rich>
                  <a:bodyPr rot="0" spcFirstLastPara="1" vertOverflow="ellipsis" vert="horz" wrap="square" lIns="38100" tIns="19050" rIns="38100" bIns="19050" anchor="ctr" anchorCtr="1">
                    <a:spAutoFit/>
                  </a:bodyPr>
                  <a:lstStyle/>
                  <a:p>
                    <a:pPr>
                      <a:defRPr sz="1100" b="0" i="0" u="none" strike="noStrike" kern="1200" baseline="0">
                        <a:solidFill>
                          <a:schemeClr val="bg1"/>
                        </a:solidFill>
                        <a:latin typeface="Arial" panose="020B0604020202020204" pitchFamily="34" charset="0"/>
                        <a:ea typeface="+mn-ea"/>
                        <a:cs typeface="Arial" panose="020B0604020202020204" pitchFamily="34" charset="0"/>
                      </a:defRPr>
                    </a:pPr>
                    <a:r>
                      <a:rPr lang="en-US" sz="1100">
                        <a:solidFill>
                          <a:schemeClr val="bg1"/>
                        </a:solidFill>
                        <a:latin typeface="Arial" panose="020B0604020202020204" pitchFamily="34" charset="0"/>
                        <a:cs typeface="Arial" panose="020B0604020202020204" pitchFamily="34" charset="0"/>
                      </a:rPr>
                      <a:t>5%</a:t>
                    </a:r>
                  </a:p>
                </c:rich>
              </c:tx>
              <c:numFmt formatCode="0%" sourceLinked="0"/>
              <c:spPr>
                <a:solidFill>
                  <a:srgbClr val="00B0F0"/>
                </a:solid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bg1"/>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1-A30B-43DA-A856-1B459CEAE223}"/>
                </c:ext>
              </c:extLst>
            </c:dLbl>
            <c:numFmt formatCode="0%" sourceLinked="0"/>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Arkusz1!$A$2:$A$9</c:f>
              <c:strCache>
                <c:ptCount val="8"/>
                <c:pt idx="0">
                  <c:v>2018 N=5615</c:v>
                </c:pt>
                <c:pt idx="1">
                  <c:v>2019 N=905</c:v>
                </c:pt>
                <c:pt idx="2">
                  <c:v>2020 N=5514</c:v>
                </c:pt>
                <c:pt idx="3">
                  <c:v>2021 N=887</c:v>
                </c:pt>
                <c:pt idx="4">
                  <c:v>2022 N=5279</c:v>
                </c:pt>
                <c:pt idx="5">
                  <c:v>2023 N=888</c:v>
                </c:pt>
                <c:pt idx="6">
                  <c:v>2024 N=5707</c:v>
                </c:pt>
                <c:pt idx="7">
                  <c:v>2025 N=955</c:v>
                </c:pt>
              </c:strCache>
            </c:strRef>
          </c:cat>
          <c:val>
            <c:numRef>
              <c:f>Arkusz1!$G$2:$G$9</c:f>
              <c:numCache>
                <c:formatCode>0%</c:formatCode>
                <c:ptCount val="8"/>
                <c:pt idx="0">
                  <c:v>0.14000000000000001</c:v>
                </c:pt>
                <c:pt idx="1">
                  <c:v>0.17</c:v>
                </c:pt>
                <c:pt idx="2">
                  <c:v>0.16</c:v>
                </c:pt>
                <c:pt idx="3">
                  <c:v>0.08</c:v>
                </c:pt>
                <c:pt idx="4">
                  <c:v>0.12</c:v>
                </c:pt>
                <c:pt idx="5">
                  <c:v>0.1</c:v>
                </c:pt>
                <c:pt idx="6" formatCode="0.00%">
                  <c:v>0.13300000000000001</c:v>
                </c:pt>
                <c:pt idx="7" formatCode="0.00%">
                  <c:v>5.0999999999999997E-2</c:v>
                </c:pt>
              </c:numCache>
            </c:numRef>
          </c:val>
          <c:extLst>
            <c:ext xmlns:c16="http://schemas.microsoft.com/office/drawing/2014/chart" uri="{C3380CC4-5D6E-409C-BE32-E72D297353CC}">
              <c16:uniqueId val="{00000012-A30B-43DA-A856-1B459CEAE223}"/>
            </c:ext>
          </c:extLst>
        </c:ser>
        <c:dLbls>
          <c:showLegendKey val="0"/>
          <c:showVal val="0"/>
          <c:showCatName val="0"/>
          <c:showSerName val="0"/>
          <c:showPercent val="0"/>
          <c:showBubbleSize val="0"/>
        </c:dLbls>
        <c:gapWidth val="60"/>
        <c:overlap val="100"/>
        <c:axId val="875697471"/>
        <c:axId val="875698911"/>
      </c:barChart>
      <c:catAx>
        <c:axId val="875697471"/>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875698911"/>
        <c:crosses val="autoZero"/>
        <c:auto val="1"/>
        <c:lblAlgn val="ctr"/>
        <c:lblOffset val="100"/>
        <c:noMultiLvlLbl val="0"/>
      </c:catAx>
      <c:valAx>
        <c:axId val="875698911"/>
        <c:scaling>
          <c:orientation val="minMax"/>
        </c:scaling>
        <c:delete val="0"/>
        <c:axPos val="b"/>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pl-PL"/>
          </a:p>
        </c:txPr>
        <c:crossAx val="875697471"/>
        <c:crosses val="autoZero"/>
        <c:crossBetween val="between"/>
      </c:valAx>
      <c:spPr>
        <a:noFill/>
        <a:ln>
          <a:noFill/>
        </a:ln>
        <a:effectLst/>
      </c:spPr>
    </c:plotArea>
    <c:legend>
      <c:legendPos val="b"/>
      <c:layout>
        <c:manualLayout>
          <c:xMode val="edge"/>
          <c:yMode val="edge"/>
          <c:x val="0.13232465733449986"/>
          <c:y val="0.7880878654213167"/>
          <c:w val="0.77238772236803732"/>
          <c:h val="0.19265049733951795"/>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pl-PL"/>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Arkusz1!$B$1</c:f>
              <c:strCache>
                <c:ptCount val="1"/>
                <c:pt idx="0">
                  <c:v>T2B (%)</c:v>
                </c:pt>
              </c:strCache>
            </c:strRef>
          </c:tx>
          <c:spPr>
            <a:ln w="28575" cap="rnd">
              <a:solidFill>
                <a:srgbClr val="061A3D"/>
              </a:solidFill>
              <a:round/>
            </a:ln>
            <a:effectLst/>
          </c:spPr>
          <c:marker>
            <c:symbol val="circle"/>
            <c:size val="5"/>
            <c:spPr>
              <a:solidFill>
                <a:srgbClr val="061A3D"/>
              </a:solidFill>
              <a:ln w="9525">
                <a:solidFill>
                  <a:srgbClr val="061A3D"/>
                </a:solidFill>
              </a:ln>
              <a:effectLst/>
            </c:spPr>
          </c:marker>
          <c:dLbls>
            <c:dLbl>
              <c:idx val="2"/>
              <c:spPr>
                <a:solidFill>
                  <a:srgbClr val="00B0F0"/>
                </a:solid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bg1"/>
                      </a:solidFill>
                      <a:latin typeface="Arial" panose="020B0604020202020204" pitchFamily="34" charset="0"/>
                      <a:ea typeface="+mn-ea"/>
                      <a:cs typeface="Arial" panose="020B0604020202020204" pitchFamily="34" charset="0"/>
                    </a:defRPr>
                  </a:pPr>
                  <a:endParaRPr lang="pl-PL"/>
                </a:p>
              </c:txPr>
              <c:dLblPos val="t"/>
              <c:showLegendKey val="0"/>
              <c:showVal val="1"/>
              <c:showCatName val="0"/>
              <c:showSerName val="0"/>
              <c:showPercent val="0"/>
              <c:showBubbleSize val="0"/>
              <c:extLst>
                <c:ext xmlns:c16="http://schemas.microsoft.com/office/drawing/2014/chart" uri="{C3380CC4-5D6E-409C-BE32-E72D297353CC}">
                  <c16:uniqueId val="{00000000-1EDC-4D82-97D1-5AE252BFDC5F}"/>
                </c:ext>
              </c:extLst>
            </c:dLbl>
            <c:dLbl>
              <c:idx val="8"/>
              <c:spPr>
                <a:solidFill>
                  <a:srgbClr val="00B0F0"/>
                </a:solid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bg1"/>
                      </a:solidFill>
                      <a:latin typeface="Arial" panose="020B0604020202020204" pitchFamily="34" charset="0"/>
                      <a:ea typeface="+mn-ea"/>
                      <a:cs typeface="Arial" panose="020B0604020202020204" pitchFamily="34" charset="0"/>
                    </a:defRPr>
                  </a:pPr>
                  <a:endParaRPr lang="pl-PL"/>
                </a:p>
              </c:txPr>
              <c:dLblPos val="t"/>
              <c:showLegendKey val="0"/>
              <c:showVal val="1"/>
              <c:showCatName val="0"/>
              <c:showSerName val="0"/>
              <c:showPercent val="0"/>
              <c:showBubbleSize val="0"/>
              <c:extLst>
                <c:ext xmlns:c16="http://schemas.microsoft.com/office/drawing/2014/chart" uri="{C3380CC4-5D6E-409C-BE32-E72D297353CC}">
                  <c16:uniqueId val="{00000001-1EDC-4D82-97D1-5AE252BFDC5F}"/>
                </c:ext>
              </c:extLst>
            </c:dLbl>
            <c:dLbl>
              <c:idx val="10"/>
              <c:spPr>
                <a:solidFill>
                  <a:srgbClr val="EE0000"/>
                </a:solid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bg1"/>
                      </a:solidFill>
                      <a:latin typeface="Arial" panose="020B0604020202020204" pitchFamily="34" charset="0"/>
                      <a:ea typeface="+mn-ea"/>
                      <a:cs typeface="Arial" panose="020B0604020202020204" pitchFamily="34" charset="0"/>
                    </a:defRPr>
                  </a:pPr>
                  <a:endParaRPr lang="pl-PL"/>
                </a:p>
              </c:txPr>
              <c:dLblPos val="t"/>
              <c:showLegendKey val="0"/>
              <c:showVal val="1"/>
              <c:showCatName val="0"/>
              <c:showSerName val="0"/>
              <c:showPercent val="0"/>
              <c:showBubbleSize val="0"/>
              <c:extLst>
                <c:ext xmlns:c16="http://schemas.microsoft.com/office/drawing/2014/chart" uri="{C3380CC4-5D6E-409C-BE32-E72D297353CC}">
                  <c16:uniqueId val="{00000002-1EDC-4D82-97D1-5AE252BFDC5F}"/>
                </c:ext>
              </c:extLst>
            </c:dLbl>
            <c:dLbl>
              <c:idx val="11"/>
              <c:spPr>
                <a:solidFill>
                  <a:srgbClr val="EE0000"/>
                </a:solid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bg1"/>
                      </a:solidFill>
                      <a:latin typeface="Arial" panose="020B0604020202020204" pitchFamily="34" charset="0"/>
                      <a:ea typeface="+mn-ea"/>
                      <a:cs typeface="Arial" panose="020B0604020202020204" pitchFamily="34" charset="0"/>
                    </a:defRPr>
                  </a:pPr>
                  <a:endParaRPr lang="pl-PL"/>
                </a:p>
              </c:txPr>
              <c:dLblPos val="t"/>
              <c:showLegendKey val="0"/>
              <c:showVal val="1"/>
              <c:showCatName val="0"/>
              <c:showSerName val="0"/>
              <c:showPercent val="0"/>
              <c:showBubbleSize val="0"/>
              <c:extLst>
                <c:ext xmlns:c16="http://schemas.microsoft.com/office/drawing/2014/chart" uri="{C3380CC4-5D6E-409C-BE32-E72D297353CC}">
                  <c16:uniqueId val="{00000003-1EDC-4D82-97D1-5AE252BFDC5F}"/>
                </c:ext>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Arkusz1!$A$2:$A$13</c:f>
              <c:strCache>
                <c:ptCount val="12"/>
                <c:pt idx="0">
                  <c:v>2014 N=6352</c:v>
                </c:pt>
                <c:pt idx="1">
                  <c:v>2015 N=1642</c:v>
                </c:pt>
                <c:pt idx="2">
                  <c:v>2016 N=6160</c:v>
                </c:pt>
                <c:pt idx="3">
                  <c:v>2017 N=1010</c:v>
                </c:pt>
                <c:pt idx="4">
                  <c:v>2018 N=6193</c:v>
                </c:pt>
                <c:pt idx="5">
                  <c:v>2019 N=1011</c:v>
                </c:pt>
                <c:pt idx="6">
                  <c:v>2020 N=6160</c:v>
                </c:pt>
                <c:pt idx="7">
                  <c:v>2021 N=1101</c:v>
                </c:pt>
                <c:pt idx="8">
                  <c:v>2022 N=6160</c:v>
                </c:pt>
                <c:pt idx="9">
                  <c:v>2023 N=1078</c:v>
                </c:pt>
                <c:pt idx="10">
                  <c:v>2024 N=6160</c:v>
                </c:pt>
                <c:pt idx="11">
                  <c:v>2025 N=1000</c:v>
                </c:pt>
              </c:strCache>
            </c:strRef>
          </c:cat>
          <c:val>
            <c:numRef>
              <c:f>Arkusz1!$B$2:$B$13</c:f>
              <c:numCache>
                <c:formatCode>0%</c:formatCode>
                <c:ptCount val="12"/>
                <c:pt idx="0">
                  <c:v>0.9</c:v>
                </c:pt>
                <c:pt idx="1">
                  <c:v>0.89</c:v>
                </c:pt>
                <c:pt idx="2">
                  <c:v>0.83</c:v>
                </c:pt>
                <c:pt idx="3">
                  <c:v>0.88</c:v>
                </c:pt>
                <c:pt idx="4">
                  <c:v>0.91</c:v>
                </c:pt>
                <c:pt idx="5">
                  <c:v>0.92</c:v>
                </c:pt>
                <c:pt idx="6">
                  <c:v>0.89</c:v>
                </c:pt>
                <c:pt idx="7">
                  <c:v>0.91</c:v>
                </c:pt>
                <c:pt idx="8">
                  <c:v>0.81</c:v>
                </c:pt>
                <c:pt idx="9">
                  <c:v>0.87</c:v>
                </c:pt>
                <c:pt idx="10">
                  <c:v>0.93600000000000005</c:v>
                </c:pt>
                <c:pt idx="11">
                  <c:v>0.95599999999999996</c:v>
                </c:pt>
              </c:numCache>
            </c:numRef>
          </c:val>
          <c:smooth val="0"/>
          <c:extLst>
            <c:ext xmlns:c16="http://schemas.microsoft.com/office/drawing/2014/chart" uri="{C3380CC4-5D6E-409C-BE32-E72D297353CC}">
              <c16:uniqueId val="{00000000-F4AD-49F4-B47C-A2FFA303B57F}"/>
            </c:ext>
          </c:extLst>
        </c:ser>
        <c:dLbls>
          <c:showLegendKey val="0"/>
          <c:showVal val="0"/>
          <c:showCatName val="0"/>
          <c:showSerName val="0"/>
          <c:showPercent val="0"/>
          <c:showBubbleSize val="0"/>
        </c:dLbls>
        <c:marker val="1"/>
        <c:smooth val="0"/>
        <c:axId val="877883119"/>
        <c:axId val="877885519"/>
      </c:lineChart>
      <c:catAx>
        <c:axId val="87788311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crossAx val="877885519"/>
        <c:crosses val="autoZero"/>
        <c:auto val="1"/>
        <c:lblAlgn val="ctr"/>
        <c:lblOffset val="100"/>
        <c:noMultiLvlLbl val="0"/>
      </c:catAx>
      <c:valAx>
        <c:axId val="877885519"/>
        <c:scaling>
          <c:orientation val="minMax"/>
          <c:min val="0.2"/>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crossAx val="877883119"/>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pl-PL"/>
    </a:p>
  </c:txPr>
  <c:externalData r:id="rId3">
    <c:autoUpdate val="0"/>
  </c:externalData>
</c:chartSpace>
</file>

<file path=word/charts/chart6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8609598279381745"/>
          <c:y val="5.2991687075904813E-2"/>
          <c:w val="0.7573993875765529"/>
          <c:h val="0.82660469280804783"/>
        </c:manualLayout>
      </c:layout>
      <c:barChart>
        <c:barDir val="bar"/>
        <c:grouping val="percentStacked"/>
        <c:varyColors val="0"/>
        <c:ser>
          <c:idx val="0"/>
          <c:order val="0"/>
          <c:tx>
            <c:strRef>
              <c:f>Arkusz1!$B$1</c:f>
              <c:strCache>
                <c:ptCount val="1"/>
                <c:pt idx="0">
                  <c:v>zdecydowanie tak</c:v>
                </c:pt>
              </c:strCache>
            </c:strRef>
          </c:tx>
          <c:spPr>
            <a:solidFill>
              <a:srgbClr val="061A3D"/>
            </a:solidFill>
            <a:ln>
              <a:noFill/>
            </a:ln>
            <a:effectLst/>
          </c:spPr>
          <c:invertIfNegative val="0"/>
          <c:dLbls>
            <c:dLbl>
              <c:idx val="3"/>
              <c:layout>
                <c:manualLayout>
                  <c:x val="0"/>
                  <c:y val="2.4729939173033636E-3"/>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DB8-4223-A467-A25BEFC84C59}"/>
                </c:ext>
              </c:extLst>
            </c:dLbl>
            <c:dLbl>
              <c:idx val="7"/>
              <c:layout>
                <c:manualLayout>
                  <c:x val="-2.3148148148148147E-3"/>
                  <c:y val="1.9470859911057113E-7"/>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DB8-4223-A467-A25BEFC84C59}"/>
                </c:ext>
              </c:extLst>
            </c:dLbl>
            <c:dLbl>
              <c:idx val="19"/>
              <c:numFmt formatCode="0%" sourceLinked="0"/>
              <c:spPr>
                <a:solidFill>
                  <a:srgbClr val="EE0000"/>
                </a:solid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bg1"/>
                      </a:solidFill>
                      <a:latin typeface="Arial" panose="020B0604020202020204" pitchFamily="34" charset="0"/>
                      <a:ea typeface="+mn-ea"/>
                      <a:cs typeface="Arial" panose="020B0604020202020204" pitchFamily="34" charset="0"/>
                    </a:defRPr>
                  </a:pPr>
                  <a:endParaRPr lang="pl-PL"/>
                </a:p>
              </c:txPr>
              <c:dLblPos val="ctr"/>
              <c:showLegendKey val="0"/>
              <c:showVal val="1"/>
              <c:showCatName val="0"/>
              <c:showSerName val="0"/>
              <c:showPercent val="0"/>
              <c:showBubbleSize val="0"/>
              <c:extLst>
                <c:ext xmlns:c16="http://schemas.microsoft.com/office/drawing/2014/chart" uri="{C3380CC4-5D6E-409C-BE32-E72D297353CC}">
                  <c16:uniqueId val="{00000002-FDB8-4223-A467-A25BEFC84C59}"/>
                </c:ext>
              </c:extLst>
            </c:dLbl>
            <c:numFmt formatCode="0%" sourceLinked="0"/>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bg1"/>
                    </a:solidFill>
                    <a:latin typeface="Arial" panose="020B0604020202020204" pitchFamily="34" charset="0"/>
                    <a:ea typeface="+mn-ea"/>
                    <a:cs typeface="Arial" panose="020B0604020202020204" pitchFamily="34" charset="0"/>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Arkusz1!$A$2:$A$25</c:f>
              <c:strCache>
                <c:ptCount val="24"/>
                <c:pt idx="0">
                  <c:v>Ogółem</c:v>
                </c:pt>
                <c:pt idx="2">
                  <c:v>Kobieta</c:v>
                </c:pt>
                <c:pt idx="3">
                  <c:v>Mężczyzna</c:v>
                </c:pt>
                <c:pt idx="5">
                  <c:v>15–19</c:v>
                </c:pt>
                <c:pt idx="6">
                  <c:v>20–24</c:v>
                </c:pt>
                <c:pt idx="7">
                  <c:v>25–34</c:v>
                </c:pt>
                <c:pt idx="8">
                  <c:v>35–44</c:v>
                </c:pt>
                <c:pt idx="9">
                  <c:v>45–54</c:v>
                </c:pt>
                <c:pt idx="10">
                  <c:v>55–64</c:v>
                </c:pt>
                <c:pt idx="11">
                  <c:v>65+</c:v>
                </c:pt>
                <c:pt idx="13">
                  <c:v>Wyższe</c:v>
                </c:pt>
                <c:pt idx="14">
                  <c:v>Średnie</c:v>
                </c:pt>
                <c:pt idx="15">
                  <c:v>Zawodowe</c:v>
                </c:pt>
                <c:pt idx="16">
                  <c:v>Podstawowe</c:v>
                </c:pt>
                <c:pt idx="18">
                  <c:v>Wieś</c:v>
                </c:pt>
                <c:pt idx="19">
                  <c:v>Do 20 tys.</c:v>
                </c:pt>
                <c:pt idx="20">
                  <c:v>20–49 tys.</c:v>
                </c:pt>
                <c:pt idx="21">
                  <c:v>50–199 tys.</c:v>
                </c:pt>
                <c:pt idx="22">
                  <c:v>200–499 tys.</c:v>
                </c:pt>
                <c:pt idx="23">
                  <c:v>500 tys.+</c:v>
                </c:pt>
              </c:strCache>
            </c:strRef>
          </c:cat>
          <c:val>
            <c:numRef>
              <c:f>Arkusz1!$B$2:$B$25</c:f>
              <c:numCache>
                <c:formatCode>General</c:formatCode>
                <c:ptCount val="24"/>
                <c:pt idx="0" formatCode="0.00%">
                  <c:v>0.115</c:v>
                </c:pt>
                <c:pt idx="2" formatCode="0.00%">
                  <c:v>9.6000000000000002E-2</c:v>
                </c:pt>
                <c:pt idx="3" formatCode="0.00%">
                  <c:v>0.13300000000000001</c:v>
                </c:pt>
                <c:pt idx="5" formatCode="0.00%">
                  <c:v>5.0999999999999997E-2</c:v>
                </c:pt>
                <c:pt idx="6" formatCode="0.00%">
                  <c:v>9.8000000000000004E-2</c:v>
                </c:pt>
                <c:pt idx="7" formatCode="0.00%">
                  <c:v>0.14299999999999999</c:v>
                </c:pt>
                <c:pt idx="8" formatCode="0.00%">
                  <c:v>0.109</c:v>
                </c:pt>
                <c:pt idx="9" formatCode="0.00%">
                  <c:v>9.1999999999999998E-2</c:v>
                </c:pt>
                <c:pt idx="10" formatCode="0.00%">
                  <c:v>0.13400000000000001</c:v>
                </c:pt>
                <c:pt idx="11" formatCode="0.00%">
                  <c:v>0.127</c:v>
                </c:pt>
                <c:pt idx="13" formatCode="0.00%">
                  <c:v>0.123</c:v>
                </c:pt>
                <c:pt idx="14" formatCode="0.00%">
                  <c:v>0.112</c:v>
                </c:pt>
                <c:pt idx="15" formatCode="0.00%">
                  <c:v>0.1</c:v>
                </c:pt>
                <c:pt idx="16" formatCode="0.00%">
                  <c:v>0.13400000000000001</c:v>
                </c:pt>
                <c:pt idx="18" formatCode="0.00%">
                  <c:v>0.121</c:v>
                </c:pt>
                <c:pt idx="19" formatCode="0.00%">
                  <c:v>0.17199999999999999</c:v>
                </c:pt>
                <c:pt idx="20" formatCode="0.00%">
                  <c:v>0.106</c:v>
                </c:pt>
                <c:pt idx="21" formatCode="0.00%">
                  <c:v>0.112</c:v>
                </c:pt>
                <c:pt idx="22" formatCode="0.00%">
                  <c:v>0.111</c:v>
                </c:pt>
                <c:pt idx="23" formatCode="0.00%">
                  <c:v>5.1999999999999998E-2</c:v>
                </c:pt>
              </c:numCache>
            </c:numRef>
          </c:val>
          <c:extLst>
            <c:ext xmlns:c16="http://schemas.microsoft.com/office/drawing/2014/chart" uri="{C3380CC4-5D6E-409C-BE32-E72D297353CC}">
              <c16:uniqueId val="{00000003-FDB8-4223-A467-A25BEFC84C59}"/>
            </c:ext>
          </c:extLst>
        </c:ser>
        <c:ser>
          <c:idx val="1"/>
          <c:order val="1"/>
          <c:tx>
            <c:strRef>
              <c:f>Arkusz1!$C$1</c:f>
              <c:strCache>
                <c:ptCount val="1"/>
                <c:pt idx="0">
                  <c:v>raczej tak</c:v>
                </c:pt>
              </c:strCache>
            </c:strRef>
          </c:tx>
          <c:spPr>
            <a:solidFill>
              <a:schemeClr val="bg1">
                <a:lumMod val="85000"/>
              </a:schemeClr>
            </a:solidFill>
            <a:ln>
              <a:noFill/>
            </a:ln>
            <a:effectLst/>
          </c:spPr>
          <c:invertIfNegative val="0"/>
          <c:dLbls>
            <c:dLbl>
              <c:idx val="5"/>
              <c:numFmt formatCode="0%" sourceLinked="0"/>
              <c:spPr>
                <a:solidFill>
                  <a:srgbClr val="EE0000"/>
                </a:solid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bg1"/>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extLst>
                <c:ext xmlns:c16="http://schemas.microsoft.com/office/drawing/2014/chart" uri="{C3380CC4-5D6E-409C-BE32-E72D297353CC}">
                  <c16:uniqueId val="{00000004-FDB8-4223-A467-A25BEFC84C59}"/>
                </c:ext>
              </c:extLst>
            </c:dLbl>
            <c:dLbl>
              <c:idx val="14"/>
              <c:numFmt formatCode="0%" sourceLinked="0"/>
              <c:spPr>
                <a:solidFill>
                  <a:srgbClr val="EE0000"/>
                </a:solid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bg1"/>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extLst>
                <c:ext xmlns:c16="http://schemas.microsoft.com/office/drawing/2014/chart" uri="{C3380CC4-5D6E-409C-BE32-E72D297353CC}">
                  <c16:uniqueId val="{00000005-FDB8-4223-A467-A25BEFC84C59}"/>
                </c:ext>
              </c:extLst>
            </c:dLbl>
            <c:dLbl>
              <c:idx val="19"/>
              <c:numFmt formatCode="0%" sourceLinked="0"/>
              <c:spPr>
                <a:solidFill>
                  <a:srgbClr val="00B0F0"/>
                </a:solid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bg1"/>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extLst>
                <c:ext xmlns:c16="http://schemas.microsoft.com/office/drawing/2014/chart" uri="{C3380CC4-5D6E-409C-BE32-E72D297353CC}">
                  <c16:uniqueId val="{00000006-FDB8-4223-A467-A25BEFC84C59}"/>
                </c:ext>
              </c:extLst>
            </c:dLbl>
            <c:dLbl>
              <c:idx val="23"/>
              <c:numFmt formatCode="0%" sourceLinked="0"/>
              <c:spPr>
                <a:solidFill>
                  <a:srgbClr val="EE0000"/>
                </a:solid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bg1"/>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extLst>
                <c:ext xmlns:c16="http://schemas.microsoft.com/office/drawing/2014/chart" uri="{C3380CC4-5D6E-409C-BE32-E72D297353CC}">
                  <c16:uniqueId val="{00000007-FDB8-4223-A467-A25BEFC84C59}"/>
                </c:ext>
              </c:extLst>
            </c:dLbl>
            <c:numFmt formatCode="0%" sourceLinked="0"/>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Arkusz1!$A$2:$A$25</c:f>
              <c:strCache>
                <c:ptCount val="24"/>
                <c:pt idx="0">
                  <c:v>Ogółem</c:v>
                </c:pt>
                <c:pt idx="2">
                  <c:v>Kobieta</c:v>
                </c:pt>
                <c:pt idx="3">
                  <c:v>Mężczyzna</c:v>
                </c:pt>
                <c:pt idx="5">
                  <c:v>15–19</c:v>
                </c:pt>
                <c:pt idx="6">
                  <c:v>20–24</c:v>
                </c:pt>
                <c:pt idx="7">
                  <c:v>25–34</c:v>
                </c:pt>
                <c:pt idx="8">
                  <c:v>35–44</c:v>
                </c:pt>
                <c:pt idx="9">
                  <c:v>45–54</c:v>
                </c:pt>
                <c:pt idx="10">
                  <c:v>55–64</c:v>
                </c:pt>
                <c:pt idx="11">
                  <c:v>65+</c:v>
                </c:pt>
                <c:pt idx="13">
                  <c:v>Wyższe</c:v>
                </c:pt>
                <c:pt idx="14">
                  <c:v>Średnie</c:v>
                </c:pt>
                <c:pt idx="15">
                  <c:v>Zawodowe</c:v>
                </c:pt>
                <c:pt idx="16">
                  <c:v>Podstawowe</c:v>
                </c:pt>
                <c:pt idx="18">
                  <c:v>Wieś</c:v>
                </c:pt>
                <c:pt idx="19">
                  <c:v>Do 20 tys.</c:v>
                </c:pt>
                <c:pt idx="20">
                  <c:v>20–49 tys.</c:v>
                </c:pt>
                <c:pt idx="21">
                  <c:v>50–199 tys.</c:v>
                </c:pt>
                <c:pt idx="22">
                  <c:v>200–499 tys.</c:v>
                </c:pt>
                <c:pt idx="23">
                  <c:v>500 tys.+</c:v>
                </c:pt>
              </c:strCache>
            </c:strRef>
          </c:cat>
          <c:val>
            <c:numRef>
              <c:f>Arkusz1!$C$2:$C$25</c:f>
              <c:numCache>
                <c:formatCode>General</c:formatCode>
                <c:ptCount val="24"/>
                <c:pt idx="0" formatCode="0.00%">
                  <c:v>0.432</c:v>
                </c:pt>
                <c:pt idx="2" formatCode="0.00%">
                  <c:v>0.443</c:v>
                </c:pt>
                <c:pt idx="3" formatCode="0.00%">
                  <c:v>0.42299999999999999</c:v>
                </c:pt>
                <c:pt idx="5" formatCode="0.00%">
                  <c:v>0.54200000000000004</c:v>
                </c:pt>
                <c:pt idx="6" formatCode="0.00%">
                  <c:v>0.49199999999999999</c:v>
                </c:pt>
                <c:pt idx="7" formatCode="0.00%">
                  <c:v>0.39500000000000002</c:v>
                </c:pt>
                <c:pt idx="8" formatCode="0.00%">
                  <c:v>0.41699999999999998</c:v>
                </c:pt>
                <c:pt idx="9" formatCode="0.00%">
                  <c:v>0.40400000000000003</c:v>
                </c:pt>
                <c:pt idx="10" formatCode="0.00%">
                  <c:v>0.44900000000000001</c:v>
                </c:pt>
                <c:pt idx="11" formatCode="0.00%">
                  <c:v>0.434</c:v>
                </c:pt>
                <c:pt idx="13" formatCode="0.00%">
                  <c:v>0.41799999999999998</c:v>
                </c:pt>
                <c:pt idx="14" formatCode="0.00%">
                  <c:v>0.45600000000000002</c:v>
                </c:pt>
                <c:pt idx="15" formatCode="0.00%">
                  <c:v>0.41799999999999998</c:v>
                </c:pt>
                <c:pt idx="16" formatCode="0.00%">
                  <c:v>0.42899999999999999</c:v>
                </c:pt>
                <c:pt idx="18" formatCode="0.00%">
                  <c:v>0.438</c:v>
                </c:pt>
                <c:pt idx="19" formatCode="0.00%">
                  <c:v>0.38500000000000001</c:v>
                </c:pt>
                <c:pt idx="20" formatCode="0.00%">
                  <c:v>0.39800000000000002</c:v>
                </c:pt>
                <c:pt idx="21" formatCode="0.00%">
                  <c:v>0.42</c:v>
                </c:pt>
                <c:pt idx="22" formatCode="0.00%">
                  <c:v>0.46899999999999997</c:v>
                </c:pt>
                <c:pt idx="23" formatCode="0.00%">
                  <c:v>0.48699999999999999</c:v>
                </c:pt>
              </c:numCache>
            </c:numRef>
          </c:val>
          <c:extLst>
            <c:ext xmlns:c16="http://schemas.microsoft.com/office/drawing/2014/chart" uri="{C3380CC4-5D6E-409C-BE32-E72D297353CC}">
              <c16:uniqueId val="{00000008-FDB8-4223-A467-A25BEFC84C59}"/>
            </c:ext>
          </c:extLst>
        </c:ser>
        <c:ser>
          <c:idx val="2"/>
          <c:order val="2"/>
          <c:tx>
            <c:strRef>
              <c:f>Arkusz1!$D$1</c:f>
              <c:strCache>
                <c:ptCount val="1"/>
                <c:pt idx="0">
                  <c:v>ani tak, ani nie</c:v>
                </c:pt>
              </c:strCache>
            </c:strRef>
          </c:tx>
          <c:spPr>
            <a:solidFill>
              <a:schemeClr val="accent3"/>
            </a:solidFill>
            <a:ln>
              <a:noFill/>
            </a:ln>
            <a:effectLst/>
          </c:spPr>
          <c:invertIfNegative val="0"/>
          <c:dLbls>
            <c:dLbl>
              <c:idx val="5"/>
              <c:numFmt formatCode="0%" sourceLinked="0"/>
              <c:spPr>
                <a:solidFill>
                  <a:srgbClr val="00B0F0"/>
                </a:solid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bg1"/>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extLst>
                <c:ext xmlns:c16="http://schemas.microsoft.com/office/drawing/2014/chart" uri="{C3380CC4-5D6E-409C-BE32-E72D297353CC}">
                  <c16:uniqueId val="{00000009-FDB8-4223-A467-A25BEFC84C59}"/>
                </c:ext>
              </c:extLst>
            </c:dLbl>
            <c:numFmt formatCode="0%" sourceLinked="0"/>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bg1"/>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Arkusz1!$A$2:$A$25</c:f>
              <c:strCache>
                <c:ptCount val="24"/>
                <c:pt idx="0">
                  <c:v>Ogółem</c:v>
                </c:pt>
                <c:pt idx="2">
                  <c:v>Kobieta</c:v>
                </c:pt>
                <c:pt idx="3">
                  <c:v>Mężczyzna</c:v>
                </c:pt>
                <c:pt idx="5">
                  <c:v>15–19</c:v>
                </c:pt>
                <c:pt idx="6">
                  <c:v>20–24</c:v>
                </c:pt>
                <c:pt idx="7">
                  <c:v>25–34</c:v>
                </c:pt>
                <c:pt idx="8">
                  <c:v>35–44</c:v>
                </c:pt>
                <c:pt idx="9">
                  <c:v>45–54</c:v>
                </c:pt>
                <c:pt idx="10">
                  <c:v>55–64</c:v>
                </c:pt>
                <c:pt idx="11">
                  <c:v>65+</c:v>
                </c:pt>
                <c:pt idx="13">
                  <c:v>Wyższe</c:v>
                </c:pt>
                <c:pt idx="14">
                  <c:v>Średnie</c:v>
                </c:pt>
                <c:pt idx="15">
                  <c:v>Zawodowe</c:v>
                </c:pt>
                <c:pt idx="16">
                  <c:v>Podstawowe</c:v>
                </c:pt>
                <c:pt idx="18">
                  <c:v>Wieś</c:v>
                </c:pt>
                <c:pt idx="19">
                  <c:v>Do 20 tys.</c:v>
                </c:pt>
                <c:pt idx="20">
                  <c:v>20–49 tys.</c:v>
                </c:pt>
                <c:pt idx="21">
                  <c:v>50–199 tys.</c:v>
                </c:pt>
                <c:pt idx="22">
                  <c:v>200–499 tys.</c:v>
                </c:pt>
                <c:pt idx="23">
                  <c:v>500 tys.+</c:v>
                </c:pt>
              </c:strCache>
            </c:strRef>
          </c:cat>
          <c:val>
            <c:numRef>
              <c:f>Arkusz1!$D$2:$D$25</c:f>
              <c:numCache>
                <c:formatCode>General</c:formatCode>
                <c:ptCount val="24"/>
                <c:pt idx="0" formatCode="0.00%">
                  <c:v>0.25800000000000001</c:v>
                </c:pt>
                <c:pt idx="2" formatCode="0.00%">
                  <c:v>0.249</c:v>
                </c:pt>
                <c:pt idx="3" formatCode="0.00%">
                  <c:v>0.26600000000000001</c:v>
                </c:pt>
                <c:pt idx="5" formatCode="0.00%">
                  <c:v>0.186</c:v>
                </c:pt>
                <c:pt idx="6" formatCode="0.00%">
                  <c:v>0.246</c:v>
                </c:pt>
                <c:pt idx="7" formatCode="0.00%">
                  <c:v>0.27900000000000003</c:v>
                </c:pt>
                <c:pt idx="8" formatCode="0.00%">
                  <c:v>0.28100000000000003</c:v>
                </c:pt>
                <c:pt idx="9" formatCode="0.00%">
                  <c:v>0.26200000000000001</c:v>
                </c:pt>
                <c:pt idx="10" formatCode="0.00%">
                  <c:v>0.23599999999999999</c:v>
                </c:pt>
                <c:pt idx="11" formatCode="0.00%">
                  <c:v>0.254</c:v>
                </c:pt>
                <c:pt idx="13" formatCode="0.00%">
                  <c:v>0.27200000000000002</c:v>
                </c:pt>
                <c:pt idx="14" formatCode="0.00%">
                  <c:v>0.219</c:v>
                </c:pt>
                <c:pt idx="15" formatCode="0.00%">
                  <c:v>0.30099999999999999</c:v>
                </c:pt>
                <c:pt idx="16" formatCode="0.00%">
                  <c:v>0.24399999999999999</c:v>
                </c:pt>
                <c:pt idx="18" formatCode="0.00%">
                  <c:v>0.23599999999999999</c:v>
                </c:pt>
                <c:pt idx="19" formatCode="0.00%">
                  <c:v>0.26200000000000001</c:v>
                </c:pt>
                <c:pt idx="20" formatCode="0.00%">
                  <c:v>0.30099999999999999</c:v>
                </c:pt>
                <c:pt idx="21" formatCode="0.00%">
                  <c:v>0.30099999999999999</c:v>
                </c:pt>
                <c:pt idx="22" formatCode="0.00%">
                  <c:v>0.19800000000000001</c:v>
                </c:pt>
                <c:pt idx="23" formatCode="0.00%">
                  <c:v>0.27</c:v>
                </c:pt>
              </c:numCache>
            </c:numRef>
          </c:val>
          <c:extLst>
            <c:ext xmlns:c16="http://schemas.microsoft.com/office/drawing/2014/chart" uri="{C3380CC4-5D6E-409C-BE32-E72D297353CC}">
              <c16:uniqueId val="{0000000A-FDB8-4223-A467-A25BEFC84C59}"/>
            </c:ext>
          </c:extLst>
        </c:ser>
        <c:ser>
          <c:idx val="3"/>
          <c:order val="3"/>
          <c:tx>
            <c:strRef>
              <c:f>Arkusz1!$E$1</c:f>
              <c:strCache>
                <c:ptCount val="1"/>
                <c:pt idx="0">
                  <c:v>raczej nie</c:v>
                </c:pt>
              </c:strCache>
            </c:strRef>
          </c:tx>
          <c:spPr>
            <a:solidFill>
              <a:schemeClr val="accent4"/>
            </a:solidFill>
            <a:ln>
              <a:noFill/>
            </a:ln>
            <a:effectLst/>
          </c:spPr>
          <c:invertIfNegative val="0"/>
          <c:dLbls>
            <c:numFmt formatCode="0%" sourceLinked="0"/>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Arkusz1!$A$2:$A$25</c:f>
              <c:strCache>
                <c:ptCount val="24"/>
                <c:pt idx="0">
                  <c:v>Ogółem</c:v>
                </c:pt>
                <c:pt idx="2">
                  <c:v>Kobieta</c:v>
                </c:pt>
                <c:pt idx="3">
                  <c:v>Mężczyzna</c:v>
                </c:pt>
                <c:pt idx="5">
                  <c:v>15–19</c:v>
                </c:pt>
                <c:pt idx="6">
                  <c:v>20–24</c:v>
                </c:pt>
                <c:pt idx="7">
                  <c:v>25–34</c:v>
                </c:pt>
                <c:pt idx="8">
                  <c:v>35–44</c:v>
                </c:pt>
                <c:pt idx="9">
                  <c:v>45–54</c:v>
                </c:pt>
                <c:pt idx="10">
                  <c:v>55–64</c:v>
                </c:pt>
                <c:pt idx="11">
                  <c:v>65+</c:v>
                </c:pt>
                <c:pt idx="13">
                  <c:v>Wyższe</c:v>
                </c:pt>
                <c:pt idx="14">
                  <c:v>Średnie</c:v>
                </c:pt>
                <c:pt idx="15">
                  <c:v>Zawodowe</c:v>
                </c:pt>
                <c:pt idx="16">
                  <c:v>Podstawowe</c:v>
                </c:pt>
                <c:pt idx="18">
                  <c:v>Wieś</c:v>
                </c:pt>
                <c:pt idx="19">
                  <c:v>Do 20 tys.</c:v>
                </c:pt>
                <c:pt idx="20">
                  <c:v>20–49 tys.</c:v>
                </c:pt>
                <c:pt idx="21">
                  <c:v>50–199 tys.</c:v>
                </c:pt>
                <c:pt idx="22">
                  <c:v>200–499 tys.</c:v>
                </c:pt>
                <c:pt idx="23">
                  <c:v>500 tys.+</c:v>
                </c:pt>
              </c:strCache>
            </c:strRef>
          </c:cat>
          <c:val>
            <c:numRef>
              <c:f>Arkusz1!$E$2:$E$25</c:f>
              <c:numCache>
                <c:formatCode>General</c:formatCode>
                <c:ptCount val="24"/>
                <c:pt idx="0" formatCode="0.00%">
                  <c:v>9.7000000000000003E-2</c:v>
                </c:pt>
                <c:pt idx="2" formatCode="0.00%">
                  <c:v>0.107</c:v>
                </c:pt>
                <c:pt idx="3" formatCode="0.00%">
                  <c:v>8.8999999999999996E-2</c:v>
                </c:pt>
                <c:pt idx="5" formatCode="0.00%">
                  <c:v>0.10199999999999999</c:v>
                </c:pt>
                <c:pt idx="6" formatCode="0.00%">
                  <c:v>6.6000000000000003E-2</c:v>
                </c:pt>
                <c:pt idx="7" formatCode="0.00%">
                  <c:v>9.5000000000000001E-2</c:v>
                </c:pt>
                <c:pt idx="8" formatCode="0.00%">
                  <c:v>8.8999999999999996E-2</c:v>
                </c:pt>
                <c:pt idx="9" formatCode="0.00%">
                  <c:v>0.128</c:v>
                </c:pt>
                <c:pt idx="10" formatCode="0.00%">
                  <c:v>8.6999999999999994E-2</c:v>
                </c:pt>
                <c:pt idx="11" formatCode="0.00%">
                  <c:v>0.10100000000000001</c:v>
                </c:pt>
                <c:pt idx="13" formatCode="0.00%">
                  <c:v>9.2999999999999999E-2</c:v>
                </c:pt>
                <c:pt idx="14" formatCode="0.00%">
                  <c:v>0.109</c:v>
                </c:pt>
                <c:pt idx="15" formatCode="0.00%">
                  <c:v>8.7999999999999995E-2</c:v>
                </c:pt>
                <c:pt idx="16" formatCode="0.00%">
                  <c:v>9.1999999999999998E-2</c:v>
                </c:pt>
                <c:pt idx="18" formatCode="0.00%">
                  <c:v>8.4000000000000005E-2</c:v>
                </c:pt>
                <c:pt idx="19" formatCode="0.00%">
                  <c:v>0.13100000000000001</c:v>
                </c:pt>
                <c:pt idx="20" formatCode="0.00%">
                  <c:v>0.106</c:v>
                </c:pt>
                <c:pt idx="21" formatCode="0.00%">
                  <c:v>7.0000000000000007E-2</c:v>
                </c:pt>
                <c:pt idx="22" formatCode="0.00%">
                  <c:v>0.14799999999999999</c:v>
                </c:pt>
                <c:pt idx="23" formatCode="0.00%">
                  <c:v>9.6000000000000002E-2</c:v>
                </c:pt>
              </c:numCache>
            </c:numRef>
          </c:val>
          <c:extLst>
            <c:ext xmlns:c16="http://schemas.microsoft.com/office/drawing/2014/chart" uri="{C3380CC4-5D6E-409C-BE32-E72D297353CC}">
              <c16:uniqueId val="{0000000B-FDB8-4223-A467-A25BEFC84C59}"/>
            </c:ext>
          </c:extLst>
        </c:ser>
        <c:ser>
          <c:idx val="4"/>
          <c:order val="4"/>
          <c:tx>
            <c:strRef>
              <c:f>Arkusz1!$F$1</c:f>
              <c:strCache>
                <c:ptCount val="1"/>
                <c:pt idx="0">
                  <c:v>zdecydowanie nie</c:v>
                </c:pt>
              </c:strCache>
            </c:strRef>
          </c:tx>
          <c:spPr>
            <a:solidFill>
              <a:schemeClr val="accent5"/>
            </a:solidFill>
            <a:ln>
              <a:noFill/>
            </a:ln>
            <a:effectLst/>
          </c:spPr>
          <c:invertIfNegative val="0"/>
          <c:dLbls>
            <c:numFmt formatCode="0%" sourceLinked="0"/>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Arkusz1!$A$2:$A$25</c:f>
              <c:strCache>
                <c:ptCount val="24"/>
                <c:pt idx="0">
                  <c:v>Ogółem</c:v>
                </c:pt>
                <c:pt idx="2">
                  <c:v>Kobieta</c:v>
                </c:pt>
                <c:pt idx="3">
                  <c:v>Mężczyzna</c:v>
                </c:pt>
                <c:pt idx="5">
                  <c:v>15–19</c:v>
                </c:pt>
                <c:pt idx="6">
                  <c:v>20–24</c:v>
                </c:pt>
                <c:pt idx="7">
                  <c:v>25–34</c:v>
                </c:pt>
                <c:pt idx="8">
                  <c:v>35–44</c:v>
                </c:pt>
                <c:pt idx="9">
                  <c:v>45–54</c:v>
                </c:pt>
                <c:pt idx="10">
                  <c:v>55–64</c:v>
                </c:pt>
                <c:pt idx="11">
                  <c:v>65+</c:v>
                </c:pt>
                <c:pt idx="13">
                  <c:v>Wyższe</c:v>
                </c:pt>
                <c:pt idx="14">
                  <c:v>Średnie</c:v>
                </c:pt>
                <c:pt idx="15">
                  <c:v>Zawodowe</c:v>
                </c:pt>
                <c:pt idx="16">
                  <c:v>Podstawowe</c:v>
                </c:pt>
                <c:pt idx="18">
                  <c:v>Wieś</c:v>
                </c:pt>
                <c:pt idx="19">
                  <c:v>Do 20 tys.</c:v>
                </c:pt>
                <c:pt idx="20">
                  <c:v>20–49 tys.</c:v>
                </c:pt>
                <c:pt idx="21">
                  <c:v>50–199 tys.</c:v>
                </c:pt>
                <c:pt idx="22">
                  <c:v>200–499 tys.</c:v>
                </c:pt>
                <c:pt idx="23">
                  <c:v>500 tys.+</c:v>
                </c:pt>
              </c:strCache>
            </c:strRef>
          </c:cat>
          <c:val>
            <c:numRef>
              <c:f>Arkusz1!$F$2:$F$25</c:f>
              <c:numCache>
                <c:formatCode>General</c:formatCode>
                <c:ptCount val="24"/>
                <c:pt idx="0" formatCode="0.00%">
                  <c:v>4.5999999999999999E-2</c:v>
                </c:pt>
                <c:pt idx="2" formatCode="0.00%">
                  <c:v>0.05</c:v>
                </c:pt>
                <c:pt idx="3" formatCode="0.00%">
                  <c:v>4.2000000000000003E-2</c:v>
                </c:pt>
                <c:pt idx="5" formatCode="0.00%">
                  <c:v>3.4000000000000002E-2</c:v>
                </c:pt>
                <c:pt idx="6" formatCode="0.00%">
                  <c:v>3.3000000000000002E-2</c:v>
                </c:pt>
                <c:pt idx="7" formatCode="0.00%">
                  <c:v>4.8000000000000001E-2</c:v>
                </c:pt>
                <c:pt idx="8" formatCode="0.00%">
                  <c:v>6.3E-2</c:v>
                </c:pt>
                <c:pt idx="9" formatCode="0.00%">
                  <c:v>2.1000000000000001E-2</c:v>
                </c:pt>
                <c:pt idx="10" formatCode="0.00%">
                  <c:v>7.0999999999999994E-2</c:v>
                </c:pt>
                <c:pt idx="11" formatCode="0.00%">
                  <c:v>3.9E-2</c:v>
                </c:pt>
                <c:pt idx="13" formatCode="0.00%">
                  <c:v>6.3E-2</c:v>
                </c:pt>
                <c:pt idx="14" formatCode="0.00%">
                  <c:v>3.5999999999999997E-2</c:v>
                </c:pt>
                <c:pt idx="15" formatCode="0.00%">
                  <c:v>4.5999999999999999E-2</c:v>
                </c:pt>
                <c:pt idx="16" formatCode="0.00%">
                  <c:v>3.4000000000000002E-2</c:v>
                </c:pt>
                <c:pt idx="18" formatCode="0.00%">
                  <c:v>5.5E-2</c:v>
                </c:pt>
                <c:pt idx="19" formatCode="0.00%">
                  <c:v>4.1000000000000002E-2</c:v>
                </c:pt>
                <c:pt idx="20" formatCode="0.00%">
                  <c:v>8.9999999999999993E-3</c:v>
                </c:pt>
                <c:pt idx="21" formatCode="0.00%">
                  <c:v>4.9000000000000002E-2</c:v>
                </c:pt>
                <c:pt idx="22" formatCode="0.00%">
                  <c:v>4.9000000000000002E-2</c:v>
                </c:pt>
                <c:pt idx="23" formatCode="0.00%">
                  <c:v>5.1999999999999998E-2</c:v>
                </c:pt>
              </c:numCache>
            </c:numRef>
          </c:val>
          <c:extLst>
            <c:ext xmlns:c16="http://schemas.microsoft.com/office/drawing/2014/chart" uri="{C3380CC4-5D6E-409C-BE32-E72D297353CC}">
              <c16:uniqueId val="{0000000C-FDB8-4223-A467-A25BEFC84C59}"/>
            </c:ext>
          </c:extLst>
        </c:ser>
        <c:ser>
          <c:idx val="5"/>
          <c:order val="5"/>
          <c:tx>
            <c:strRef>
              <c:f>Arkusz1!$G$1</c:f>
              <c:strCache>
                <c:ptCount val="1"/>
                <c:pt idx="0">
                  <c:v>nie wiem / trudno powiedzieć</c:v>
                </c:pt>
              </c:strCache>
            </c:strRef>
          </c:tx>
          <c:spPr>
            <a:solidFill>
              <a:schemeClr val="accent6"/>
            </a:solidFill>
            <a:ln>
              <a:noFill/>
            </a:ln>
            <a:effectLst/>
          </c:spPr>
          <c:invertIfNegative val="0"/>
          <c:dLbls>
            <c:dLbl>
              <c:idx val="19"/>
              <c:layout>
                <c:manualLayout>
                  <c:x val="2.3148148148147977E-2"/>
                  <c:y val="1.9470859911057113E-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FDB8-4223-A467-A25BEFC84C59}"/>
                </c:ext>
              </c:extLst>
            </c:dLbl>
            <c:numFmt formatCode="0%" sourceLinked="0"/>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Arkusz1!$A$2:$A$25</c:f>
              <c:strCache>
                <c:ptCount val="24"/>
                <c:pt idx="0">
                  <c:v>Ogółem</c:v>
                </c:pt>
                <c:pt idx="2">
                  <c:v>Kobieta</c:v>
                </c:pt>
                <c:pt idx="3">
                  <c:v>Mężczyzna</c:v>
                </c:pt>
                <c:pt idx="5">
                  <c:v>15–19</c:v>
                </c:pt>
                <c:pt idx="6">
                  <c:v>20–24</c:v>
                </c:pt>
                <c:pt idx="7">
                  <c:v>25–34</c:v>
                </c:pt>
                <c:pt idx="8">
                  <c:v>35–44</c:v>
                </c:pt>
                <c:pt idx="9">
                  <c:v>45–54</c:v>
                </c:pt>
                <c:pt idx="10">
                  <c:v>55–64</c:v>
                </c:pt>
                <c:pt idx="11">
                  <c:v>65+</c:v>
                </c:pt>
                <c:pt idx="13">
                  <c:v>Wyższe</c:v>
                </c:pt>
                <c:pt idx="14">
                  <c:v>Średnie</c:v>
                </c:pt>
                <c:pt idx="15">
                  <c:v>Zawodowe</c:v>
                </c:pt>
                <c:pt idx="16">
                  <c:v>Podstawowe</c:v>
                </c:pt>
                <c:pt idx="18">
                  <c:v>Wieś</c:v>
                </c:pt>
                <c:pt idx="19">
                  <c:v>Do 20 tys.</c:v>
                </c:pt>
                <c:pt idx="20">
                  <c:v>20–49 tys.</c:v>
                </c:pt>
                <c:pt idx="21">
                  <c:v>50–199 tys.</c:v>
                </c:pt>
                <c:pt idx="22">
                  <c:v>200–499 tys.</c:v>
                </c:pt>
                <c:pt idx="23">
                  <c:v>500 tys.+</c:v>
                </c:pt>
              </c:strCache>
            </c:strRef>
          </c:cat>
          <c:val>
            <c:numRef>
              <c:f>Arkusz1!$G$2:$G$25</c:f>
              <c:numCache>
                <c:formatCode>General</c:formatCode>
                <c:ptCount val="24"/>
                <c:pt idx="0" formatCode="0.00%">
                  <c:v>5.0999999999999997E-2</c:v>
                </c:pt>
                <c:pt idx="2" formatCode="0.00%">
                  <c:v>5.5E-2</c:v>
                </c:pt>
                <c:pt idx="3" formatCode="0.00%">
                  <c:v>4.8000000000000001E-2</c:v>
                </c:pt>
                <c:pt idx="5" formatCode="0.00%">
                  <c:v>8.5000000000000006E-2</c:v>
                </c:pt>
                <c:pt idx="6" formatCode="0.00%">
                  <c:v>6.6000000000000003E-2</c:v>
                </c:pt>
                <c:pt idx="7" formatCode="0.00%">
                  <c:v>4.1000000000000002E-2</c:v>
                </c:pt>
                <c:pt idx="8" formatCode="0.00%">
                  <c:v>4.2000000000000003E-2</c:v>
                </c:pt>
                <c:pt idx="9" formatCode="0.00%">
                  <c:v>9.1999999999999998E-2</c:v>
                </c:pt>
                <c:pt idx="10" formatCode="0.00%">
                  <c:v>2.4E-2</c:v>
                </c:pt>
                <c:pt idx="11" formatCode="0.00%">
                  <c:v>4.3999999999999997E-2</c:v>
                </c:pt>
                <c:pt idx="13" formatCode="0.00%">
                  <c:v>0.03</c:v>
                </c:pt>
                <c:pt idx="14" formatCode="0.00%">
                  <c:v>6.7000000000000004E-2</c:v>
                </c:pt>
                <c:pt idx="15" formatCode="0.00%">
                  <c:v>4.5999999999999999E-2</c:v>
                </c:pt>
                <c:pt idx="16" formatCode="0.00%">
                  <c:v>6.7000000000000004E-2</c:v>
                </c:pt>
                <c:pt idx="18" formatCode="0.00%">
                  <c:v>6.6000000000000003E-2</c:v>
                </c:pt>
                <c:pt idx="19" formatCode="0.00%">
                  <c:v>8.0000000000000002E-3</c:v>
                </c:pt>
                <c:pt idx="20" formatCode="0.00%">
                  <c:v>0.08</c:v>
                </c:pt>
                <c:pt idx="21" formatCode="0.00%">
                  <c:v>4.9000000000000002E-2</c:v>
                </c:pt>
                <c:pt idx="22" formatCode="0.00%">
                  <c:v>2.5000000000000001E-2</c:v>
                </c:pt>
                <c:pt idx="23" formatCode="0.00%">
                  <c:v>4.2999999999999997E-2</c:v>
                </c:pt>
              </c:numCache>
            </c:numRef>
          </c:val>
          <c:extLst>
            <c:ext xmlns:c16="http://schemas.microsoft.com/office/drawing/2014/chart" uri="{C3380CC4-5D6E-409C-BE32-E72D297353CC}">
              <c16:uniqueId val="{0000000E-FDB8-4223-A467-A25BEFC84C59}"/>
            </c:ext>
          </c:extLst>
        </c:ser>
        <c:dLbls>
          <c:showLegendKey val="0"/>
          <c:showVal val="0"/>
          <c:showCatName val="0"/>
          <c:showSerName val="0"/>
          <c:showPercent val="0"/>
          <c:showBubbleSize val="0"/>
        </c:dLbls>
        <c:gapWidth val="60"/>
        <c:overlap val="100"/>
        <c:axId val="875697471"/>
        <c:axId val="875698911"/>
      </c:barChart>
      <c:catAx>
        <c:axId val="875697471"/>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crossAx val="875698911"/>
        <c:crosses val="autoZero"/>
        <c:auto val="1"/>
        <c:lblAlgn val="ctr"/>
        <c:lblOffset val="100"/>
        <c:noMultiLvlLbl val="0"/>
      </c:catAx>
      <c:valAx>
        <c:axId val="875698911"/>
        <c:scaling>
          <c:orientation val="minMax"/>
        </c:scaling>
        <c:delete val="0"/>
        <c:axPos val="t"/>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pl-PL"/>
          </a:p>
        </c:txPr>
        <c:crossAx val="875697471"/>
        <c:crosses val="autoZero"/>
        <c:crossBetween val="between"/>
      </c:valAx>
      <c:spPr>
        <a:noFill/>
        <a:ln>
          <a:noFill/>
        </a:ln>
        <a:effectLst/>
      </c:spPr>
    </c:plotArea>
    <c:legend>
      <c:legendPos val="b"/>
      <c:layout>
        <c:manualLayout>
          <c:xMode val="edge"/>
          <c:yMode val="edge"/>
          <c:x val="1.4269101778944306E-2"/>
          <c:y val="0.88582132919003853"/>
          <c:w val="0.97377661125692627"/>
          <c:h val="0.11271973946400513"/>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pl-PL"/>
    </a:p>
  </c:txPr>
  <c:externalData r:id="rId3">
    <c:autoUpdate val="0"/>
  </c:externalData>
</c:chartSpace>
</file>

<file path=word/charts/chart6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Arkusz1!$B$1</c:f>
              <c:strCache>
                <c:ptCount val="1"/>
                <c:pt idx="0">
                  <c:v>% wybrało</c:v>
                </c:pt>
              </c:strCache>
            </c:strRef>
          </c:tx>
          <c:spPr>
            <a:solidFill>
              <a:srgbClr val="061A3D"/>
            </a:solidFill>
            <a:ln>
              <a:noFill/>
            </a:ln>
            <a:effectLst/>
          </c:spPr>
          <c:invertIfNegative val="0"/>
          <c:dLbls>
            <c:numFmt formatCode="0%" sourceLinked="0"/>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Arkusz1!$A$2:$A$12</c:f>
              <c:strCache>
                <c:ptCount val="11"/>
                <c:pt idx="0">
                  <c:v>Nie wiem, trudno powiedzieć</c:v>
                </c:pt>
                <c:pt idx="1">
                  <c:v>Nie zamierzam ubiegać się o dotacje</c:v>
                </c:pt>
                <c:pt idx="2">
                  <c:v>W starostwie</c:v>
                </c:pt>
                <c:pt idx="3">
                  <c:v>W agencji rolnej</c:v>
                </c:pt>
                <c:pt idx="4">
                  <c:v>W urzędzie marszałkowskim</c:v>
                </c:pt>
                <c:pt idx="5">
                  <c:v>Wśród znajomych</c:v>
                </c:pt>
                <c:pt idx="6">
                  <c:v>W punktach informacyjnych</c:v>
                </c:pt>
                <c:pt idx="7">
                  <c:v>W urzędzie pracy</c:v>
                </c:pt>
                <c:pt idx="8">
                  <c:v>W urzędzie gminy / miasta / dzielnicy</c:v>
                </c:pt>
                <c:pt idx="9">
                  <c:v>W urzędzie (ogólnie)</c:v>
                </c:pt>
                <c:pt idx="10">
                  <c:v>W Internecie</c:v>
                </c:pt>
              </c:strCache>
            </c:strRef>
          </c:cat>
          <c:val>
            <c:numRef>
              <c:f>Arkusz1!$B$2:$B$12</c:f>
              <c:numCache>
                <c:formatCode>0.00%</c:formatCode>
                <c:ptCount val="11"/>
                <c:pt idx="0">
                  <c:v>3.1E-2</c:v>
                </c:pt>
                <c:pt idx="1">
                  <c:v>5.0999999999999997E-2</c:v>
                </c:pt>
                <c:pt idx="2">
                  <c:v>8.0000000000000002E-3</c:v>
                </c:pt>
                <c:pt idx="3">
                  <c:v>1.4999999999999999E-2</c:v>
                </c:pt>
                <c:pt idx="4">
                  <c:v>4.2999999999999997E-2</c:v>
                </c:pt>
                <c:pt idx="5">
                  <c:v>4.5999999999999999E-2</c:v>
                </c:pt>
                <c:pt idx="6">
                  <c:v>0.05</c:v>
                </c:pt>
                <c:pt idx="7">
                  <c:v>6.0999999999999999E-2</c:v>
                </c:pt>
                <c:pt idx="8">
                  <c:v>0.154</c:v>
                </c:pt>
                <c:pt idx="9">
                  <c:v>0.161</c:v>
                </c:pt>
                <c:pt idx="10">
                  <c:v>0.86499999999999999</c:v>
                </c:pt>
              </c:numCache>
            </c:numRef>
          </c:val>
          <c:extLst>
            <c:ext xmlns:c16="http://schemas.microsoft.com/office/drawing/2014/chart" uri="{C3380CC4-5D6E-409C-BE32-E72D297353CC}">
              <c16:uniqueId val="{00000000-109F-4FDF-B8E2-2619E05893A8}"/>
            </c:ext>
          </c:extLst>
        </c:ser>
        <c:dLbls>
          <c:showLegendKey val="0"/>
          <c:showVal val="0"/>
          <c:showCatName val="0"/>
          <c:showSerName val="0"/>
          <c:showPercent val="0"/>
          <c:showBubbleSize val="0"/>
        </c:dLbls>
        <c:gapWidth val="142"/>
        <c:axId val="432009056"/>
        <c:axId val="432009536"/>
      </c:barChart>
      <c:catAx>
        <c:axId val="43200905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crossAx val="432009536"/>
        <c:crosses val="autoZero"/>
        <c:auto val="1"/>
        <c:lblAlgn val="ctr"/>
        <c:lblOffset val="100"/>
        <c:noMultiLvlLbl val="0"/>
      </c:catAx>
      <c:valAx>
        <c:axId val="432009536"/>
        <c:scaling>
          <c:orientation val="minMax"/>
        </c:scaling>
        <c:delete val="0"/>
        <c:axPos val="b"/>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crossAx val="432009056"/>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6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percentStacked"/>
        <c:varyColors val="0"/>
        <c:ser>
          <c:idx val="0"/>
          <c:order val="0"/>
          <c:tx>
            <c:strRef>
              <c:f>Arkusz1!$B$1</c:f>
              <c:strCache>
                <c:ptCount val="1"/>
                <c:pt idx="0">
                  <c:v>tak</c:v>
                </c:pt>
              </c:strCache>
            </c:strRef>
          </c:tx>
          <c:spPr>
            <a:solidFill>
              <a:srgbClr val="061A3D"/>
            </a:solidFill>
            <a:ln>
              <a:noFill/>
            </a:ln>
            <a:effectLst/>
          </c:spPr>
          <c:invertIfNegative val="0"/>
          <c:dLbls>
            <c:dLbl>
              <c:idx val="3"/>
              <c:numFmt formatCode="0%" sourceLinked="0"/>
              <c:spPr>
                <a:solidFill>
                  <a:srgbClr val="00B0F0"/>
                </a:solidFill>
                <a:ln>
                  <a:noFill/>
                </a:ln>
                <a:effectLst/>
              </c:spPr>
              <c:txPr>
                <a:bodyPr rot="0" spcFirstLastPara="1" vertOverflow="ellipsis" vert="horz" wrap="square" anchor="ctr" anchorCtr="1"/>
                <a:lstStyle/>
                <a:p>
                  <a:pPr>
                    <a:defRPr sz="1100" b="0" i="0" u="none" strike="noStrike" kern="1200" baseline="0">
                      <a:solidFill>
                        <a:schemeClr val="bg1"/>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extLst>
                <c:ext xmlns:c16="http://schemas.microsoft.com/office/drawing/2014/chart" uri="{C3380CC4-5D6E-409C-BE32-E72D297353CC}">
                  <c16:uniqueId val="{00000003-B8E5-44E3-B556-C2DD50D29ED8}"/>
                </c:ext>
              </c:extLst>
            </c:dLbl>
            <c:dLbl>
              <c:idx val="4"/>
              <c:numFmt formatCode="0%" sourceLinked="0"/>
              <c:spPr>
                <a:solidFill>
                  <a:srgbClr val="EE0000"/>
                </a:solidFill>
                <a:ln>
                  <a:noFill/>
                </a:ln>
                <a:effectLst/>
              </c:spPr>
              <c:txPr>
                <a:bodyPr rot="0" spcFirstLastPara="1" vertOverflow="ellipsis" vert="horz" wrap="square" anchor="ctr" anchorCtr="1"/>
                <a:lstStyle/>
                <a:p>
                  <a:pPr>
                    <a:defRPr sz="1100" b="0" i="0" u="none" strike="noStrike" kern="1200" baseline="0">
                      <a:solidFill>
                        <a:schemeClr val="bg1"/>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extLst>
                <c:ext xmlns:c16="http://schemas.microsoft.com/office/drawing/2014/chart" uri="{C3380CC4-5D6E-409C-BE32-E72D297353CC}">
                  <c16:uniqueId val="{00000000-B8E5-44E3-B556-C2DD50D29ED8}"/>
                </c:ext>
              </c:extLst>
            </c:dLbl>
            <c:dLbl>
              <c:idx val="7"/>
              <c:numFmt formatCode="0%" sourceLinked="0"/>
              <c:spPr>
                <a:solidFill>
                  <a:srgbClr val="00B0F0"/>
                </a:solidFill>
                <a:ln>
                  <a:noFill/>
                </a:ln>
                <a:effectLst/>
              </c:spPr>
              <c:txPr>
                <a:bodyPr rot="0" spcFirstLastPara="1" vertOverflow="ellipsis" vert="horz" wrap="square" anchor="ctr" anchorCtr="1"/>
                <a:lstStyle/>
                <a:p>
                  <a:pPr>
                    <a:defRPr sz="1100" b="0" i="0" u="none" strike="noStrike" kern="1200" baseline="0">
                      <a:solidFill>
                        <a:schemeClr val="bg1"/>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extLst>
                <c:ext xmlns:c16="http://schemas.microsoft.com/office/drawing/2014/chart" uri="{C3380CC4-5D6E-409C-BE32-E72D297353CC}">
                  <c16:uniqueId val="{00000006-B8E5-44E3-B556-C2DD50D29ED8}"/>
                </c:ext>
              </c:extLst>
            </c:dLbl>
            <c:numFmt formatCode="0%" sourceLinked="0"/>
            <c:spPr>
              <a:noFill/>
              <a:ln>
                <a:noFill/>
              </a:ln>
              <a:effectLst/>
            </c:spPr>
            <c:txPr>
              <a:bodyPr rot="0" spcFirstLastPara="1" vertOverflow="ellipsis" vert="horz" wrap="square" anchor="ctr" anchorCtr="1"/>
              <a:lstStyle/>
              <a:p>
                <a:pPr>
                  <a:defRPr sz="1100" b="0" i="0" u="none" strike="noStrike" kern="1200" baseline="0">
                    <a:solidFill>
                      <a:schemeClr val="bg1"/>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Arkusz1!$A$2:$A$9</c:f>
              <c:strCache>
                <c:ptCount val="8"/>
                <c:pt idx="0">
                  <c:v>2025 N=955</c:v>
                </c:pt>
                <c:pt idx="1">
                  <c:v>2024 N=5707</c:v>
                </c:pt>
                <c:pt idx="2">
                  <c:v>2023 N=888</c:v>
                </c:pt>
                <c:pt idx="3">
                  <c:v>2022 N=5279</c:v>
                </c:pt>
                <c:pt idx="4">
                  <c:v>2021 N=887</c:v>
                </c:pt>
                <c:pt idx="5">
                  <c:v>2020 N=5514</c:v>
                </c:pt>
                <c:pt idx="6">
                  <c:v>2019 N=905</c:v>
                </c:pt>
                <c:pt idx="7">
                  <c:v>2018 N=5615</c:v>
                </c:pt>
              </c:strCache>
            </c:strRef>
          </c:cat>
          <c:val>
            <c:numRef>
              <c:f>Arkusz1!$B$2:$B$9</c:f>
              <c:numCache>
                <c:formatCode>0.00%</c:formatCode>
                <c:ptCount val="8"/>
                <c:pt idx="0">
                  <c:v>0.183</c:v>
                </c:pt>
                <c:pt idx="1">
                  <c:v>0.248</c:v>
                </c:pt>
                <c:pt idx="2" formatCode="0%">
                  <c:v>0.21</c:v>
                </c:pt>
                <c:pt idx="3" formatCode="0%">
                  <c:v>0.13</c:v>
                </c:pt>
                <c:pt idx="4" formatCode="0%">
                  <c:v>0.33</c:v>
                </c:pt>
                <c:pt idx="5" formatCode="0%">
                  <c:v>0.17</c:v>
                </c:pt>
                <c:pt idx="6" formatCode="0%">
                  <c:v>0.22</c:v>
                </c:pt>
                <c:pt idx="7" formatCode="0%">
                  <c:v>0.14000000000000001</c:v>
                </c:pt>
              </c:numCache>
            </c:numRef>
          </c:val>
          <c:extLst>
            <c:ext xmlns:c16="http://schemas.microsoft.com/office/drawing/2014/chart" uri="{C3380CC4-5D6E-409C-BE32-E72D297353CC}">
              <c16:uniqueId val="{00000000-2214-4B82-B042-0C6825DF6E8E}"/>
            </c:ext>
          </c:extLst>
        </c:ser>
        <c:ser>
          <c:idx val="1"/>
          <c:order val="1"/>
          <c:tx>
            <c:strRef>
              <c:f>Arkusz1!$C$1</c:f>
              <c:strCache>
                <c:ptCount val="1"/>
                <c:pt idx="0">
                  <c:v>nie</c:v>
                </c:pt>
              </c:strCache>
            </c:strRef>
          </c:tx>
          <c:spPr>
            <a:solidFill>
              <a:schemeClr val="bg1">
                <a:lumMod val="85000"/>
              </a:schemeClr>
            </a:solidFill>
            <a:ln>
              <a:noFill/>
            </a:ln>
            <a:effectLst/>
          </c:spPr>
          <c:invertIfNegative val="0"/>
          <c:dLbls>
            <c:dLbl>
              <c:idx val="3"/>
              <c:numFmt formatCode="0%" sourceLinked="0"/>
              <c:spPr>
                <a:solidFill>
                  <a:srgbClr val="EE0000"/>
                </a:solidFill>
                <a:ln>
                  <a:noFill/>
                </a:ln>
                <a:effectLst/>
              </c:spPr>
              <c:txPr>
                <a:bodyPr rot="0" spcFirstLastPara="1" vertOverflow="ellipsis" vert="horz" wrap="square" anchor="ctr" anchorCtr="1"/>
                <a:lstStyle/>
                <a:p>
                  <a:pPr>
                    <a:defRPr sz="1100" b="0" i="0" u="none" strike="noStrike" kern="1200" baseline="0">
                      <a:solidFill>
                        <a:schemeClr val="bg1"/>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extLst>
                <c:ext xmlns:c16="http://schemas.microsoft.com/office/drawing/2014/chart" uri="{C3380CC4-5D6E-409C-BE32-E72D297353CC}">
                  <c16:uniqueId val="{00000004-B8E5-44E3-B556-C2DD50D29ED8}"/>
                </c:ext>
              </c:extLst>
            </c:dLbl>
            <c:dLbl>
              <c:idx val="4"/>
              <c:numFmt formatCode="0%" sourceLinked="0"/>
              <c:spPr>
                <a:solidFill>
                  <a:srgbClr val="00B0F0"/>
                </a:solidFill>
                <a:ln>
                  <a:noFill/>
                </a:ln>
                <a:effectLst/>
              </c:spPr>
              <c:txPr>
                <a:bodyPr rot="0" spcFirstLastPara="1" vertOverflow="ellipsis" vert="horz" wrap="square" anchor="ctr" anchorCtr="1"/>
                <a:lstStyle/>
                <a:p>
                  <a:pPr>
                    <a:defRPr sz="1100" b="0" i="0" u="none" strike="noStrike" kern="1200" baseline="0">
                      <a:solidFill>
                        <a:schemeClr val="bg1"/>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extLst>
                <c:ext xmlns:c16="http://schemas.microsoft.com/office/drawing/2014/chart" uri="{C3380CC4-5D6E-409C-BE32-E72D297353CC}">
                  <c16:uniqueId val="{00000001-B8E5-44E3-B556-C2DD50D29ED8}"/>
                </c:ext>
              </c:extLst>
            </c:dLbl>
            <c:numFmt formatCode="0%" sourceLinked="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Arkusz1!$A$2:$A$9</c:f>
              <c:strCache>
                <c:ptCount val="8"/>
                <c:pt idx="0">
                  <c:v>2025 N=955</c:v>
                </c:pt>
                <c:pt idx="1">
                  <c:v>2024 N=5707</c:v>
                </c:pt>
                <c:pt idx="2">
                  <c:v>2023 N=888</c:v>
                </c:pt>
                <c:pt idx="3">
                  <c:v>2022 N=5279</c:v>
                </c:pt>
                <c:pt idx="4">
                  <c:v>2021 N=887</c:v>
                </c:pt>
                <c:pt idx="5">
                  <c:v>2020 N=5514</c:v>
                </c:pt>
                <c:pt idx="6">
                  <c:v>2019 N=905</c:v>
                </c:pt>
                <c:pt idx="7">
                  <c:v>2018 N=5615</c:v>
                </c:pt>
              </c:strCache>
            </c:strRef>
          </c:cat>
          <c:val>
            <c:numRef>
              <c:f>Arkusz1!$C$2:$C$9</c:f>
              <c:numCache>
                <c:formatCode>0.00%</c:formatCode>
                <c:ptCount val="8"/>
                <c:pt idx="0">
                  <c:v>0.64500000000000002</c:v>
                </c:pt>
                <c:pt idx="1">
                  <c:v>0.68100000000000005</c:v>
                </c:pt>
                <c:pt idx="2" formatCode="0%">
                  <c:v>0.68</c:v>
                </c:pt>
                <c:pt idx="3" formatCode="0%">
                  <c:v>0.78</c:v>
                </c:pt>
                <c:pt idx="4" formatCode="0%">
                  <c:v>0.56999999999999995</c:v>
                </c:pt>
                <c:pt idx="5" formatCode="0%">
                  <c:v>0.75</c:v>
                </c:pt>
                <c:pt idx="6" formatCode="0%">
                  <c:v>0.71</c:v>
                </c:pt>
                <c:pt idx="7" formatCode="0%">
                  <c:v>0.78</c:v>
                </c:pt>
              </c:numCache>
            </c:numRef>
          </c:val>
          <c:extLst>
            <c:ext xmlns:c16="http://schemas.microsoft.com/office/drawing/2014/chart" uri="{C3380CC4-5D6E-409C-BE32-E72D297353CC}">
              <c16:uniqueId val="{00000001-2214-4B82-B042-0C6825DF6E8E}"/>
            </c:ext>
          </c:extLst>
        </c:ser>
        <c:ser>
          <c:idx val="2"/>
          <c:order val="2"/>
          <c:tx>
            <c:strRef>
              <c:f>Arkusz1!$D$1</c:f>
              <c:strCache>
                <c:ptCount val="1"/>
                <c:pt idx="0">
                  <c:v>nie wiem / trudno powiedzieć</c:v>
                </c:pt>
              </c:strCache>
            </c:strRef>
          </c:tx>
          <c:spPr>
            <a:solidFill>
              <a:schemeClr val="accent3"/>
            </a:solidFill>
            <a:ln>
              <a:noFill/>
            </a:ln>
            <a:effectLst/>
          </c:spPr>
          <c:invertIfNegative val="0"/>
          <c:dLbls>
            <c:dLbl>
              <c:idx val="0"/>
              <c:numFmt formatCode="0%" sourceLinked="0"/>
              <c:spPr>
                <a:solidFill>
                  <a:srgbClr val="EE0000"/>
                </a:solidFill>
                <a:ln>
                  <a:noFill/>
                </a:ln>
                <a:effectLst/>
              </c:spPr>
              <c:txPr>
                <a:bodyPr rot="0" spcFirstLastPara="1" vertOverflow="ellipsis" vert="horz" wrap="square" anchor="ctr" anchorCtr="1"/>
                <a:lstStyle/>
                <a:p>
                  <a:pPr>
                    <a:defRPr sz="1100" b="0" i="0" u="none" strike="noStrike" kern="1200" baseline="0">
                      <a:solidFill>
                        <a:schemeClr val="bg1"/>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extLst>
                <c:ext xmlns:c16="http://schemas.microsoft.com/office/drawing/2014/chart" uri="{C3380CC4-5D6E-409C-BE32-E72D297353CC}">
                  <c16:uniqueId val="{00000002-B8E5-44E3-B556-C2DD50D29ED8}"/>
                </c:ext>
              </c:extLst>
            </c:dLbl>
            <c:dLbl>
              <c:idx val="6"/>
              <c:numFmt formatCode="0%" sourceLinked="0"/>
              <c:spPr>
                <a:solidFill>
                  <a:srgbClr val="00B0F0"/>
                </a:solidFill>
                <a:ln>
                  <a:noFill/>
                </a:ln>
                <a:effectLst/>
              </c:spPr>
              <c:txPr>
                <a:bodyPr rot="0" spcFirstLastPara="1" vertOverflow="ellipsis" vert="horz" wrap="square" anchor="ctr" anchorCtr="1"/>
                <a:lstStyle/>
                <a:p>
                  <a:pPr>
                    <a:defRPr sz="1100" b="0" i="0" u="none" strike="noStrike" kern="1200" baseline="0">
                      <a:solidFill>
                        <a:schemeClr val="bg1"/>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extLst>
                <c:ext xmlns:c16="http://schemas.microsoft.com/office/drawing/2014/chart" uri="{C3380CC4-5D6E-409C-BE32-E72D297353CC}">
                  <c16:uniqueId val="{00000005-B8E5-44E3-B556-C2DD50D29ED8}"/>
                </c:ext>
              </c:extLst>
            </c:dLbl>
            <c:numFmt formatCode="0%" sourceLinked="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Arkusz1!$A$2:$A$9</c:f>
              <c:strCache>
                <c:ptCount val="8"/>
                <c:pt idx="0">
                  <c:v>2025 N=955</c:v>
                </c:pt>
                <c:pt idx="1">
                  <c:v>2024 N=5707</c:v>
                </c:pt>
                <c:pt idx="2">
                  <c:v>2023 N=888</c:v>
                </c:pt>
                <c:pt idx="3">
                  <c:v>2022 N=5279</c:v>
                </c:pt>
                <c:pt idx="4">
                  <c:v>2021 N=887</c:v>
                </c:pt>
                <c:pt idx="5">
                  <c:v>2020 N=5514</c:v>
                </c:pt>
                <c:pt idx="6">
                  <c:v>2019 N=905</c:v>
                </c:pt>
                <c:pt idx="7">
                  <c:v>2018 N=5615</c:v>
                </c:pt>
              </c:strCache>
            </c:strRef>
          </c:cat>
          <c:val>
            <c:numRef>
              <c:f>Arkusz1!$D$2:$D$9</c:f>
              <c:numCache>
                <c:formatCode>0.00%</c:formatCode>
                <c:ptCount val="8"/>
                <c:pt idx="0">
                  <c:v>0.17199999999999999</c:v>
                </c:pt>
                <c:pt idx="1">
                  <c:v>7.0999999999999994E-2</c:v>
                </c:pt>
                <c:pt idx="2" formatCode="0%">
                  <c:v>0.11</c:v>
                </c:pt>
                <c:pt idx="3" formatCode="0%">
                  <c:v>0.09</c:v>
                </c:pt>
                <c:pt idx="4" formatCode="0%">
                  <c:v>0.1</c:v>
                </c:pt>
                <c:pt idx="5" formatCode="0%">
                  <c:v>0.09</c:v>
                </c:pt>
                <c:pt idx="6" formatCode="0%">
                  <c:v>7.0000000000000007E-2</c:v>
                </c:pt>
                <c:pt idx="7" formatCode="0%">
                  <c:v>0.08</c:v>
                </c:pt>
              </c:numCache>
            </c:numRef>
          </c:val>
          <c:extLst>
            <c:ext xmlns:c16="http://schemas.microsoft.com/office/drawing/2014/chart" uri="{C3380CC4-5D6E-409C-BE32-E72D297353CC}">
              <c16:uniqueId val="{00000002-2214-4B82-B042-0C6825DF6E8E}"/>
            </c:ext>
          </c:extLst>
        </c:ser>
        <c:dLbls>
          <c:showLegendKey val="0"/>
          <c:showVal val="0"/>
          <c:showCatName val="0"/>
          <c:showSerName val="0"/>
          <c:showPercent val="0"/>
          <c:showBubbleSize val="0"/>
        </c:dLbls>
        <c:gapWidth val="60"/>
        <c:overlap val="100"/>
        <c:axId val="875697471"/>
        <c:axId val="875698911"/>
      </c:barChart>
      <c:catAx>
        <c:axId val="875697471"/>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rgbClr val="061A3D"/>
                </a:solidFill>
                <a:latin typeface="Arial" panose="020B0604020202020204" pitchFamily="34" charset="0"/>
                <a:ea typeface="+mn-ea"/>
                <a:cs typeface="Arial" panose="020B0604020202020204" pitchFamily="34" charset="0"/>
              </a:defRPr>
            </a:pPr>
            <a:endParaRPr lang="pl-PL"/>
          </a:p>
        </c:txPr>
        <c:crossAx val="875698911"/>
        <c:crosses val="autoZero"/>
        <c:auto val="1"/>
        <c:lblAlgn val="ctr"/>
        <c:lblOffset val="100"/>
        <c:noMultiLvlLbl val="0"/>
      </c:catAx>
      <c:valAx>
        <c:axId val="875698911"/>
        <c:scaling>
          <c:orientation val="minMax"/>
        </c:scaling>
        <c:delete val="0"/>
        <c:axPos val="t"/>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87569747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solidFill>
            <a:sysClr val="windowText" lastClr="000000"/>
          </a:solidFill>
          <a:latin typeface="Arial" panose="020B0604020202020204" pitchFamily="34" charset="0"/>
          <a:cs typeface="Arial" panose="020B0604020202020204" pitchFamily="34" charset="0"/>
        </a:defRPr>
      </a:pPr>
      <a:endParaRPr lang="pl-PL"/>
    </a:p>
  </c:txPr>
  <c:externalData r:id="rId3">
    <c:autoUpdate val="0"/>
  </c:externalData>
</c:chartSpace>
</file>

<file path=word/charts/chart6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percentStacked"/>
        <c:varyColors val="0"/>
        <c:ser>
          <c:idx val="0"/>
          <c:order val="0"/>
          <c:tx>
            <c:strRef>
              <c:f>Arkusz1!$B$1</c:f>
              <c:strCache>
                <c:ptCount val="1"/>
                <c:pt idx="0">
                  <c:v>tak</c:v>
                </c:pt>
              </c:strCache>
            </c:strRef>
          </c:tx>
          <c:spPr>
            <a:solidFill>
              <a:srgbClr val="061A3D"/>
            </a:solidFill>
            <a:ln>
              <a:noFill/>
            </a:ln>
            <a:effectLst/>
          </c:spPr>
          <c:invertIfNegative val="0"/>
          <c:dLbls>
            <c:dLbl>
              <c:idx val="5"/>
              <c:numFmt formatCode="0%" sourceLinked="0"/>
              <c:spPr>
                <a:solidFill>
                  <a:srgbClr val="EE0000"/>
                </a:solid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bg1"/>
                      </a:solidFill>
                      <a:latin typeface="Arial" panose="020B0604020202020204" pitchFamily="34" charset="0"/>
                      <a:ea typeface="+mn-ea"/>
                      <a:cs typeface="Arial" panose="020B0604020202020204" pitchFamily="34" charset="0"/>
                    </a:defRPr>
                  </a:pPr>
                  <a:endParaRPr lang="pl-PL"/>
                </a:p>
              </c:txPr>
              <c:dLblPos val="ctr"/>
              <c:showLegendKey val="0"/>
              <c:showVal val="1"/>
              <c:showCatName val="0"/>
              <c:showSerName val="0"/>
              <c:showPercent val="0"/>
              <c:showBubbleSize val="0"/>
              <c:extLst>
                <c:ext xmlns:c16="http://schemas.microsoft.com/office/drawing/2014/chart" uri="{C3380CC4-5D6E-409C-BE32-E72D297353CC}">
                  <c16:uniqueId val="{0000000A-E06E-42A9-B6A7-12EE5D1D79FD}"/>
                </c:ext>
              </c:extLst>
            </c:dLbl>
            <c:dLbl>
              <c:idx val="6"/>
              <c:layout>
                <c:manualLayout>
                  <c:x val="0"/>
                  <c:y val="2.4729939173033636E-3"/>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817-40A5-9E1F-381611AC8289}"/>
                </c:ext>
              </c:extLst>
            </c:dLbl>
            <c:dLbl>
              <c:idx val="10"/>
              <c:layout>
                <c:manualLayout>
                  <c:x val="-2.3148148148148147E-3"/>
                  <c:y val="1.9470859911057113E-7"/>
                </c:manualLayout>
              </c:layout>
              <c:numFmt formatCode="0%" sourceLinked="0"/>
              <c:spPr>
                <a:solidFill>
                  <a:srgbClr val="EE0000"/>
                </a:solid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bg1"/>
                      </a:solidFill>
                      <a:latin typeface="Arial" panose="020B0604020202020204" pitchFamily="34" charset="0"/>
                      <a:ea typeface="+mn-ea"/>
                      <a:cs typeface="Arial" panose="020B0604020202020204" pitchFamily="34" charset="0"/>
                    </a:defRPr>
                  </a:pPr>
                  <a:endParaRPr lang="pl-PL"/>
                </a:p>
              </c:txPr>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E06E-42A9-B6A7-12EE5D1D79FD}"/>
                </c:ext>
              </c:extLst>
            </c:dLbl>
            <c:dLbl>
              <c:idx val="23"/>
              <c:numFmt formatCode="0%" sourceLinked="0"/>
              <c:spPr>
                <a:solidFill>
                  <a:srgbClr val="00B0F0"/>
                </a:solid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bg1"/>
                      </a:solidFill>
                      <a:latin typeface="Arial" panose="020B0604020202020204" pitchFamily="34" charset="0"/>
                      <a:ea typeface="+mn-ea"/>
                      <a:cs typeface="Arial" panose="020B0604020202020204" pitchFamily="34" charset="0"/>
                    </a:defRPr>
                  </a:pPr>
                  <a:endParaRPr lang="pl-PL"/>
                </a:p>
              </c:txPr>
              <c:dLblPos val="ctr"/>
              <c:showLegendKey val="0"/>
              <c:showVal val="1"/>
              <c:showCatName val="0"/>
              <c:showSerName val="0"/>
              <c:showPercent val="0"/>
              <c:showBubbleSize val="0"/>
              <c:extLst>
                <c:ext xmlns:c16="http://schemas.microsoft.com/office/drawing/2014/chart" uri="{C3380CC4-5D6E-409C-BE32-E72D297353CC}">
                  <c16:uniqueId val="{0000000E-E06E-42A9-B6A7-12EE5D1D79FD}"/>
                </c:ext>
              </c:extLst>
            </c:dLbl>
            <c:numFmt formatCode="0%" sourceLinked="0"/>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bg1"/>
                    </a:solidFill>
                    <a:latin typeface="Arial" panose="020B0604020202020204" pitchFamily="34" charset="0"/>
                    <a:ea typeface="+mn-ea"/>
                    <a:cs typeface="Arial" panose="020B0604020202020204" pitchFamily="34" charset="0"/>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Arkusz1!$A$2:$A$25</c:f>
              <c:strCache>
                <c:ptCount val="24"/>
                <c:pt idx="0">
                  <c:v>Ogółem</c:v>
                </c:pt>
                <c:pt idx="2">
                  <c:v>Kobieta</c:v>
                </c:pt>
                <c:pt idx="3">
                  <c:v>Mężczyzna</c:v>
                </c:pt>
                <c:pt idx="5">
                  <c:v>15–19 lat</c:v>
                </c:pt>
                <c:pt idx="6">
                  <c:v>20–24 lata</c:v>
                </c:pt>
                <c:pt idx="7">
                  <c:v>25–34 lata</c:v>
                </c:pt>
                <c:pt idx="8">
                  <c:v>35–44 lata</c:v>
                </c:pt>
                <c:pt idx="9">
                  <c:v>45–54 lata</c:v>
                </c:pt>
                <c:pt idx="10">
                  <c:v>55–64 lata</c:v>
                </c:pt>
                <c:pt idx="11">
                  <c:v>65+</c:v>
                </c:pt>
                <c:pt idx="13">
                  <c:v>Wyższe</c:v>
                </c:pt>
                <c:pt idx="14">
                  <c:v>Średnie</c:v>
                </c:pt>
                <c:pt idx="15">
                  <c:v>Zawodowe</c:v>
                </c:pt>
                <c:pt idx="16">
                  <c:v>Podstawowe</c:v>
                </c:pt>
                <c:pt idx="18">
                  <c:v>Wieś</c:v>
                </c:pt>
                <c:pt idx="19">
                  <c:v>Do 20 tys.</c:v>
                </c:pt>
                <c:pt idx="20">
                  <c:v>20–49 tys.</c:v>
                </c:pt>
                <c:pt idx="21">
                  <c:v>50–199 tys.</c:v>
                </c:pt>
                <c:pt idx="22">
                  <c:v>200–499 tys.</c:v>
                </c:pt>
                <c:pt idx="23">
                  <c:v>500 tys.+</c:v>
                </c:pt>
              </c:strCache>
            </c:strRef>
          </c:cat>
          <c:val>
            <c:numRef>
              <c:f>Arkusz1!$B$2:$B$25</c:f>
              <c:numCache>
                <c:formatCode>General</c:formatCode>
                <c:ptCount val="24"/>
                <c:pt idx="0" formatCode="0.00%">
                  <c:v>0.183</c:v>
                </c:pt>
                <c:pt idx="2" formatCode="0.00%">
                  <c:v>0.192</c:v>
                </c:pt>
                <c:pt idx="3" formatCode="0.00%">
                  <c:v>0.17499999999999999</c:v>
                </c:pt>
                <c:pt idx="5" formatCode="0.00%">
                  <c:v>0.20300000000000001</c:v>
                </c:pt>
                <c:pt idx="6" formatCode="0.00%">
                  <c:v>0.14799999999999999</c:v>
                </c:pt>
                <c:pt idx="7" formatCode="0.00%">
                  <c:v>0.17</c:v>
                </c:pt>
                <c:pt idx="8" formatCode="0.00%">
                  <c:v>0.17199999999999999</c:v>
                </c:pt>
                <c:pt idx="9" formatCode="0.00%">
                  <c:v>0.16300000000000001</c:v>
                </c:pt>
                <c:pt idx="10" formatCode="0.00%">
                  <c:v>0.24399999999999999</c:v>
                </c:pt>
                <c:pt idx="11" formatCode="0.00%">
                  <c:v>0.184</c:v>
                </c:pt>
                <c:pt idx="13" formatCode="0.00%">
                  <c:v>0.183</c:v>
                </c:pt>
                <c:pt idx="14" formatCode="0.00%">
                  <c:v>0.185</c:v>
                </c:pt>
                <c:pt idx="15" formatCode="0.00%">
                  <c:v>0.192</c:v>
                </c:pt>
                <c:pt idx="16" formatCode="0.00%">
                  <c:v>0.16</c:v>
                </c:pt>
                <c:pt idx="18" formatCode="0.00%">
                  <c:v>0.20200000000000001</c:v>
                </c:pt>
                <c:pt idx="19" formatCode="0.00%">
                  <c:v>0.19700000000000001</c:v>
                </c:pt>
                <c:pt idx="20" formatCode="0.00%">
                  <c:v>0.21199999999999999</c:v>
                </c:pt>
                <c:pt idx="21" formatCode="0.00%">
                  <c:v>0.16800000000000001</c:v>
                </c:pt>
                <c:pt idx="22" formatCode="0.00%">
                  <c:v>0.16</c:v>
                </c:pt>
                <c:pt idx="23" formatCode="0.00%">
                  <c:v>0.113</c:v>
                </c:pt>
              </c:numCache>
            </c:numRef>
          </c:val>
          <c:extLst>
            <c:ext xmlns:c16="http://schemas.microsoft.com/office/drawing/2014/chart" uri="{C3380CC4-5D6E-409C-BE32-E72D297353CC}">
              <c16:uniqueId val="{00000002-E06E-42A9-B6A7-12EE5D1D79FD}"/>
            </c:ext>
          </c:extLst>
        </c:ser>
        <c:ser>
          <c:idx val="1"/>
          <c:order val="1"/>
          <c:tx>
            <c:strRef>
              <c:f>Arkusz1!$C$1</c:f>
              <c:strCache>
                <c:ptCount val="1"/>
                <c:pt idx="0">
                  <c:v>nie</c:v>
                </c:pt>
              </c:strCache>
            </c:strRef>
          </c:tx>
          <c:spPr>
            <a:solidFill>
              <a:schemeClr val="bg1">
                <a:lumMod val="85000"/>
              </a:schemeClr>
            </a:solidFill>
            <a:ln>
              <a:noFill/>
            </a:ln>
            <a:effectLst/>
          </c:spPr>
          <c:invertIfNegative val="0"/>
          <c:dLbls>
            <c:dLbl>
              <c:idx val="6"/>
              <c:numFmt formatCode="0%" sourceLinked="0"/>
              <c:spPr>
                <a:solidFill>
                  <a:srgbClr val="EE0000"/>
                </a:solid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bg1"/>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extLst>
                <c:ext xmlns:c16="http://schemas.microsoft.com/office/drawing/2014/chart" uri="{C3380CC4-5D6E-409C-BE32-E72D297353CC}">
                  <c16:uniqueId val="{00000001-5D1D-4F15-90F9-3CFA95A112FB}"/>
                </c:ext>
              </c:extLst>
            </c:dLbl>
            <c:dLbl>
              <c:idx val="23"/>
              <c:numFmt formatCode="0%" sourceLinked="0"/>
              <c:spPr>
                <a:solidFill>
                  <a:srgbClr val="EE0000"/>
                </a:solid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bg1"/>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extLst>
                <c:ext xmlns:c16="http://schemas.microsoft.com/office/drawing/2014/chart" uri="{C3380CC4-5D6E-409C-BE32-E72D297353CC}">
                  <c16:uniqueId val="{00000000-5D1D-4F15-90F9-3CFA95A112FB}"/>
                </c:ext>
              </c:extLst>
            </c:dLbl>
            <c:numFmt formatCode="0%" sourceLinked="0"/>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Arkusz1!$A$2:$A$25</c:f>
              <c:strCache>
                <c:ptCount val="24"/>
                <c:pt idx="0">
                  <c:v>Ogółem</c:v>
                </c:pt>
                <c:pt idx="2">
                  <c:v>Kobieta</c:v>
                </c:pt>
                <c:pt idx="3">
                  <c:v>Mężczyzna</c:v>
                </c:pt>
                <c:pt idx="5">
                  <c:v>15–19 lat</c:v>
                </c:pt>
                <c:pt idx="6">
                  <c:v>20–24 lata</c:v>
                </c:pt>
                <c:pt idx="7">
                  <c:v>25–34 lata</c:v>
                </c:pt>
                <c:pt idx="8">
                  <c:v>35–44 lata</c:v>
                </c:pt>
                <c:pt idx="9">
                  <c:v>45–54 lata</c:v>
                </c:pt>
                <c:pt idx="10">
                  <c:v>55–64 lata</c:v>
                </c:pt>
                <c:pt idx="11">
                  <c:v>65+</c:v>
                </c:pt>
                <c:pt idx="13">
                  <c:v>Wyższe</c:v>
                </c:pt>
                <c:pt idx="14">
                  <c:v>Średnie</c:v>
                </c:pt>
                <c:pt idx="15">
                  <c:v>Zawodowe</c:v>
                </c:pt>
                <c:pt idx="16">
                  <c:v>Podstawowe</c:v>
                </c:pt>
                <c:pt idx="18">
                  <c:v>Wieś</c:v>
                </c:pt>
                <c:pt idx="19">
                  <c:v>Do 20 tys.</c:v>
                </c:pt>
                <c:pt idx="20">
                  <c:v>20–49 tys.</c:v>
                </c:pt>
                <c:pt idx="21">
                  <c:v>50–199 tys.</c:v>
                </c:pt>
                <c:pt idx="22">
                  <c:v>200–499 tys.</c:v>
                </c:pt>
                <c:pt idx="23">
                  <c:v>500 tys.+</c:v>
                </c:pt>
              </c:strCache>
            </c:strRef>
          </c:cat>
          <c:val>
            <c:numRef>
              <c:f>Arkusz1!$C$2:$C$25</c:f>
              <c:numCache>
                <c:formatCode>General</c:formatCode>
                <c:ptCount val="24"/>
                <c:pt idx="0" formatCode="0.00%">
                  <c:v>0.64500000000000002</c:v>
                </c:pt>
                <c:pt idx="2" formatCode="0.00%">
                  <c:v>0.63100000000000001</c:v>
                </c:pt>
                <c:pt idx="3" formatCode="0.00%">
                  <c:v>0.65800000000000003</c:v>
                </c:pt>
                <c:pt idx="5" formatCode="0.00%">
                  <c:v>0.67800000000000005</c:v>
                </c:pt>
                <c:pt idx="6" formatCode="0.00%">
                  <c:v>0.754</c:v>
                </c:pt>
                <c:pt idx="7" formatCode="0.00%">
                  <c:v>0.63900000000000001</c:v>
                </c:pt>
                <c:pt idx="8" formatCode="0.00%">
                  <c:v>0.63500000000000001</c:v>
                </c:pt>
                <c:pt idx="9" formatCode="0.00%">
                  <c:v>0.66</c:v>
                </c:pt>
                <c:pt idx="10" formatCode="0.00%">
                  <c:v>0.63800000000000001</c:v>
                </c:pt>
                <c:pt idx="11" formatCode="0.00%">
                  <c:v>0.61399999999999999</c:v>
                </c:pt>
                <c:pt idx="13" formatCode="0.00%">
                  <c:v>0.64900000000000002</c:v>
                </c:pt>
                <c:pt idx="14" formatCode="0.00%">
                  <c:v>0.63500000000000001</c:v>
                </c:pt>
                <c:pt idx="15" formatCode="0.00%">
                  <c:v>0.63600000000000001</c:v>
                </c:pt>
                <c:pt idx="16" formatCode="0.00%">
                  <c:v>0.68100000000000005</c:v>
                </c:pt>
                <c:pt idx="18" formatCode="0.00%">
                  <c:v>0.63</c:v>
                </c:pt>
                <c:pt idx="19" formatCode="0.00%">
                  <c:v>0.64800000000000002</c:v>
                </c:pt>
                <c:pt idx="20" formatCode="0.00%">
                  <c:v>0.60199999999999998</c:v>
                </c:pt>
                <c:pt idx="21" formatCode="0.00%">
                  <c:v>0.65</c:v>
                </c:pt>
                <c:pt idx="22" formatCode="0.00%">
                  <c:v>0.64200000000000002</c:v>
                </c:pt>
                <c:pt idx="23" formatCode="0.00%">
                  <c:v>0.73</c:v>
                </c:pt>
              </c:numCache>
            </c:numRef>
          </c:val>
          <c:extLst>
            <c:ext xmlns:c16="http://schemas.microsoft.com/office/drawing/2014/chart" uri="{C3380CC4-5D6E-409C-BE32-E72D297353CC}">
              <c16:uniqueId val="{00000003-E06E-42A9-B6A7-12EE5D1D79FD}"/>
            </c:ext>
          </c:extLst>
        </c:ser>
        <c:ser>
          <c:idx val="2"/>
          <c:order val="2"/>
          <c:tx>
            <c:strRef>
              <c:f>Arkusz1!$D$1</c:f>
              <c:strCache>
                <c:ptCount val="1"/>
                <c:pt idx="0">
                  <c:v>nie wiem / trudno powiedzieć</c:v>
                </c:pt>
              </c:strCache>
            </c:strRef>
          </c:tx>
          <c:spPr>
            <a:solidFill>
              <a:schemeClr val="tx1">
                <a:lumMod val="50000"/>
                <a:lumOff val="50000"/>
              </a:schemeClr>
            </a:solidFill>
            <a:ln>
              <a:noFill/>
            </a:ln>
            <a:effectLst/>
          </c:spPr>
          <c:invertIfNegative val="0"/>
          <c:dLbls>
            <c:dLbl>
              <c:idx val="5"/>
              <c:numFmt formatCode="0%" sourceLinked="0"/>
              <c:spPr>
                <a:solidFill>
                  <a:srgbClr val="00B0F0"/>
                </a:solid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bg1"/>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extLst>
                <c:ext xmlns:c16="http://schemas.microsoft.com/office/drawing/2014/chart" uri="{C3380CC4-5D6E-409C-BE32-E72D297353CC}">
                  <c16:uniqueId val="{00000002-5D1D-4F15-90F9-3CFA95A112FB}"/>
                </c:ext>
              </c:extLst>
            </c:dLbl>
            <c:dLbl>
              <c:idx val="6"/>
              <c:numFmt formatCode="0%" sourceLinked="0"/>
              <c:spPr>
                <a:solidFill>
                  <a:srgbClr val="00B0F0"/>
                </a:solid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bg1"/>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extLst>
                <c:ext xmlns:c16="http://schemas.microsoft.com/office/drawing/2014/chart" uri="{C3380CC4-5D6E-409C-BE32-E72D297353CC}">
                  <c16:uniqueId val="{0000000B-E06E-42A9-B6A7-12EE5D1D79FD}"/>
                </c:ext>
              </c:extLst>
            </c:dLbl>
            <c:dLbl>
              <c:idx val="10"/>
              <c:numFmt formatCode="0%" sourceLinked="0"/>
              <c:spPr>
                <a:solidFill>
                  <a:srgbClr val="00B0F0"/>
                </a:solid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bg1"/>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extLst>
                <c:ext xmlns:c16="http://schemas.microsoft.com/office/drawing/2014/chart" uri="{C3380CC4-5D6E-409C-BE32-E72D297353CC}">
                  <c16:uniqueId val="{0000000C-E06E-42A9-B6A7-12EE5D1D79FD}"/>
                </c:ext>
              </c:extLst>
            </c:dLbl>
            <c:dLbl>
              <c:idx val="19"/>
              <c:numFmt formatCode="0%" sourceLinked="0"/>
              <c:spPr>
                <a:solidFill>
                  <a:srgbClr val="00B0F0"/>
                </a:solid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bg1"/>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extLst>
                <c:ext xmlns:c16="http://schemas.microsoft.com/office/drawing/2014/chart" uri="{C3380CC4-5D6E-409C-BE32-E72D297353CC}">
                  <c16:uniqueId val="{0000000D-E06E-42A9-B6A7-12EE5D1D79FD}"/>
                </c:ext>
              </c:extLst>
            </c:dLbl>
            <c:numFmt formatCode="0%" sourceLinked="0"/>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bg1"/>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Arkusz1!$A$2:$A$25</c:f>
              <c:strCache>
                <c:ptCount val="24"/>
                <c:pt idx="0">
                  <c:v>Ogółem</c:v>
                </c:pt>
                <c:pt idx="2">
                  <c:v>Kobieta</c:v>
                </c:pt>
                <c:pt idx="3">
                  <c:v>Mężczyzna</c:v>
                </c:pt>
                <c:pt idx="5">
                  <c:v>15–19 lat</c:v>
                </c:pt>
                <c:pt idx="6">
                  <c:v>20–24 lata</c:v>
                </c:pt>
                <c:pt idx="7">
                  <c:v>25–34 lata</c:v>
                </c:pt>
                <c:pt idx="8">
                  <c:v>35–44 lata</c:v>
                </c:pt>
                <c:pt idx="9">
                  <c:v>45–54 lata</c:v>
                </c:pt>
                <c:pt idx="10">
                  <c:v>55–64 lata</c:v>
                </c:pt>
                <c:pt idx="11">
                  <c:v>65+</c:v>
                </c:pt>
                <c:pt idx="13">
                  <c:v>Wyższe</c:v>
                </c:pt>
                <c:pt idx="14">
                  <c:v>Średnie</c:v>
                </c:pt>
                <c:pt idx="15">
                  <c:v>Zawodowe</c:v>
                </c:pt>
                <c:pt idx="16">
                  <c:v>Podstawowe</c:v>
                </c:pt>
                <c:pt idx="18">
                  <c:v>Wieś</c:v>
                </c:pt>
                <c:pt idx="19">
                  <c:v>Do 20 tys.</c:v>
                </c:pt>
                <c:pt idx="20">
                  <c:v>20–49 tys.</c:v>
                </c:pt>
                <c:pt idx="21">
                  <c:v>50–199 tys.</c:v>
                </c:pt>
                <c:pt idx="22">
                  <c:v>200–499 tys.</c:v>
                </c:pt>
                <c:pt idx="23">
                  <c:v>500 tys.+</c:v>
                </c:pt>
              </c:strCache>
            </c:strRef>
          </c:cat>
          <c:val>
            <c:numRef>
              <c:f>Arkusz1!$D$2:$D$25</c:f>
              <c:numCache>
                <c:formatCode>General</c:formatCode>
                <c:ptCount val="24"/>
                <c:pt idx="0" formatCode="0.00%">
                  <c:v>0.17199999999999999</c:v>
                </c:pt>
                <c:pt idx="2" formatCode="0.00%">
                  <c:v>0.17699999999999999</c:v>
                </c:pt>
                <c:pt idx="3" formatCode="0.00%">
                  <c:v>0.16700000000000001</c:v>
                </c:pt>
                <c:pt idx="5" formatCode="0.00%">
                  <c:v>0.11899999999999999</c:v>
                </c:pt>
                <c:pt idx="6" formatCode="0.00%">
                  <c:v>9.8000000000000004E-2</c:v>
                </c:pt>
                <c:pt idx="7" formatCode="0.00%">
                  <c:v>0.19</c:v>
                </c:pt>
                <c:pt idx="8" formatCode="0.00%">
                  <c:v>0.193</c:v>
                </c:pt>
                <c:pt idx="9" formatCode="0.00%">
                  <c:v>0.17699999999999999</c:v>
                </c:pt>
                <c:pt idx="10" formatCode="0.00%">
                  <c:v>0.11799999999999999</c:v>
                </c:pt>
                <c:pt idx="11" formatCode="0.00%">
                  <c:v>0.20200000000000001</c:v>
                </c:pt>
                <c:pt idx="13" formatCode="0.00%">
                  <c:v>0.16800000000000001</c:v>
                </c:pt>
                <c:pt idx="14" formatCode="0.00%">
                  <c:v>0.17899999999999999</c:v>
                </c:pt>
                <c:pt idx="15" formatCode="0.00%">
                  <c:v>0.17199999999999999</c:v>
                </c:pt>
                <c:pt idx="16" formatCode="0.00%">
                  <c:v>0.16</c:v>
                </c:pt>
                <c:pt idx="18" formatCode="0.00%">
                  <c:v>0.16800000000000001</c:v>
                </c:pt>
                <c:pt idx="19" formatCode="0.00%">
                  <c:v>0.156</c:v>
                </c:pt>
                <c:pt idx="20" formatCode="0.00%">
                  <c:v>0.186</c:v>
                </c:pt>
                <c:pt idx="21" formatCode="0.00%">
                  <c:v>0.182</c:v>
                </c:pt>
                <c:pt idx="22" formatCode="0.00%">
                  <c:v>0.19800000000000001</c:v>
                </c:pt>
                <c:pt idx="23" formatCode="0.00%">
                  <c:v>0.157</c:v>
                </c:pt>
              </c:numCache>
            </c:numRef>
          </c:val>
          <c:extLst>
            <c:ext xmlns:c16="http://schemas.microsoft.com/office/drawing/2014/chart" uri="{C3380CC4-5D6E-409C-BE32-E72D297353CC}">
              <c16:uniqueId val="{00000004-E06E-42A9-B6A7-12EE5D1D79FD}"/>
            </c:ext>
          </c:extLst>
        </c:ser>
        <c:dLbls>
          <c:showLegendKey val="0"/>
          <c:showVal val="0"/>
          <c:showCatName val="0"/>
          <c:showSerName val="0"/>
          <c:showPercent val="0"/>
          <c:showBubbleSize val="0"/>
        </c:dLbls>
        <c:gapWidth val="60"/>
        <c:overlap val="100"/>
        <c:axId val="875697471"/>
        <c:axId val="875698911"/>
      </c:barChart>
      <c:catAx>
        <c:axId val="875697471"/>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crossAx val="875698911"/>
        <c:crosses val="autoZero"/>
        <c:auto val="1"/>
        <c:lblAlgn val="ctr"/>
        <c:lblOffset val="100"/>
        <c:noMultiLvlLbl val="0"/>
      </c:catAx>
      <c:valAx>
        <c:axId val="875698911"/>
        <c:scaling>
          <c:orientation val="minMax"/>
        </c:scaling>
        <c:delete val="0"/>
        <c:axPos val="t"/>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pl-PL"/>
          </a:p>
        </c:txPr>
        <c:crossAx val="87569747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pl-PL"/>
    </a:p>
  </c:txPr>
  <c:externalData r:id="rId3">
    <c:autoUpdate val="0"/>
  </c:externalData>
</c:chartSpace>
</file>

<file path=word/charts/chart6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Arkusz1!$B$1</c:f>
              <c:strCache>
                <c:ptCount val="1"/>
                <c:pt idx="0">
                  <c:v>Wartość</c:v>
                </c:pt>
              </c:strCache>
            </c:strRef>
          </c:tx>
          <c:spPr>
            <a:solidFill>
              <a:srgbClr val="061A3D"/>
            </a:solidFill>
            <a:ln>
              <a:noFill/>
            </a:ln>
            <a:effectLst/>
          </c:spPr>
          <c:invertIfNegative val="0"/>
          <c:dLbls>
            <c:numFmt formatCode="0%" sourceLinked="0"/>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Arkusz1!$A$2:$A$10</c:f>
              <c:strCache>
                <c:ptCount val="9"/>
                <c:pt idx="0">
                  <c:v>publikacje, broszury informacyjne</c:v>
                </c:pt>
                <c:pt idx="1">
                  <c:v>rozmowa ze znajomymi / rodziną / w pracy</c:v>
                </c:pt>
                <c:pt idx="2">
                  <c:v>facebook</c:v>
                </c:pt>
                <c:pt idx="3">
                  <c:v>reklama na zewnątrz / billboard</c:v>
                </c:pt>
                <c:pt idx="4">
                  <c:v>tablica informacyjna przy inwestycji</c:v>
                </c:pt>
                <c:pt idx="5">
                  <c:v>internet</c:v>
                </c:pt>
                <c:pt idx="6">
                  <c:v>radio</c:v>
                </c:pt>
                <c:pt idx="7">
                  <c:v>prasa</c:v>
                </c:pt>
                <c:pt idx="8">
                  <c:v>telewizja</c:v>
                </c:pt>
              </c:strCache>
            </c:strRef>
          </c:cat>
          <c:val>
            <c:numRef>
              <c:f>Arkusz1!$B$2:$B$10</c:f>
              <c:numCache>
                <c:formatCode>0.00%</c:formatCode>
                <c:ptCount val="9"/>
                <c:pt idx="0">
                  <c:v>6.0000000000000001E-3</c:v>
                </c:pt>
                <c:pt idx="1">
                  <c:v>0.04</c:v>
                </c:pt>
                <c:pt idx="2">
                  <c:v>8.5999999999999993E-2</c:v>
                </c:pt>
                <c:pt idx="3">
                  <c:v>8.5999999999999993E-2</c:v>
                </c:pt>
                <c:pt idx="4">
                  <c:v>0.126</c:v>
                </c:pt>
                <c:pt idx="5">
                  <c:v>0.13100000000000001</c:v>
                </c:pt>
                <c:pt idx="6">
                  <c:v>0.154</c:v>
                </c:pt>
                <c:pt idx="7">
                  <c:v>0.17699999999999999</c:v>
                </c:pt>
                <c:pt idx="8">
                  <c:v>0.19400000000000001</c:v>
                </c:pt>
              </c:numCache>
            </c:numRef>
          </c:val>
          <c:extLst>
            <c:ext xmlns:c16="http://schemas.microsoft.com/office/drawing/2014/chart" uri="{C3380CC4-5D6E-409C-BE32-E72D297353CC}">
              <c16:uniqueId val="{00000000-4228-4F16-9A85-8130FB9BC83E}"/>
            </c:ext>
          </c:extLst>
        </c:ser>
        <c:dLbls>
          <c:showLegendKey val="0"/>
          <c:showVal val="0"/>
          <c:showCatName val="0"/>
          <c:showSerName val="0"/>
          <c:showPercent val="0"/>
          <c:showBubbleSize val="0"/>
        </c:dLbls>
        <c:gapWidth val="92"/>
        <c:axId val="432009056"/>
        <c:axId val="432009536"/>
      </c:barChart>
      <c:catAx>
        <c:axId val="43200905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432009536"/>
        <c:crosses val="autoZero"/>
        <c:auto val="1"/>
        <c:lblAlgn val="ctr"/>
        <c:lblOffset val="100"/>
        <c:noMultiLvlLbl val="0"/>
      </c:catAx>
      <c:valAx>
        <c:axId val="432009536"/>
        <c:scaling>
          <c:orientation val="minMax"/>
        </c:scaling>
        <c:delete val="0"/>
        <c:axPos val="b"/>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crossAx val="432009056"/>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1050"/>
      </a:pPr>
      <a:endParaRPr lang="pl-PL"/>
    </a:p>
  </c:txPr>
  <c:externalData r:id="rId3">
    <c:autoUpdate val="0"/>
  </c:externalData>
</c:chartSpace>
</file>

<file path=word/charts/chart6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Arkusz1!$B$1</c:f>
              <c:strCache>
                <c:ptCount val="1"/>
                <c:pt idx="0">
                  <c:v>Wartość</c:v>
                </c:pt>
              </c:strCache>
            </c:strRef>
          </c:tx>
          <c:spPr>
            <a:solidFill>
              <a:srgbClr val="061A3D"/>
            </a:solidFill>
            <a:ln>
              <a:noFill/>
            </a:ln>
            <a:effectLst/>
          </c:spPr>
          <c:invertIfNegative val="0"/>
          <c:dLbls>
            <c:numFmt formatCode="0%" sourceLinked="0"/>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Arkusz1!$A$2:$A$8</c:f>
              <c:strCache>
                <c:ptCount val="7"/>
                <c:pt idx="0">
                  <c:v>inne</c:v>
                </c:pt>
                <c:pt idx="1">
                  <c:v>opinia w mediach społecznościowych / na forach</c:v>
                </c:pt>
                <c:pt idx="2">
                  <c:v>wiadomości w serwisie informacyjnym</c:v>
                </c:pt>
                <c:pt idx="3">
                  <c:v>reportaż</c:v>
                </c:pt>
                <c:pt idx="4">
                  <c:v>artykuł</c:v>
                </c:pt>
                <c:pt idx="5">
                  <c:v>reklama</c:v>
                </c:pt>
                <c:pt idx="6">
                  <c:v>debata publicystyczna</c:v>
                </c:pt>
              </c:strCache>
            </c:strRef>
          </c:cat>
          <c:val>
            <c:numRef>
              <c:f>Arkusz1!$B$2:$B$8</c:f>
              <c:numCache>
                <c:formatCode>0.00%</c:formatCode>
                <c:ptCount val="7"/>
                <c:pt idx="0">
                  <c:v>5.7000000000000002E-2</c:v>
                </c:pt>
                <c:pt idx="1">
                  <c:v>0.114</c:v>
                </c:pt>
                <c:pt idx="2">
                  <c:v>0.13700000000000001</c:v>
                </c:pt>
                <c:pt idx="3">
                  <c:v>0.13700000000000001</c:v>
                </c:pt>
                <c:pt idx="4">
                  <c:v>0.16</c:v>
                </c:pt>
                <c:pt idx="5">
                  <c:v>0.17699999999999999</c:v>
                </c:pt>
                <c:pt idx="6">
                  <c:v>0.217</c:v>
                </c:pt>
              </c:numCache>
            </c:numRef>
          </c:val>
          <c:extLst>
            <c:ext xmlns:c16="http://schemas.microsoft.com/office/drawing/2014/chart" uri="{C3380CC4-5D6E-409C-BE32-E72D297353CC}">
              <c16:uniqueId val="{00000000-D989-447B-B46A-4D4D245311C1}"/>
            </c:ext>
          </c:extLst>
        </c:ser>
        <c:dLbls>
          <c:showLegendKey val="0"/>
          <c:showVal val="0"/>
          <c:showCatName val="0"/>
          <c:showSerName val="0"/>
          <c:showPercent val="0"/>
          <c:showBubbleSize val="0"/>
        </c:dLbls>
        <c:gapWidth val="92"/>
        <c:axId val="432009056"/>
        <c:axId val="432009536"/>
      </c:barChart>
      <c:catAx>
        <c:axId val="43200905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crossAx val="432009536"/>
        <c:crosses val="autoZero"/>
        <c:auto val="1"/>
        <c:lblAlgn val="ctr"/>
        <c:lblOffset val="100"/>
        <c:noMultiLvlLbl val="0"/>
      </c:catAx>
      <c:valAx>
        <c:axId val="432009536"/>
        <c:scaling>
          <c:orientation val="minMax"/>
        </c:scaling>
        <c:delete val="0"/>
        <c:axPos val="b"/>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crossAx val="432009056"/>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1050"/>
      </a:pPr>
      <a:endParaRPr lang="pl-PL"/>
    </a:p>
  </c:txPr>
  <c:externalData r:id="rId3">
    <c:autoUpdate val="0"/>
  </c:externalData>
</c:chartSpace>
</file>

<file path=word/charts/chart6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Arkusz1!$B$1</c:f>
              <c:strCache>
                <c:ptCount val="1"/>
                <c:pt idx="0">
                  <c:v>%</c:v>
                </c:pt>
              </c:strCache>
            </c:strRef>
          </c:tx>
          <c:spPr>
            <a:solidFill>
              <a:srgbClr val="061A3D"/>
            </a:solidFill>
            <a:ln>
              <a:noFill/>
            </a:ln>
            <a:effectLst/>
          </c:spPr>
          <c:invertIfNegative val="0"/>
          <c:dLbls>
            <c:numFmt formatCode="0%" sourceLinked="0"/>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Arkusz1!$A$2:$A$12</c:f>
              <c:strCache>
                <c:ptCount val="11"/>
                <c:pt idx="0">
                  <c:v>nie wiem / trudno powiedzieć</c:v>
                </c:pt>
                <c:pt idx="1">
                  <c:v>jak pozyskać fundusze</c:v>
                </c:pt>
                <c:pt idx="2">
                  <c:v>przedział czasowy</c:v>
                </c:pt>
                <c:pt idx="3">
                  <c:v>nazwy inwestycji/projektów</c:v>
                </c:pt>
                <c:pt idx="4">
                  <c:v>tablica informacyjna</c:v>
                </c:pt>
                <c:pt idx="5">
                  <c:v>cel</c:v>
                </c:pt>
                <c:pt idx="6">
                  <c:v>beneficjenci</c:v>
                </c:pt>
                <c:pt idx="7">
                  <c:v>logo</c:v>
                </c:pt>
                <c:pt idx="8">
                  <c:v>finansowanie ze środków unijnych</c:v>
                </c:pt>
                <c:pt idx="9">
                  <c:v>informacje o inwestycji sfinansowanej ze środków unijnych</c:v>
                </c:pt>
                <c:pt idx="10">
                  <c:v>ogólnie informacja o dotacjach</c:v>
                </c:pt>
              </c:strCache>
            </c:strRef>
          </c:cat>
          <c:val>
            <c:numRef>
              <c:f>Arkusz1!$B$2:$B$12</c:f>
              <c:numCache>
                <c:formatCode>0%</c:formatCode>
                <c:ptCount val="11"/>
                <c:pt idx="0">
                  <c:v>0.37</c:v>
                </c:pt>
                <c:pt idx="1">
                  <c:v>0.02</c:v>
                </c:pt>
                <c:pt idx="2">
                  <c:v>0.02</c:v>
                </c:pt>
                <c:pt idx="3">
                  <c:v>0.03</c:v>
                </c:pt>
                <c:pt idx="4">
                  <c:v>0.03</c:v>
                </c:pt>
                <c:pt idx="5">
                  <c:v>0.04</c:v>
                </c:pt>
                <c:pt idx="6">
                  <c:v>0.04</c:v>
                </c:pt>
                <c:pt idx="7">
                  <c:v>0.04</c:v>
                </c:pt>
                <c:pt idx="8">
                  <c:v>0.1</c:v>
                </c:pt>
                <c:pt idx="9">
                  <c:v>0.18</c:v>
                </c:pt>
                <c:pt idx="10">
                  <c:v>0.19</c:v>
                </c:pt>
              </c:numCache>
            </c:numRef>
          </c:val>
          <c:extLst>
            <c:ext xmlns:c16="http://schemas.microsoft.com/office/drawing/2014/chart" uri="{C3380CC4-5D6E-409C-BE32-E72D297353CC}">
              <c16:uniqueId val="{00000000-2244-4785-A977-36F617713C05}"/>
            </c:ext>
          </c:extLst>
        </c:ser>
        <c:dLbls>
          <c:showLegendKey val="0"/>
          <c:showVal val="0"/>
          <c:showCatName val="0"/>
          <c:showSerName val="0"/>
          <c:showPercent val="0"/>
          <c:showBubbleSize val="0"/>
        </c:dLbls>
        <c:gapWidth val="82"/>
        <c:axId val="432009056"/>
        <c:axId val="432009536"/>
      </c:barChart>
      <c:catAx>
        <c:axId val="43200905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crossAx val="432009536"/>
        <c:crosses val="autoZero"/>
        <c:auto val="1"/>
        <c:lblAlgn val="ctr"/>
        <c:lblOffset val="100"/>
        <c:noMultiLvlLbl val="0"/>
      </c:catAx>
      <c:valAx>
        <c:axId val="432009536"/>
        <c:scaling>
          <c:orientation val="minMax"/>
        </c:scaling>
        <c:delete val="0"/>
        <c:axPos val="b"/>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crossAx val="432009056"/>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6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percentStacked"/>
        <c:varyColors val="0"/>
        <c:ser>
          <c:idx val="0"/>
          <c:order val="0"/>
          <c:tx>
            <c:strRef>
              <c:f>Arkusz1!$B$1</c:f>
              <c:strCache>
                <c:ptCount val="1"/>
                <c:pt idx="0">
                  <c:v>zdecydowanie pozytywnie</c:v>
                </c:pt>
              </c:strCache>
            </c:strRef>
          </c:tx>
          <c:spPr>
            <a:solidFill>
              <a:srgbClr val="061A3D"/>
            </a:solidFill>
            <a:ln>
              <a:noFill/>
            </a:ln>
            <a:effectLst/>
          </c:spPr>
          <c:invertIfNegative val="0"/>
          <c:dLbls>
            <c:dLbl>
              <c:idx val="3"/>
              <c:numFmt formatCode="0%" sourceLinked="0"/>
              <c:spPr>
                <a:solidFill>
                  <a:srgbClr val="EE0000"/>
                </a:solid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bg1"/>
                      </a:solidFill>
                      <a:latin typeface="+mn-lt"/>
                      <a:ea typeface="+mn-ea"/>
                      <a:cs typeface="+mn-cs"/>
                    </a:defRPr>
                  </a:pPr>
                  <a:endParaRPr lang="pl-PL"/>
                </a:p>
              </c:txPr>
              <c:showLegendKey val="0"/>
              <c:showVal val="1"/>
              <c:showCatName val="0"/>
              <c:showSerName val="0"/>
              <c:showPercent val="0"/>
              <c:showBubbleSize val="0"/>
              <c:extLst>
                <c:ext xmlns:c16="http://schemas.microsoft.com/office/drawing/2014/chart" uri="{C3380CC4-5D6E-409C-BE32-E72D297353CC}">
                  <c16:uniqueId val="{00000002-015C-45A4-9489-3332F8854551}"/>
                </c:ext>
              </c:extLst>
            </c:dLbl>
            <c:numFmt formatCode="0%" sourceLinked="0"/>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bg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Arkusz1!$A$2:$A$8</c:f>
              <c:strCache>
                <c:ptCount val="7"/>
                <c:pt idx="0">
                  <c:v>2025 N=128</c:v>
                </c:pt>
                <c:pt idx="1">
                  <c:v>2023 N=185</c:v>
                </c:pt>
                <c:pt idx="2">
                  <c:v>2022 N=607</c:v>
                </c:pt>
                <c:pt idx="3">
                  <c:v>2021 N=289</c:v>
                </c:pt>
                <c:pt idx="4">
                  <c:v>2020 N=911</c:v>
                </c:pt>
                <c:pt idx="5">
                  <c:v>2019 N=195</c:v>
                </c:pt>
                <c:pt idx="6">
                  <c:v>2018 N=789</c:v>
                </c:pt>
              </c:strCache>
            </c:strRef>
          </c:cat>
          <c:val>
            <c:numRef>
              <c:f>Arkusz1!$B$2:$B$8</c:f>
              <c:numCache>
                <c:formatCode>0%</c:formatCode>
                <c:ptCount val="7"/>
                <c:pt idx="0" formatCode="0.00%">
                  <c:v>0.33100000000000002</c:v>
                </c:pt>
                <c:pt idx="1">
                  <c:v>0.45</c:v>
                </c:pt>
                <c:pt idx="2">
                  <c:v>0.32</c:v>
                </c:pt>
                <c:pt idx="3">
                  <c:v>0.46</c:v>
                </c:pt>
                <c:pt idx="4">
                  <c:v>0.4</c:v>
                </c:pt>
                <c:pt idx="5">
                  <c:v>0.33</c:v>
                </c:pt>
                <c:pt idx="6">
                  <c:v>0.32</c:v>
                </c:pt>
              </c:numCache>
            </c:numRef>
          </c:val>
          <c:extLst>
            <c:ext xmlns:c16="http://schemas.microsoft.com/office/drawing/2014/chart" uri="{C3380CC4-5D6E-409C-BE32-E72D297353CC}">
              <c16:uniqueId val="{00000000-B459-4848-969B-756EB1D511F7}"/>
            </c:ext>
          </c:extLst>
        </c:ser>
        <c:ser>
          <c:idx val="1"/>
          <c:order val="1"/>
          <c:tx>
            <c:strRef>
              <c:f>Arkusz1!$C$1</c:f>
              <c:strCache>
                <c:ptCount val="1"/>
                <c:pt idx="0">
                  <c:v>raczej pozytywnie</c:v>
                </c:pt>
              </c:strCache>
            </c:strRef>
          </c:tx>
          <c:spPr>
            <a:solidFill>
              <a:schemeClr val="bg1">
                <a:lumMod val="85000"/>
              </a:schemeClr>
            </a:solidFill>
            <a:ln>
              <a:noFill/>
            </a:ln>
            <a:effectLst/>
          </c:spPr>
          <c:invertIfNegative val="0"/>
          <c:dLbls>
            <c:dLbl>
              <c:idx val="1"/>
              <c:numFmt formatCode="0%" sourceLinked="0"/>
              <c:spPr>
                <a:solidFill>
                  <a:srgbClr val="00B0F0"/>
                </a:solid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bg1"/>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extLst>
                <c:ext xmlns:c16="http://schemas.microsoft.com/office/drawing/2014/chart" uri="{C3380CC4-5D6E-409C-BE32-E72D297353CC}">
                  <c16:uniqueId val="{00000006-015C-45A4-9489-3332F8854551}"/>
                </c:ext>
              </c:extLst>
            </c:dLbl>
            <c:dLbl>
              <c:idx val="2"/>
              <c:numFmt formatCode="0%" sourceLinked="0"/>
              <c:spPr>
                <a:solidFill>
                  <a:srgbClr val="EE0000"/>
                </a:solid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bg1"/>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extLst>
                <c:ext xmlns:c16="http://schemas.microsoft.com/office/drawing/2014/chart" uri="{C3380CC4-5D6E-409C-BE32-E72D297353CC}">
                  <c16:uniqueId val="{00000000-015C-45A4-9489-3332F8854551}"/>
                </c:ext>
              </c:extLst>
            </c:dLbl>
            <c:dLbl>
              <c:idx val="6"/>
              <c:numFmt formatCode="0%" sourceLinked="0"/>
              <c:spPr>
                <a:solidFill>
                  <a:srgbClr val="EE0000"/>
                </a:solid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bg1"/>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extLst>
                <c:ext xmlns:c16="http://schemas.microsoft.com/office/drawing/2014/chart" uri="{C3380CC4-5D6E-409C-BE32-E72D297353CC}">
                  <c16:uniqueId val="{00000001-015C-45A4-9489-3332F8854551}"/>
                </c:ext>
              </c:extLst>
            </c:dLbl>
            <c:numFmt formatCode="0%" sourceLinked="0"/>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Arkusz1!$A$2:$A$8</c:f>
              <c:strCache>
                <c:ptCount val="7"/>
                <c:pt idx="0">
                  <c:v>2025 N=128</c:v>
                </c:pt>
                <c:pt idx="1">
                  <c:v>2023 N=185</c:v>
                </c:pt>
                <c:pt idx="2">
                  <c:v>2022 N=607</c:v>
                </c:pt>
                <c:pt idx="3">
                  <c:v>2021 N=289</c:v>
                </c:pt>
                <c:pt idx="4">
                  <c:v>2020 N=911</c:v>
                </c:pt>
                <c:pt idx="5">
                  <c:v>2019 N=195</c:v>
                </c:pt>
                <c:pt idx="6">
                  <c:v>2018 N=789</c:v>
                </c:pt>
              </c:strCache>
            </c:strRef>
          </c:cat>
          <c:val>
            <c:numRef>
              <c:f>Arkusz1!$C$2:$C$8</c:f>
              <c:numCache>
                <c:formatCode>0%</c:formatCode>
                <c:ptCount val="7"/>
                <c:pt idx="0" formatCode="0.00%">
                  <c:v>0.39400000000000002</c:v>
                </c:pt>
                <c:pt idx="1">
                  <c:v>0.35</c:v>
                </c:pt>
                <c:pt idx="2">
                  <c:v>0.51</c:v>
                </c:pt>
                <c:pt idx="3">
                  <c:v>0.4</c:v>
                </c:pt>
                <c:pt idx="4">
                  <c:v>0.45</c:v>
                </c:pt>
                <c:pt idx="5">
                  <c:v>0.46</c:v>
                </c:pt>
                <c:pt idx="6">
                  <c:v>0.49</c:v>
                </c:pt>
              </c:numCache>
            </c:numRef>
          </c:val>
          <c:extLst>
            <c:ext xmlns:c16="http://schemas.microsoft.com/office/drawing/2014/chart" uri="{C3380CC4-5D6E-409C-BE32-E72D297353CC}">
              <c16:uniqueId val="{00000001-B459-4848-969B-756EB1D511F7}"/>
            </c:ext>
          </c:extLst>
        </c:ser>
        <c:ser>
          <c:idx val="2"/>
          <c:order val="2"/>
          <c:tx>
            <c:strRef>
              <c:f>Arkusz1!$D$1</c:f>
              <c:strCache>
                <c:ptCount val="1"/>
                <c:pt idx="0">
                  <c:v>ani pozytywnie, ani negatywnie</c:v>
                </c:pt>
              </c:strCache>
            </c:strRef>
          </c:tx>
          <c:spPr>
            <a:solidFill>
              <a:schemeClr val="accent3"/>
            </a:solidFill>
            <a:ln>
              <a:noFill/>
            </a:ln>
            <a:effectLst/>
          </c:spPr>
          <c:invertIfNegative val="0"/>
          <c:dLbls>
            <c:dLbl>
              <c:idx val="0"/>
              <c:numFmt formatCode="0%" sourceLinked="0"/>
              <c:spPr>
                <a:solidFill>
                  <a:srgbClr val="EE0000"/>
                </a:solid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bg1"/>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extLst>
                <c:ext xmlns:c16="http://schemas.microsoft.com/office/drawing/2014/chart" uri="{C3380CC4-5D6E-409C-BE32-E72D297353CC}">
                  <c16:uniqueId val="{00000003-015C-45A4-9489-3332F8854551}"/>
                </c:ext>
              </c:extLst>
            </c:dLbl>
            <c:dLbl>
              <c:idx val="2"/>
              <c:numFmt formatCode="0%" sourceLinked="0"/>
              <c:spPr>
                <a:solidFill>
                  <a:srgbClr val="00B0F0"/>
                </a:solid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bg1"/>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extLst>
                <c:ext xmlns:c16="http://schemas.microsoft.com/office/drawing/2014/chart" uri="{C3380CC4-5D6E-409C-BE32-E72D297353CC}">
                  <c16:uniqueId val="{00000005-015C-45A4-9489-3332F8854551}"/>
                </c:ext>
              </c:extLst>
            </c:dLbl>
            <c:dLbl>
              <c:idx val="3"/>
              <c:numFmt formatCode="0%" sourceLinked="0"/>
              <c:spPr>
                <a:solidFill>
                  <a:srgbClr val="00B0F0"/>
                </a:solid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bg1"/>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extLst>
                <c:ext xmlns:c16="http://schemas.microsoft.com/office/drawing/2014/chart" uri="{C3380CC4-5D6E-409C-BE32-E72D297353CC}">
                  <c16:uniqueId val="{00000004-015C-45A4-9489-3332F8854551}"/>
                </c:ext>
              </c:extLst>
            </c:dLbl>
            <c:numFmt formatCode="0%" sourceLinked="0"/>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bg1"/>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Arkusz1!$A$2:$A$8</c:f>
              <c:strCache>
                <c:ptCount val="7"/>
                <c:pt idx="0">
                  <c:v>2025 N=128</c:v>
                </c:pt>
                <c:pt idx="1">
                  <c:v>2023 N=185</c:v>
                </c:pt>
                <c:pt idx="2">
                  <c:v>2022 N=607</c:v>
                </c:pt>
                <c:pt idx="3">
                  <c:v>2021 N=289</c:v>
                </c:pt>
                <c:pt idx="4">
                  <c:v>2020 N=911</c:v>
                </c:pt>
                <c:pt idx="5">
                  <c:v>2019 N=195</c:v>
                </c:pt>
                <c:pt idx="6">
                  <c:v>2018 N=789</c:v>
                </c:pt>
              </c:strCache>
            </c:strRef>
          </c:cat>
          <c:val>
            <c:numRef>
              <c:f>Arkusz1!$D$2:$D$8</c:f>
              <c:numCache>
                <c:formatCode>0%</c:formatCode>
                <c:ptCount val="7"/>
                <c:pt idx="0" formatCode="0.00%">
                  <c:v>0.21299999999999999</c:v>
                </c:pt>
                <c:pt idx="1">
                  <c:v>0.17</c:v>
                </c:pt>
                <c:pt idx="2">
                  <c:v>0.11</c:v>
                </c:pt>
                <c:pt idx="3">
                  <c:v>0.1</c:v>
                </c:pt>
                <c:pt idx="4">
                  <c:v>0.12</c:v>
                </c:pt>
                <c:pt idx="5">
                  <c:v>0.16</c:v>
                </c:pt>
                <c:pt idx="6">
                  <c:v>0.14000000000000001</c:v>
                </c:pt>
              </c:numCache>
            </c:numRef>
          </c:val>
          <c:extLst>
            <c:ext xmlns:c16="http://schemas.microsoft.com/office/drawing/2014/chart" uri="{C3380CC4-5D6E-409C-BE32-E72D297353CC}">
              <c16:uniqueId val="{00000002-B459-4848-969B-756EB1D511F7}"/>
            </c:ext>
          </c:extLst>
        </c:ser>
        <c:ser>
          <c:idx val="3"/>
          <c:order val="3"/>
          <c:tx>
            <c:strRef>
              <c:f>Arkusz1!$E$1</c:f>
              <c:strCache>
                <c:ptCount val="1"/>
                <c:pt idx="0">
                  <c:v>raczej negatywnie</c:v>
                </c:pt>
              </c:strCache>
            </c:strRef>
          </c:tx>
          <c:spPr>
            <a:solidFill>
              <a:schemeClr val="accent4"/>
            </a:solidFill>
            <a:ln>
              <a:noFill/>
            </a:ln>
            <a:effectLst/>
          </c:spPr>
          <c:invertIfNegative val="0"/>
          <c:dLbls>
            <c:numFmt formatCode="0%" sourceLinked="0"/>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Arkusz1!$A$2:$A$8</c:f>
              <c:strCache>
                <c:ptCount val="7"/>
                <c:pt idx="0">
                  <c:v>2025 N=128</c:v>
                </c:pt>
                <c:pt idx="1">
                  <c:v>2023 N=185</c:v>
                </c:pt>
                <c:pt idx="2">
                  <c:v>2022 N=607</c:v>
                </c:pt>
                <c:pt idx="3">
                  <c:v>2021 N=289</c:v>
                </c:pt>
                <c:pt idx="4">
                  <c:v>2020 N=911</c:v>
                </c:pt>
                <c:pt idx="5">
                  <c:v>2019 N=195</c:v>
                </c:pt>
                <c:pt idx="6">
                  <c:v>2018 N=789</c:v>
                </c:pt>
              </c:strCache>
            </c:strRef>
          </c:cat>
          <c:val>
            <c:numRef>
              <c:f>Arkusz1!$E$2:$E$8</c:f>
              <c:numCache>
                <c:formatCode>0%</c:formatCode>
                <c:ptCount val="7"/>
                <c:pt idx="0" formatCode="0.00%">
                  <c:v>2.4E-2</c:v>
                </c:pt>
                <c:pt idx="1">
                  <c:v>0.01</c:v>
                </c:pt>
                <c:pt idx="2">
                  <c:v>0.03</c:v>
                </c:pt>
                <c:pt idx="3">
                  <c:v>0.01</c:v>
                </c:pt>
                <c:pt idx="4">
                  <c:v>0.01</c:v>
                </c:pt>
                <c:pt idx="5">
                  <c:v>0.02</c:v>
                </c:pt>
                <c:pt idx="6">
                  <c:v>0.01</c:v>
                </c:pt>
              </c:numCache>
            </c:numRef>
          </c:val>
          <c:extLst>
            <c:ext xmlns:c16="http://schemas.microsoft.com/office/drawing/2014/chart" uri="{C3380CC4-5D6E-409C-BE32-E72D297353CC}">
              <c16:uniqueId val="{00000003-B459-4848-969B-756EB1D511F7}"/>
            </c:ext>
          </c:extLst>
        </c:ser>
        <c:ser>
          <c:idx val="4"/>
          <c:order val="4"/>
          <c:tx>
            <c:strRef>
              <c:f>Arkusz1!$F$1</c:f>
              <c:strCache>
                <c:ptCount val="1"/>
                <c:pt idx="0">
                  <c:v>zdecydowanie negatywnie</c:v>
                </c:pt>
              </c:strCache>
            </c:strRef>
          </c:tx>
          <c:spPr>
            <a:solidFill>
              <a:schemeClr val="accent5"/>
            </a:solidFill>
            <a:ln>
              <a:noFill/>
            </a:ln>
            <a:effectLst/>
          </c:spPr>
          <c:invertIfNegative val="0"/>
          <c:dLbls>
            <c:dLbl>
              <c:idx val="0"/>
              <c:layout>
                <c:manualLayout>
                  <c:x val="0"/>
                  <c:y val="4.4944073002110695E-2"/>
                </c:manualLayout>
              </c:layout>
              <c:numFmt formatCode="0%" sourceLinked="0"/>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9880-4ACC-8F6B-DD81633DDBC1}"/>
                </c:ext>
              </c:extLst>
            </c:dLbl>
            <c:dLbl>
              <c:idx val="1"/>
              <c:delete val="1"/>
              <c:extLst>
                <c:ext xmlns:c15="http://schemas.microsoft.com/office/drawing/2012/chart" uri="{CE6537A1-D6FC-4f65-9D91-7224C49458BB}"/>
                <c:ext xmlns:c16="http://schemas.microsoft.com/office/drawing/2014/chart" uri="{C3380CC4-5D6E-409C-BE32-E72D297353CC}">
                  <c16:uniqueId val="{0000000A-9880-4ACC-8F6B-DD81633DDBC1}"/>
                </c:ext>
              </c:extLst>
            </c:dLbl>
            <c:dLbl>
              <c:idx val="2"/>
              <c:layout>
                <c:manualLayout>
                  <c:x val="0"/>
                  <c:y val="3.852327447833065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9880-4ACC-8F6B-DD81633DDBC1}"/>
                </c:ext>
              </c:extLst>
            </c:dLbl>
            <c:dLbl>
              <c:idx val="3"/>
              <c:layout>
                <c:manualLayout>
                  <c:x val="0"/>
                  <c:y val="4.4943820224719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9880-4ACC-8F6B-DD81633DDBC1}"/>
                </c:ext>
              </c:extLst>
            </c:dLbl>
            <c:dLbl>
              <c:idx val="4"/>
              <c:layout>
                <c:manualLayout>
                  <c:x val="0"/>
                  <c:y val="3.852327447833071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9880-4ACC-8F6B-DD81633DDBC1}"/>
                </c:ext>
              </c:extLst>
            </c:dLbl>
            <c:dLbl>
              <c:idx val="5"/>
              <c:layout>
                <c:manualLayout>
                  <c:x val="0"/>
                  <c:y val="3.531300160513643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9880-4ACC-8F6B-DD81633DDBC1}"/>
                </c:ext>
              </c:extLst>
            </c:dLbl>
            <c:dLbl>
              <c:idx val="6"/>
              <c:layout>
                <c:manualLayout>
                  <c:x val="-1.6975112544026657E-16"/>
                  <c:y val="4.173354735152488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9880-4ACC-8F6B-DD81633DDBC1}"/>
                </c:ext>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Arkusz1!$A$2:$A$8</c:f>
              <c:strCache>
                <c:ptCount val="7"/>
                <c:pt idx="0">
                  <c:v>2025 N=128</c:v>
                </c:pt>
                <c:pt idx="1">
                  <c:v>2023 N=185</c:v>
                </c:pt>
                <c:pt idx="2">
                  <c:v>2022 N=607</c:v>
                </c:pt>
                <c:pt idx="3">
                  <c:v>2021 N=289</c:v>
                </c:pt>
                <c:pt idx="4">
                  <c:v>2020 N=911</c:v>
                </c:pt>
                <c:pt idx="5">
                  <c:v>2019 N=195</c:v>
                </c:pt>
                <c:pt idx="6">
                  <c:v>2018 N=789</c:v>
                </c:pt>
              </c:strCache>
            </c:strRef>
          </c:cat>
          <c:val>
            <c:numRef>
              <c:f>Arkusz1!$F$2:$F$8</c:f>
              <c:numCache>
                <c:formatCode>0%</c:formatCode>
                <c:ptCount val="7"/>
                <c:pt idx="0" formatCode="0.00%">
                  <c:v>1.6E-2</c:v>
                </c:pt>
                <c:pt idx="1">
                  <c:v>0</c:v>
                </c:pt>
                <c:pt idx="2">
                  <c:v>0.01</c:v>
                </c:pt>
                <c:pt idx="3">
                  <c:v>0.01</c:v>
                </c:pt>
                <c:pt idx="4">
                  <c:v>0.01</c:v>
                </c:pt>
                <c:pt idx="5">
                  <c:v>0.01</c:v>
                </c:pt>
                <c:pt idx="6">
                  <c:v>0.01</c:v>
                </c:pt>
              </c:numCache>
            </c:numRef>
          </c:val>
          <c:extLst>
            <c:ext xmlns:c16="http://schemas.microsoft.com/office/drawing/2014/chart" uri="{C3380CC4-5D6E-409C-BE32-E72D297353CC}">
              <c16:uniqueId val="{00000004-B459-4848-969B-756EB1D511F7}"/>
            </c:ext>
          </c:extLst>
        </c:ser>
        <c:ser>
          <c:idx val="5"/>
          <c:order val="5"/>
          <c:tx>
            <c:strRef>
              <c:f>Arkusz1!$G$1</c:f>
              <c:strCache>
                <c:ptCount val="1"/>
                <c:pt idx="0">
                  <c:v>nie wiem / trudno powiedzieć</c:v>
                </c:pt>
              </c:strCache>
            </c:strRef>
          </c:tx>
          <c:spPr>
            <a:solidFill>
              <a:schemeClr val="accent6"/>
            </a:solidFill>
            <a:ln>
              <a:noFill/>
            </a:ln>
            <a:effectLst/>
          </c:spPr>
          <c:invertIfNegative val="0"/>
          <c:dLbls>
            <c:dLbl>
              <c:idx val="0"/>
              <c:layout>
                <c:manualLayout>
                  <c:x val="2.342282735491397E-2"/>
                  <c:y val="0"/>
                </c:manualLayout>
              </c:layout>
              <c:numFmt formatCode="0%" sourceLinked="0"/>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pl-PL"/>
                </a:p>
              </c:txPr>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DC7-4342-962E-36619949274E}"/>
                </c:ext>
              </c:extLst>
            </c:dLbl>
            <c:dLbl>
              <c:idx val="1"/>
              <c:layout>
                <c:manualLayout>
                  <c:x val="2.5095326625838438E-2"/>
                  <c:y val="-2.9427161392534172E-17"/>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880-4ACC-8F6B-DD81633DDBC1}"/>
                </c:ext>
              </c:extLst>
            </c:dLbl>
            <c:dLbl>
              <c:idx val="4"/>
              <c:layout>
                <c:manualLayout>
                  <c:x val="2.5179170312044329E-2"/>
                  <c:y val="0"/>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880-4ACC-8F6B-DD81633DDBC1}"/>
                </c:ext>
              </c:extLst>
            </c:dLbl>
            <c:dLbl>
              <c:idx val="5"/>
              <c:layout>
                <c:manualLayout>
                  <c:x val="2.7410141440653252E-2"/>
                  <c:y val="0"/>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880-4ACC-8F6B-DD81633DDBC1}"/>
                </c:ext>
              </c:extLst>
            </c:dLbl>
            <c:dLbl>
              <c:idx val="6"/>
              <c:layout>
                <c:manualLayout>
                  <c:x val="3.4752296587926508E-2"/>
                  <c:y val="2.5277739159009617E-7"/>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880-4ACC-8F6B-DD81633DDBC1}"/>
                </c:ext>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pl-PL"/>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Arkusz1!$A$2:$A$8</c:f>
              <c:strCache>
                <c:ptCount val="7"/>
                <c:pt idx="0">
                  <c:v>2025 N=128</c:v>
                </c:pt>
                <c:pt idx="1">
                  <c:v>2023 N=185</c:v>
                </c:pt>
                <c:pt idx="2">
                  <c:v>2022 N=607</c:v>
                </c:pt>
                <c:pt idx="3">
                  <c:v>2021 N=289</c:v>
                </c:pt>
                <c:pt idx="4">
                  <c:v>2020 N=911</c:v>
                </c:pt>
                <c:pt idx="5">
                  <c:v>2019 N=195</c:v>
                </c:pt>
                <c:pt idx="6">
                  <c:v>2018 N=789</c:v>
                </c:pt>
              </c:strCache>
            </c:strRef>
          </c:cat>
          <c:val>
            <c:numRef>
              <c:f>Arkusz1!$G$2:$G$8</c:f>
              <c:numCache>
                <c:formatCode>0%</c:formatCode>
                <c:ptCount val="7"/>
                <c:pt idx="0" formatCode="0.00%">
                  <c:v>2.4E-2</c:v>
                </c:pt>
                <c:pt idx="1">
                  <c:v>0.02</c:v>
                </c:pt>
                <c:pt idx="2">
                  <c:v>0.01</c:v>
                </c:pt>
                <c:pt idx="3">
                  <c:v>0.01</c:v>
                </c:pt>
                <c:pt idx="4">
                  <c:v>0.02</c:v>
                </c:pt>
                <c:pt idx="5">
                  <c:v>0.02</c:v>
                </c:pt>
                <c:pt idx="6">
                  <c:v>0.03</c:v>
                </c:pt>
              </c:numCache>
            </c:numRef>
          </c:val>
          <c:extLst>
            <c:ext xmlns:c16="http://schemas.microsoft.com/office/drawing/2014/chart" uri="{C3380CC4-5D6E-409C-BE32-E72D297353CC}">
              <c16:uniqueId val="{00000005-B459-4848-969B-756EB1D511F7}"/>
            </c:ext>
          </c:extLst>
        </c:ser>
        <c:dLbls>
          <c:showLegendKey val="0"/>
          <c:showVal val="0"/>
          <c:showCatName val="0"/>
          <c:showSerName val="0"/>
          <c:showPercent val="0"/>
          <c:showBubbleSize val="0"/>
        </c:dLbls>
        <c:gapWidth val="60"/>
        <c:overlap val="100"/>
        <c:axId val="875697471"/>
        <c:axId val="875698911"/>
      </c:barChart>
      <c:catAx>
        <c:axId val="875697471"/>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crossAx val="875698911"/>
        <c:crosses val="autoZero"/>
        <c:auto val="1"/>
        <c:lblAlgn val="ctr"/>
        <c:lblOffset val="100"/>
        <c:noMultiLvlLbl val="0"/>
      </c:catAx>
      <c:valAx>
        <c:axId val="875698911"/>
        <c:scaling>
          <c:orientation val="minMax"/>
        </c:scaling>
        <c:delete val="0"/>
        <c:axPos val="t"/>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crossAx val="875697471"/>
        <c:crosses val="autoZero"/>
        <c:crossBetween val="between"/>
      </c:valAx>
      <c:spPr>
        <a:noFill/>
        <a:ln>
          <a:noFill/>
        </a:ln>
        <a:effectLst/>
      </c:spPr>
    </c:plotArea>
    <c:legend>
      <c:legendPos val="b"/>
      <c:legendEntry>
        <c:idx val="2"/>
        <c:txPr>
          <a:bodyPr rot="0" spcFirstLastPara="1" vertOverflow="ellipsis" vert="horz" wrap="square" anchor="ctr" anchorCtr="1"/>
          <a:lstStyle/>
          <a:p>
            <a:pPr>
              <a:defRPr sz="11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legendEntry>
      <c:layout>
        <c:manualLayout>
          <c:xMode val="edge"/>
          <c:yMode val="edge"/>
          <c:x val="0"/>
          <c:y val="0.7880878654213167"/>
          <c:w val="0.96548884514435696"/>
          <c:h val="0.19265049733951795"/>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pl-PL"/>
    </a:p>
  </c:txPr>
  <c:externalData r:id="rId3">
    <c:autoUpdate val="0"/>
  </c:externalData>
</c:chartSpace>
</file>

<file path=word/charts/chart6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percentStacked"/>
        <c:varyColors val="0"/>
        <c:ser>
          <c:idx val="0"/>
          <c:order val="0"/>
          <c:tx>
            <c:strRef>
              <c:f>Arkusz1!$B$1</c:f>
              <c:strCache>
                <c:ptCount val="1"/>
                <c:pt idx="0">
                  <c:v>tak</c:v>
                </c:pt>
              </c:strCache>
            </c:strRef>
          </c:tx>
          <c:spPr>
            <a:solidFill>
              <a:srgbClr val="061A3D"/>
            </a:solidFill>
            <a:ln>
              <a:noFill/>
            </a:ln>
            <a:effectLst/>
          </c:spPr>
          <c:invertIfNegative val="0"/>
          <c:dLbls>
            <c:dLbl>
              <c:idx val="8"/>
              <c:layout>
                <c:manualLayout>
                  <c:x val="0"/>
                  <c:y val="2.4729939173033636E-3"/>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4D8-4BF5-BE83-A92E0AC1D52F}"/>
                </c:ext>
              </c:extLst>
            </c:dLbl>
            <c:dLbl>
              <c:idx val="10"/>
              <c:numFmt formatCode="0%" sourceLinked="0"/>
              <c:spPr>
                <a:solidFill>
                  <a:srgbClr val="EE0000"/>
                </a:solid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bg1"/>
                      </a:solidFill>
                      <a:latin typeface="Arial" panose="020B0604020202020204" pitchFamily="34" charset="0"/>
                      <a:ea typeface="+mn-ea"/>
                      <a:cs typeface="Arial" panose="020B0604020202020204" pitchFamily="34" charset="0"/>
                    </a:defRPr>
                  </a:pPr>
                  <a:endParaRPr lang="pl-PL"/>
                </a:p>
              </c:txPr>
              <c:dLblPos val="ctr"/>
              <c:showLegendKey val="0"/>
              <c:showVal val="1"/>
              <c:showCatName val="0"/>
              <c:showSerName val="0"/>
              <c:showPercent val="0"/>
              <c:showBubbleSize val="0"/>
              <c:extLst>
                <c:ext xmlns:c16="http://schemas.microsoft.com/office/drawing/2014/chart" uri="{C3380CC4-5D6E-409C-BE32-E72D297353CC}">
                  <c16:uniqueId val="{00000001-078D-4337-A23C-62EDBB880D9F}"/>
                </c:ext>
              </c:extLst>
            </c:dLbl>
            <c:dLbl>
              <c:idx val="16"/>
              <c:numFmt formatCode="0%" sourceLinked="0"/>
              <c:spPr>
                <a:solidFill>
                  <a:srgbClr val="00B0F0"/>
                </a:solid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bg1"/>
                      </a:solidFill>
                      <a:latin typeface="Arial" panose="020B0604020202020204" pitchFamily="34" charset="0"/>
                      <a:ea typeface="+mn-ea"/>
                      <a:cs typeface="Arial" panose="020B0604020202020204" pitchFamily="34" charset="0"/>
                    </a:defRPr>
                  </a:pPr>
                  <a:endParaRPr lang="pl-PL"/>
                </a:p>
              </c:txPr>
              <c:dLblPos val="ctr"/>
              <c:showLegendKey val="0"/>
              <c:showVal val="1"/>
              <c:showCatName val="0"/>
              <c:showSerName val="0"/>
              <c:showPercent val="0"/>
              <c:showBubbleSize val="0"/>
              <c:extLst>
                <c:ext xmlns:c16="http://schemas.microsoft.com/office/drawing/2014/chart" uri="{C3380CC4-5D6E-409C-BE32-E72D297353CC}">
                  <c16:uniqueId val="{00000001-A044-435E-8DF7-A3B757C56B0D}"/>
                </c:ext>
              </c:extLst>
            </c:dLbl>
            <c:dLbl>
              <c:idx val="20"/>
              <c:numFmt formatCode="0%" sourceLinked="0"/>
              <c:spPr>
                <a:solidFill>
                  <a:srgbClr val="00B0F0"/>
                </a:solid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bg1"/>
                      </a:solidFill>
                      <a:latin typeface="Arial" panose="020B0604020202020204" pitchFamily="34" charset="0"/>
                      <a:ea typeface="+mn-ea"/>
                      <a:cs typeface="Arial" panose="020B0604020202020204" pitchFamily="34" charset="0"/>
                    </a:defRPr>
                  </a:pPr>
                  <a:endParaRPr lang="pl-PL"/>
                </a:p>
              </c:txPr>
              <c:dLblPos val="ctr"/>
              <c:showLegendKey val="0"/>
              <c:showVal val="1"/>
              <c:showCatName val="0"/>
              <c:showSerName val="0"/>
              <c:showPercent val="0"/>
              <c:showBubbleSize val="0"/>
              <c:extLst>
                <c:ext xmlns:c16="http://schemas.microsoft.com/office/drawing/2014/chart" uri="{C3380CC4-5D6E-409C-BE32-E72D297353CC}">
                  <c16:uniqueId val="{00000007-078D-4337-A23C-62EDBB880D9F}"/>
                </c:ext>
              </c:extLst>
            </c:dLbl>
            <c:dLbl>
              <c:idx val="23"/>
              <c:numFmt formatCode="0%" sourceLinked="0"/>
              <c:spPr>
                <a:solidFill>
                  <a:srgbClr val="EE0000"/>
                </a:solid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bg1"/>
                      </a:solidFill>
                      <a:latin typeface="Arial" panose="020B0604020202020204" pitchFamily="34" charset="0"/>
                      <a:ea typeface="+mn-ea"/>
                      <a:cs typeface="Arial" panose="020B0604020202020204" pitchFamily="34" charset="0"/>
                    </a:defRPr>
                  </a:pPr>
                  <a:endParaRPr lang="pl-PL"/>
                </a:p>
              </c:txPr>
              <c:dLblPos val="ctr"/>
              <c:showLegendKey val="0"/>
              <c:showVal val="1"/>
              <c:showCatName val="0"/>
              <c:showSerName val="0"/>
              <c:showPercent val="0"/>
              <c:showBubbleSize val="0"/>
              <c:extLst>
                <c:ext xmlns:c16="http://schemas.microsoft.com/office/drawing/2014/chart" uri="{C3380CC4-5D6E-409C-BE32-E72D297353CC}">
                  <c16:uniqueId val="{00000005-078D-4337-A23C-62EDBB880D9F}"/>
                </c:ext>
              </c:extLst>
            </c:dLbl>
            <c:numFmt formatCode="0%" sourceLinked="0"/>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bg1"/>
                    </a:solidFill>
                    <a:latin typeface="Arial" panose="020B0604020202020204" pitchFamily="34" charset="0"/>
                    <a:ea typeface="+mn-ea"/>
                    <a:cs typeface="Arial" panose="020B0604020202020204" pitchFamily="34" charset="0"/>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Arkusz1!$A$2:$A$25</c:f>
              <c:strCache>
                <c:ptCount val="24"/>
                <c:pt idx="0">
                  <c:v>Ogółem</c:v>
                </c:pt>
                <c:pt idx="2">
                  <c:v>Kobieta</c:v>
                </c:pt>
                <c:pt idx="3">
                  <c:v>Mężczyzna</c:v>
                </c:pt>
                <c:pt idx="5">
                  <c:v>15–19 lat</c:v>
                </c:pt>
                <c:pt idx="6">
                  <c:v>20–24 lata</c:v>
                </c:pt>
                <c:pt idx="7">
                  <c:v>25–34 lata</c:v>
                </c:pt>
                <c:pt idx="8">
                  <c:v>35–44 lata</c:v>
                </c:pt>
                <c:pt idx="9">
                  <c:v>45–54 lata</c:v>
                </c:pt>
                <c:pt idx="10">
                  <c:v>55–64 lata</c:v>
                </c:pt>
                <c:pt idx="11">
                  <c:v>65+</c:v>
                </c:pt>
                <c:pt idx="13">
                  <c:v>Wykształcenie wyższe</c:v>
                </c:pt>
                <c:pt idx="14">
                  <c:v>Średnie</c:v>
                </c:pt>
                <c:pt idx="15">
                  <c:v>Zawodowe</c:v>
                </c:pt>
                <c:pt idx="16">
                  <c:v>Podstawowe</c:v>
                </c:pt>
                <c:pt idx="18">
                  <c:v>Wieś</c:v>
                </c:pt>
                <c:pt idx="19">
                  <c:v>Do 20 tys.</c:v>
                </c:pt>
                <c:pt idx="20">
                  <c:v>20–49 tys.</c:v>
                </c:pt>
                <c:pt idx="21">
                  <c:v>50–199 tys.</c:v>
                </c:pt>
                <c:pt idx="22">
                  <c:v>200–499 tys.</c:v>
                </c:pt>
                <c:pt idx="23">
                  <c:v>500 tys.+</c:v>
                </c:pt>
              </c:strCache>
            </c:strRef>
          </c:cat>
          <c:val>
            <c:numRef>
              <c:f>Arkusz1!$B$2:$B$25</c:f>
              <c:numCache>
                <c:formatCode>General</c:formatCode>
                <c:ptCount val="24"/>
                <c:pt idx="0" formatCode="0.00%">
                  <c:v>0.42199999999999999</c:v>
                </c:pt>
                <c:pt idx="2" formatCode="0.00%">
                  <c:v>0.41099999999999998</c:v>
                </c:pt>
                <c:pt idx="3" formatCode="0.00%">
                  <c:v>0.432</c:v>
                </c:pt>
                <c:pt idx="5" formatCode="0.00%">
                  <c:v>0.41899999999999998</c:v>
                </c:pt>
                <c:pt idx="6" formatCode="0.00%">
                  <c:v>0.36099999999999999</c:v>
                </c:pt>
                <c:pt idx="7" formatCode="0.00%">
                  <c:v>0.33100000000000002</c:v>
                </c:pt>
                <c:pt idx="8" formatCode="0.00%">
                  <c:v>0.44400000000000001</c:v>
                </c:pt>
                <c:pt idx="9" formatCode="0.00%">
                  <c:v>0.377</c:v>
                </c:pt>
                <c:pt idx="10" formatCode="0.00%">
                  <c:v>0.51900000000000002</c:v>
                </c:pt>
                <c:pt idx="11" formatCode="0.00%">
                  <c:v>0.45200000000000001</c:v>
                </c:pt>
                <c:pt idx="13" formatCode="0.00%">
                  <c:v>0.433</c:v>
                </c:pt>
                <c:pt idx="14" formatCode="0.00%">
                  <c:v>0.42399999999999999</c:v>
                </c:pt>
                <c:pt idx="15" formatCode="0.00%">
                  <c:v>0.44</c:v>
                </c:pt>
                <c:pt idx="16" formatCode="0.00%">
                  <c:v>0.35799999999999998</c:v>
                </c:pt>
                <c:pt idx="18" formatCode="0.00%">
                  <c:v>0.42199999999999999</c:v>
                </c:pt>
                <c:pt idx="19" formatCode="0.00%">
                  <c:v>0.42199999999999999</c:v>
                </c:pt>
                <c:pt idx="20" formatCode="0.00%">
                  <c:v>0.32500000000000001</c:v>
                </c:pt>
                <c:pt idx="21" formatCode="0.00%">
                  <c:v>0.40699999999999997</c:v>
                </c:pt>
                <c:pt idx="22" formatCode="0.00%">
                  <c:v>0.41899999999999998</c:v>
                </c:pt>
                <c:pt idx="23" formatCode="0.00%">
                  <c:v>0.53700000000000003</c:v>
                </c:pt>
              </c:numCache>
            </c:numRef>
          </c:val>
          <c:extLst>
            <c:ext xmlns:c16="http://schemas.microsoft.com/office/drawing/2014/chart" uri="{C3380CC4-5D6E-409C-BE32-E72D297353CC}">
              <c16:uniqueId val="{00000002-078D-4337-A23C-62EDBB880D9F}"/>
            </c:ext>
          </c:extLst>
        </c:ser>
        <c:ser>
          <c:idx val="1"/>
          <c:order val="1"/>
          <c:tx>
            <c:strRef>
              <c:f>Arkusz1!$C$1</c:f>
              <c:strCache>
                <c:ptCount val="1"/>
                <c:pt idx="0">
                  <c:v>nie</c:v>
                </c:pt>
              </c:strCache>
            </c:strRef>
          </c:tx>
          <c:spPr>
            <a:solidFill>
              <a:schemeClr val="bg1">
                <a:lumMod val="85000"/>
              </a:schemeClr>
            </a:solidFill>
            <a:ln>
              <a:noFill/>
            </a:ln>
            <a:effectLst/>
          </c:spPr>
          <c:invertIfNegative val="0"/>
          <c:dLbls>
            <c:numFmt formatCode="0%" sourceLinked="0"/>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Arkusz1!$A$2:$A$25</c:f>
              <c:strCache>
                <c:ptCount val="24"/>
                <c:pt idx="0">
                  <c:v>Ogółem</c:v>
                </c:pt>
                <c:pt idx="2">
                  <c:v>Kobieta</c:v>
                </c:pt>
                <c:pt idx="3">
                  <c:v>Mężczyzna</c:v>
                </c:pt>
                <c:pt idx="5">
                  <c:v>15–19 lat</c:v>
                </c:pt>
                <c:pt idx="6">
                  <c:v>20–24 lata</c:v>
                </c:pt>
                <c:pt idx="7">
                  <c:v>25–34 lata</c:v>
                </c:pt>
                <c:pt idx="8">
                  <c:v>35–44 lata</c:v>
                </c:pt>
                <c:pt idx="9">
                  <c:v>45–54 lata</c:v>
                </c:pt>
                <c:pt idx="10">
                  <c:v>55–64 lata</c:v>
                </c:pt>
                <c:pt idx="11">
                  <c:v>65+</c:v>
                </c:pt>
                <c:pt idx="13">
                  <c:v>Wykształcenie wyższe</c:v>
                </c:pt>
                <c:pt idx="14">
                  <c:v>Średnie</c:v>
                </c:pt>
                <c:pt idx="15">
                  <c:v>Zawodowe</c:v>
                </c:pt>
                <c:pt idx="16">
                  <c:v>Podstawowe</c:v>
                </c:pt>
                <c:pt idx="18">
                  <c:v>Wieś</c:v>
                </c:pt>
                <c:pt idx="19">
                  <c:v>Do 20 tys.</c:v>
                </c:pt>
                <c:pt idx="20">
                  <c:v>20–49 tys.</c:v>
                </c:pt>
                <c:pt idx="21">
                  <c:v>50–199 tys.</c:v>
                </c:pt>
                <c:pt idx="22">
                  <c:v>200–499 tys.</c:v>
                </c:pt>
                <c:pt idx="23">
                  <c:v>500 tys.+</c:v>
                </c:pt>
              </c:strCache>
            </c:strRef>
          </c:cat>
          <c:val>
            <c:numRef>
              <c:f>Arkusz1!$C$2:$C$25</c:f>
              <c:numCache>
                <c:formatCode>General</c:formatCode>
                <c:ptCount val="24"/>
                <c:pt idx="0" formatCode="0.00%">
                  <c:v>0.438</c:v>
                </c:pt>
                <c:pt idx="2" formatCode="0.00%">
                  <c:v>0.44800000000000001</c:v>
                </c:pt>
                <c:pt idx="3" formatCode="0.00%">
                  <c:v>0.42899999999999999</c:v>
                </c:pt>
                <c:pt idx="5" formatCode="0.00%">
                  <c:v>0.46800000000000003</c:v>
                </c:pt>
                <c:pt idx="6" formatCode="0.00%">
                  <c:v>0.50800000000000001</c:v>
                </c:pt>
                <c:pt idx="7" formatCode="0.00%">
                  <c:v>0.47399999999999998</c:v>
                </c:pt>
                <c:pt idx="8" formatCode="0.00%">
                  <c:v>0.42399999999999999</c:v>
                </c:pt>
                <c:pt idx="9" formatCode="0.00%">
                  <c:v>0.48599999999999999</c:v>
                </c:pt>
                <c:pt idx="10" formatCode="0.00%">
                  <c:v>0.36599999999999999</c:v>
                </c:pt>
                <c:pt idx="11" formatCode="0.00%">
                  <c:v>0.41099999999999998</c:v>
                </c:pt>
                <c:pt idx="13" formatCode="0.00%">
                  <c:v>0.46200000000000002</c:v>
                </c:pt>
                <c:pt idx="14" formatCode="0.00%">
                  <c:v>0.438</c:v>
                </c:pt>
                <c:pt idx="15" formatCode="0.00%">
                  <c:v>0.40300000000000002</c:v>
                </c:pt>
                <c:pt idx="16" formatCode="0.00%">
                  <c:v>0.45500000000000002</c:v>
                </c:pt>
                <c:pt idx="18" formatCode="0.00%">
                  <c:v>0.45500000000000002</c:v>
                </c:pt>
                <c:pt idx="19" formatCode="0.00%">
                  <c:v>0.43</c:v>
                </c:pt>
                <c:pt idx="20" formatCode="0.00%">
                  <c:v>0.44400000000000001</c:v>
                </c:pt>
                <c:pt idx="21" formatCode="0.00%">
                  <c:v>0.45300000000000001</c:v>
                </c:pt>
                <c:pt idx="22" formatCode="0.00%">
                  <c:v>0.43</c:v>
                </c:pt>
                <c:pt idx="23" formatCode="0.00%">
                  <c:v>0.372</c:v>
                </c:pt>
              </c:numCache>
            </c:numRef>
          </c:val>
          <c:extLst>
            <c:ext xmlns:c16="http://schemas.microsoft.com/office/drawing/2014/chart" uri="{C3380CC4-5D6E-409C-BE32-E72D297353CC}">
              <c16:uniqueId val="{00000003-078D-4337-A23C-62EDBB880D9F}"/>
            </c:ext>
          </c:extLst>
        </c:ser>
        <c:ser>
          <c:idx val="2"/>
          <c:order val="2"/>
          <c:tx>
            <c:strRef>
              <c:f>Arkusz1!$D$1</c:f>
              <c:strCache>
                <c:ptCount val="1"/>
                <c:pt idx="0">
                  <c:v>nie wiem / trudno powiedzieć</c:v>
                </c:pt>
              </c:strCache>
            </c:strRef>
          </c:tx>
          <c:spPr>
            <a:solidFill>
              <a:schemeClr val="tx1">
                <a:lumMod val="50000"/>
                <a:lumOff val="50000"/>
              </a:schemeClr>
            </a:solidFill>
            <a:ln>
              <a:noFill/>
            </a:ln>
            <a:effectLst/>
          </c:spPr>
          <c:invertIfNegative val="0"/>
          <c:dLbls>
            <c:dLbl>
              <c:idx val="7"/>
              <c:numFmt formatCode="0%" sourceLinked="0"/>
              <c:spPr>
                <a:solidFill>
                  <a:srgbClr val="EE0000"/>
                </a:solid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bg1"/>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extLst>
                <c:ext xmlns:c16="http://schemas.microsoft.com/office/drawing/2014/chart" uri="{C3380CC4-5D6E-409C-BE32-E72D297353CC}">
                  <c16:uniqueId val="{00000006-078D-4337-A23C-62EDBB880D9F}"/>
                </c:ext>
              </c:extLst>
            </c:dLbl>
            <c:dLbl>
              <c:idx val="20"/>
              <c:numFmt formatCode="0%" sourceLinked="0"/>
              <c:spPr>
                <a:solidFill>
                  <a:srgbClr val="EE0000"/>
                </a:solid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bg1"/>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extLst>
                <c:ext xmlns:c16="http://schemas.microsoft.com/office/drawing/2014/chart" uri="{C3380CC4-5D6E-409C-BE32-E72D297353CC}">
                  <c16:uniqueId val="{00000000-A044-435E-8DF7-A3B757C56B0D}"/>
                </c:ext>
              </c:extLst>
            </c:dLbl>
            <c:dLbl>
              <c:idx val="23"/>
              <c:numFmt formatCode="0%" sourceLinked="0"/>
              <c:spPr>
                <a:solidFill>
                  <a:srgbClr val="00B0F0"/>
                </a:solid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bg1"/>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extLst>
                <c:ext xmlns:c16="http://schemas.microsoft.com/office/drawing/2014/chart" uri="{C3380CC4-5D6E-409C-BE32-E72D297353CC}">
                  <c16:uniqueId val="{00000002-A044-435E-8DF7-A3B757C56B0D}"/>
                </c:ext>
              </c:extLst>
            </c:dLbl>
            <c:numFmt formatCode="0%" sourceLinked="0"/>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bg1"/>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Arkusz1!$A$2:$A$25</c:f>
              <c:strCache>
                <c:ptCount val="24"/>
                <c:pt idx="0">
                  <c:v>Ogółem</c:v>
                </c:pt>
                <c:pt idx="2">
                  <c:v>Kobieta</c:v>
                </c:pt>
                <c:pt idx="3">
                  <c:v>Mężczyzna</c:v>
                </c:pt>
                <c:pt idx="5">
                  <c:v>15–19 lat</c:v>
                </c:pt>
                <c:pt idx="6">
                  <c:v>20–24 lata</c:v>
                </c:pt>
                <c:pt idx="7">
                  <c:v>25–34 lata</c:v>
                </c:pt>
                <c:pt idx="8">
                  <c:v>35–44 lata</c:v>
                </c:pt>
                <c:pt idx="9">
                  <c:v>45–54 lata</c:v>
                </c:pt>
                <c:pt idx="10">
                  <c:v>55–64 lata</c:v>
                </c:pt>
                <c:pt idx="11">
                  <c:v>65+</c:v>
                </c:pt>
                <c:pt idx="13">
                  <c:v>Wykształcenie wyższe</c:v>
                </c:pt>
                <c:pt idx="14">
                  <c:v>Średnie</c:v>
                </c:pt>
                <c:pt idx="15">
                  <c:v>Zawodowe</c:v>
                </c:pt>
                <c:pt idx="16">
                  <c:v>Podstawowe</c:v>
                </c:pt>
                <c:pt idx="18">
                  <c:v>Wieś</c:v>
                </c:pt>
                <c:pt idx="19">
                  <c:v>Do 20 tys.</c:v>
                </c:pt>
                <c:pt idx="20">
                  <c:v>20–49 tys.</c:v>
                </c:pt>
                <c:pt idx="21">
                  <c:v>50–199 tys.</c:v>
                </c:pt>
                <c:pt idx="22">
                  <c:v>200–499 tys.</c:v>
                </c:pt>
                <c:pt idx="23">
                  <c:v>500 tys.+</c:v>
                </c:pt>
              </c:strCache>
            </c:strRef>
          </c:cat>
          <c:val>
            <c:numRef>
              <c:f>Arkusz1!$D$2:$D$25</c:f>
              <c:numCache>
                <c:formatCode>General</c:formatCode>
                <c:ptCount val="24"/>
                <c:pt idx="0" formatCode="0.00%">
                  <c:v>0.14000000000000001</c:v>
                </c:pt>
                <c:pt idx="2" formatCode="0.00%">
                  <c:v>0.14099999999999999</c:v>
                </c:pt>
                <c:pt idx="3" formatCode="0.00%">
                  <c:v>0.13900000000000001</c:v>
                </c:pt>
                <c:pt idx="5" formatCode="0.00%">
                  <c:v>0.113</c:v>
                </c:pt>
                <c:pt idx="6" formatCode="0.00%">
                  <c:v>0.13100000000000001</c:v>
                </c:pt>
                <c:pt idx="7" formatCode="0.00%">
                  <c:v>0.19500000000000001</c:v>
                </c:pt>
                <c:pt idx="8" formatCode="0.00%">
                  <c:v>0.13200000000000001</c:v>
                </c:pt>
                <c:pt idx="9" formatCode="0.00%">
                  <c:v>0.13700000000000001</c:v>
                </c:pt>
                <c:pt idx="10" formatCode="0.00%">
                  <c:v>0.115</c:v>
                </c:pt>
                <c:pt idx="11" formatCode="0.00%">
                  <c:v>0.13700000000000001</c:v>
                </c:pt>
                <c:pt idx="13" formatCode="0.00%">
                  <c:v>0.105</c:v>
                </c:pt>
                <c:pt idx="14" formatCode="0.00%">
                  <c:v>0.13800000000000001</c:v>
                </c:pt>
                <c:pt idx="15" formatCode="0.00%">
                  <c:v>0.157</c:v>
                </c:pt>
                <c:pt idx="16" formatCode="0.00%">
                  <c:v>0.187</c:v>
                </c:pt>
                <c:pt idx="18" formatCode="0.00%">
                  <c:v>0.123</c:v>
                </c:pt>
                <c:pt idx="19" formatCode="0.00%">
                  <c:v>0.14799999999999999</c:v>
                </c:pt>
                <c:pt idx="20" formatCode="0.00%">
                  <c:v>0.23100000000000001</c:v>
                </c:pt>
                <c:pt idx="21" formatCode="0.00%">
                  <c:v>0.14000000000000001</c:v>
                </c:pt>
                <c:pt idx="22" formatCode="0.00%">
                  <c:v>0.151</c:v>
                </c:pt>
                <c:pt idx="23" formatCode="0.00%">
                  <c:v>9.0999999999999998E-2</c:v>
                </c:pt>
              </c:numCache>
            </c:numRef>
          </c:val>
          <c:extLst>
            <c:ext xmlns:c16="http://schemas.microsoft.com/office/drawing/2014/chart" uri="{C3380CC4-5D6E-409C-BE32-E72D297353CC}">
              <c16:uniqueId val="{00000004-078D-4337-A23C-62EDBB880D9F}"/>
            </c:ext>
          </c:extLst>
        </c:ser>
        <c:dLbls>
          <c:showLegendKey val="0"/>
          <c:showVal val="0"/>
          <c:showCatName val="0"/>
          <c:showSerName val="0"/>
          <c:showPercent val="0"/>
          <c:showBubbleSize val="0"/>
        </c:dLbls>
        <c:gapWidth val="60"/>
        <c:overlap val="100"/>
        <c:axId val="875697471"/>
        <c:axId val="875698911"/>
      </c:barChart>
      <c:catAx>
        <c:axId val="875697471"/>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crossAx val="875698911"/>
        <c:crosses val="autoZero"/>
        <c:auto val="1"/>
        <c:lblAlgn val="ctr"/>
        <c:lblOffset val="100"/>
        <c:noMultiLvlLbl val="0"/>
      </c:catAx>
      <c:valAx>
        <c:axId val="875698911"/>
        <c:scaling>
          <c:orientation val="minMax"/>
        </c:scaling>
        <c:delete val="0"/>
        <c:axPos val="t"/>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crossAx val="87569747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pl-P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pl-PL"/>
    </a:p>
  </c:txPr>
  <c:externalData r:id="rId3">
    <c:autoUpdate val="0"/>
  </c:externalData>
</c:chartSpace>
</file>

<file path=word/charts/chart6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Arkusz1!$B$1</c:f>
              <c:strCache>
                <c:ptCount val="1"/>
                <c:pt idx="0">
                  <c:v>Liczba</c:v>
                </c:pt>
              </c:strCache>
            </c:strRef>
          </c:tx>
          <c:spPr>
            <a:solidFill>
              <a:srgbClr val="061A3D"/>
            </a:solidFill>
            <a:ln>
              <a:noFill/>
            </a:ln>
            <a:effectLst/>
          </c:spPr>
          <c:invertIfNegative val="0"/>
          <c:dLbls>
            <c:numFmt formatCode="0%" sourceLinked="0"/>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Arkusz1!$A$2:$A$12</c:f>
              <c:strCache>
                <c:ptCount val="11"/>
                <c:pt idx="0">
                  <c:v>Nie wiem / trudno powiedzieć</c:v>
                </c:pt>
                <c:pt idx="1">
                  <c:v>Inne</c:v>
                </c:pt>
                <c:pt idx="2">
                  <c:v>Walka polityczna</c:v>
                </c:pt>
                <c:pt idx="3">
                  <c:v>Cyfryzacja / technologie</c:v>
                </c:pt>
                <c:pt idx="4">
                  <c:v>Wsparcie przedsiębiorców</c:v>
                </c:pt>
                <c:pt idx="5">
                  <c:v>Wsparcie usług publicznych (szkoły, zdrowie, samorządy)</c:v>
                </c:pt>
                <c:pt idx="6">
                  <c:v>Unia Europejska / Fundusze UE / środki unijne</c:v>
                </c:pt>
                <c:pt idx="7">
                  <c:v>Wsparcie finansowe / pomoc / środki z UE</c:v>
                </c:pt>
                <c:pt idx="8">
                  <c:v>Poprawa jakości życia / rozwój kraju / rozwój gospodarczy</c:v>
                </c:pt>
                <c:pt idx="9">
                  <c:v>Inwestycje, infrastruktura, remonty</c:v>
                </c:pt>
                <c:pt idx="10">
                  <c:v>Wyjście z kryzysu po pandemii / odbudowa kraju</c:v>
                </c:pt>
              </c:strCache>
            </c:strRef>
          </c:cat>
          <c:val>
            <c:numRef>
              <c:f>Arkusz1!$B$2:$B$12</c:f>
              <c:numCache>
                <c:formatCode>0.00%</c:formatCode>
                <c:ptCount val="11"/>
                <c:pt idx="0">
                  <c:v>7.0999999999999994E-2</c:v>
                </c:pt>
                <c:pt idx="1">
                  <c:v>1.4999999999999999E-2</c:v>
                </c:pt>
                <c:pt idx="2">
                  <c:v>4.0000000000000001E-3</c:v>
                </c:pt>
                <c:pt idx="3">
                  <c:v>6.0000000000000001E-3</c:v>
                </c:pt>
                <c:pt idx="4">
                  <c:v>1.2E-2</c:v>
                </c:pt>
                <c:pt idx="5">
                  <c:v>1.9E-2</c:v>
                </c:pt>
                <c:pt idx="6">
                  <c:v>2.7E-2</c:v>
                </c:pt>
                <c:pt idx="7">
                  <c:v>4.2000000000000003E-2</c:v>
                </c:pt>
                <c:pt idx="8">
                  <c:v>5.3999999999999999E-2</c:v>
                </c:pt>
                <c:pt idx="9">
                  <c:v>6.2E-2</c:v>
                </c:pt>
                <c:pt idx="10">
                  <c:v>0.68799999999999994</c:v>
                </c:pt>
              </c:numCache>
            </c:numRef>
          </c:val>
          <c:extLst>
            <c:ext xmlns:c16="http://schemas.microsoft.com/office/drawing/2014/chart" uri="{C3380CC4-5D6E-409C-BE32-E72D297353CC}">
              <c16:uniqueId val="{00000000-E1D9-4156-BAEE-5550F6009C4D}"/>
            </c:ext>
          </c:extLst>
        </c:ser>
        <c:dLbls>
          <c:showLegendKey val="0"/>
          <c:showVal val="0"/>
          <c:showCatName val="0"/>
          <c:showSerName val="0"/>
          <c:showPercent val="0"/>
          <c:showBubbleSize val="0"/>
        </c:dLbls>
        <c:gapWidth val="142"/>
        <c:axId val="432009056"/>
        <c:axId val="432009536"/>
      </c:barChart>
      <c:catAx>
        <c:axId val="43200905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432009536"/>
        <c:crosses val="autoZero"/>
        <c:auto val="1"/>
        <c:lblAlgn val="ctr"/>
        <c:lblOffset val="100"/>
        <c:noMultiLvlLbl val="0"/>
      </c:catAx>
      <c:valAx>
        <c:axId val="432009536"/>
        <c:scaling>
          <c:orientation val="minMax"/>
        </c:scaling>
        <c:delete val="0"/>
        <c:axPos val="b"/>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432009056"/>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percentStacked"/>
        <c:varyColors val="0"/>
        <c:ser>
          <c:idx val="0"/>
          <c:order val="0"/>
          <c:tx>
            <c:strRef>
              <c:f>Arkusz1!$B$1</c:f>
              <c:strCache>
                <c:ptCount val="1"/>
                <c:pt idx="0">
                  <c:v>tak, spotkałe(a)m się i wiem, co one oznaczają</c:v>
                </c:pt>
              </c:strCache>
            </c:strRef>
          </c:tx>
          <c:spPr>
            <a:solidFill>
              <a:srgbClr val="061A3D"/>
            </a:solidFill>
            <a:ln>
              <a:noFill/>
            </a:ln>
            <a:effectLst/>
          </c:spPr>
          <c:invertIfNegative val="0"/>
          <c:dLbls>
            <c:dLbl>
              <c:idx val="9"/>
              <c:numFmt formatCode="0%" sourceLinked="0"/>
              <c:spPr>
                <a:solidFill>
                  <a:srgbClr val="00B0F0"/>
                </a:solid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bg1"/>
                      </a:solidFill>
                      <a:latin typeface="Arial" panose="020B0604020202020204" pitchFamily="34" charset="0"/>
                      <a:ea typeface="+mn-ea"/>
                      <a:cs typeface="Arial" panose="020B0604020202020204" pitchFamily="34" charset="0"/>
                    </a:defRPr>
                  </a:pPr>
                  <a:endParaRPr lang="pl-PL"/>
                </a:p>
              </c:txPr>
              <c:dLblPos val="ctr"/>
              <c:showLegendKey val="0"/>
              <c:showVal val="1"/>
              <c:showCatName val="0"/>
              <c:showSerName val="0"/>
              <c:showPercent val="0"/>
              <c:showBubbleSize val="0"/>
              <c:extLst>
                <c:ext xmlns:c16="http://schemas.microsoft.com/office/drawing/2014/chart" uri="{C3380CC4-5D6E-409C-BE32-E72D297353CC}">
                  <c16:uniqueId val="{00000001-6295-4961-830C-3D1774540C1B}"/>
                </c:ext>
              </c:extLst>
            </c:dLbl>
            <c:numFmt formatCode="0%" sourceLinked="0"/>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bg1"/>
                    </a:solidFill>
                    <a:latin typeface="Arial" panose="020B0604020202020204" pitchFamily="34" charset="0"/>
                    <a:ea typeface="+mn-ea"/>
                    <a:cs typeface="Arial" panose="020B0604020202020204" pitchFamily="34" charset="0"/>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Arkusz1!$A$2:$A$25</c:f>
              <c:strCache>
                <c:ptCount val="24"/>
                <c:pt idx="0">
                  <c:v>Ogółem</c:v>
                </c:pt>
                <c:pt idx="2">
                  <c:v>Kobiety</c:v>
                </c:pt>
                <c:pt idx="3">
                  <c:v>Mężczyźni</c:v>
                </c:pt>
                <c:pt idx="5">
                  <c:v>15–19</c:v>
                </c:pt>
                <c:pt idx="6">
                  <c:v>20–24</c:v>
                </c:pt>
                <c:pt idx="7">
                  <c:v>25–34</c:v>
                </c:pt>
                <c:pt idx="8">
                  <c:v>35–44</c:v>
                </c:pt>
                <c:pt idx="9">
                  <c:v>45–54</c:v>
                </c:pt>
                <c:pt idx="10">
                  <c:v>55–64</c:v>
                </c:pt>
                <c:pt idx="11">
                  <c:v>65+</c:v>
                </c:pt>
                <c:pt idx="13">
                  <c:v>Wyższe</c:v>
                </c:pt>
                <c:pt idx="14">
                  <c:v>Średnie</c:v>
                </c:pt>
                <c:pt idx="15">
                  <c:v>Zawodowe</c:v>
                </c:pt>
                <c:pt idx="16">
                  <c:v>Podstawowe</c:v>
                </c:pt>
                <c:pt idx="17">
                  <c:v>Wieś</c:v>
                </c:pt>
                <c:pt idx="19">
                  <c:v>Do 20 tys.</c:v>
                </c:pt>
                <c:pt idx="20">
                  <c:v>20–49 tys.</c:v>
                </c:pt>
                <c:pt idx="21">
                  <c:v>50–199 tys.</c:v>
                </c:pt>
                <c:pt idx="22">
                  <c:v>200–499 tys.</c:v>
                </c:pt>
                <c:pt idx="23">
                  <c:v>500+ tys.</c:v>
                </c:pt>
              </c:strCache>
            </c:strRef>
          </c:cat>
          <c:val>
            <c:numRef>
              <c:f>Arkusz1!$B$2:$B$25</c:f>
              <c:numCache>
                <c:formatCode>General</c:formatCode>
                <c:ptCount val="24"/>
                <c:pt idx="0" formatCode="0.0%">
                  <c:v>0.76800000000000002</c:v>
                </c:pt>
                <c:pt idx="2" formatCode="0.0%">
                  <c:v>0.78400000000000003</c:v>
                </c:pt>
                <c:pt idx="3" formatCode="0.0%">
                  <c:v>0.753</c:v>
                </c:pt>
                <c:pt idx="5" formatCode="0.0%">
                  <c:v>0.79</c:v>
                </c:pt>
                <c:pt idx="6" formatCode="0.0%">
                  <c:v>0.83599999999999997</c:v>
                </c:pt>
                <c:pt idx="7" formatCode="0.0%">
                  <c:v>0.83099999999999996</c:v>
                </c:pt>
                <c:pt idx="8" formatCode="0.0%">
                  <c:v>0.76</c:v>
                </c:pt>
                <c:pt idx="9" formatCode="0.0%">
                  <c:v>0.70499999999999996</c:v>
                </c:pt>
                <c:pt idx="10" formatCode="0.0%">
                  <c:v>0.78600000000000003</c:v>
                </c:pt>
                <c:pt idx="11" formatCode="0.0%">
                  <c:v>0.73899999999999999</c:v>
                </c:pt>
                <c:pt idx="13" formatCode="0.0%">
                  <c:v>0.80400000000000005</c:v>
                </c:pt>
                <c:pt idx="14" formatCode="0.0%">
                  <c:v>0.748</c:v>
                </c:pt>
                <c:pt idx="15" formatCode="0.0%">
                  <c:v>0.76200000000000001</c:v>
                </c:pt>
                <c:pt idx="16" formatCode="0.0%">
                  <c:v>0.75600000000000001</c:v>
                </c:pt>
                <c:pt idx="17" formatCode="0.0%">
                  <c:v>0.751</c:v>
                </c:pt>
                <c:pt idx="19" formatCode="0.0%">
                  <c:v>0.75800000000000001</c:v>
                </c:pt>
                <c:pt idx="20" formatCode="0.0%">
                  <c:v>0.752</c:v>
                </c:pt>
                <c:pt idx="21" formatCode="0.0%">
                  <c:v>0.80700000000000005</c:v>
                </c:pt>
                <c:pt idx="22" formatCode="0.0%">
                  <c:v>0.82599999999999996</c:v>
                </c:pt>
                <c:pt idx="23" formatCode="0.0%">
                  <c:v>0.75800000000000001</c:v>
                </c:pt>
              </c:numCache>
            </c:numRef>
          </c:val>
          <c:extLst>
            <c:ext xmlns:c16="http://schemas.microsoft.com/office/drawing/2014/chart" uri="{C3380CC4-5D6E-409C-BE32-E72D297353CC}">
              <c16:uniqueId val="{00000000-313F-4EB1-941C-96011626E829}"/>
            </c:ext>
          </c:extLst>
        </c:ser>
        <c:ser>
          <c:idx val="1"/>
          <c:order val="1"/>
          <c:tx>
            <c:strRef>
              <c:f>Arkusz1!$C$1</c:f>
              <c:strCache>
                <c:ptCount val="1"/>
                <c:pt idx="0">
                  <c:v>tak, spotkałe(a)m się, ale nie wiem, co one oznaczają</c:v>
                </c:pt>
              </c:strCache>
            </c:strRef>
          </c:tx>
          <c:spPr>
            <a:solidFill>
              <a:schemeClr val="accent5">
                <a:lumMod val="75000"/>
              </a:schemeClr>
            </a:solidFill>
            <a:ln>
              <a:noFill/>
            </a:ln>
            <a:effectLst/>
          </c:spPr>
          <c:invertIfNegative val="0"/>
          <c:dLbls>
            <c:dLbl>
              <c:idx val="9"/>
              <c:numFmt formatCode="0%" sourceLinked="0"/>
              <c:spPr>
                <a:solidFill>
                  <a:srgbClr val="EE0000"/>
                </a:solid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bg1"/>
                      </a:solidFill>
                      <a:latin typeface="Arial" panose="020B0604020202020204" pitchFamily="34" charset="0"/>
                      <a:ea typeface="+mn-ea"/>
                      <a:cs typeface="Arial" panose="020B0604020202020204" pitchFamily="34" charset="0"/>
                    </a:defRPr>
                  </a:pPr>
                  <a:endParaRPr lang="pl-PL"/>
                </a:p>
              </c:txPr>
              <c:dLblPos val="ctr"/>
              <c:showLegendKey val="0"/>
              <c:showVal val="1"/>
              <c:showCatName val="0"/>
              <c:showSerName val="0"/>
              <c:showPercent val="0"/>
              <c:showBubbleSize val="0"/>
              <c:extLst>
                <c:ext xmlns:c16="http://schemas.microsoft.com/office/drawing/2014/chart" uri="{C3380CC4-5D6E-409C-BE32-E72D297353CC}">
                  <c16:uniqueId val="{00000000-6295-4961-830C-3D1774540C1B}"/>
                </c:ext>
              </c:extLst>
            </c:dLbl>
            <c:dLbl>
              <c:idx val="22"/>
              <c:numFmt formatCode="0%" sourceLinked="0"/>
              <c:spPr>
                <a:solidFill>
                  <a:srgbClr val="00B0F0"/>
                </a:solid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bg1"/>
                      </a:solidFill>
                      <a:latin typeface="Arial" panose="020B0604020202020204" pitchFamily="34" charset="0"/>
                      <a:ea typeface="+mn-ea"/>
                      <a:cs typeface="Arial" panose="020B0604020202020204" pitchFamily="34" charset="0"/>
                    </a:defRPr>
                  </a:pPr>
                  <a:endParaRPr lang="pl-PL"/>
                </a:p>
              </c:txPr>
              <c:dLblPos val="ctr"/>
              <c:showLegendKey val="0"/>
              <c:showVal val="1"/>
              <c:showCatName val="0"/>
              <c:showSerName val="0"/>
              <c:showPercent val="0"/>
              <c:showBubbleSize val="0"/>
              <c:extLst>
                <c:ext xmlns:c16="http://schemas.microsoft.com/office/drawing/2014/chart" uri="{C3380CC4-5D6E-409C-BE32-E72D297353CC}">
                  <c16:uniqueId val="{00000002-6295-4961-830C-3D1774540C1B}"/>
                </c:ext>
              </c:extLst>
            </c:dLbl>
            <c:numFmt formatCode="0%" sourceLinked="0"/>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bg1"/>
                    </a:solidFill>
                    <a:latin typeface="Arial" panose="020B0604020202020204" pitchFamily="34" charset="0"/>
                    <a:ea typeface="+mn-ea"/>
                    <a:cs typeface="Arial" panose="020B0604020202020204" pitchFamily="34" charset="0"/>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Arkusz1!$A$2:$A$25</c:f>
              <c:strCache>
                <c:ptCount val="24"/>
                <c:pt idx="0">
                  <c:v>Ogółem</c:v>
                </c:pt>
                <c:pt idx="2">
                  <c:v>Kobiety</c:v>
                </c:pt>
                <c:pt idx="3">
                  <c:v>Mężczyźni</c:v>
                </c:pt>
                <c:pt idx="5">
                  <c:v>15–19</c:v>
                </c:pt>
                <c:pt idx="6">
                  <c:v>20–24</c:v>
                </c:pt>
                <c:pt idx="7">
                  <c:v>25–34</c:v>
                </c:pt>
                <c:pt idx="8">
                  <c:v>35–44</c:v>
                </c:pt>
                <c:pt idx="9">
                  <c:v>45–54</c:v>
                </c:pt>
                <c:pt idx="10">
                  <c:v>55–64</c:v>
                </c:pt>
                <c:pt idx="11">
                  <c:v>65+</c:v>
                </c:pt>
                <c:pt idx="13">
                  <c:v>Wyższe</c:v>
                </c:pt>
                <c:pt idx="14">
                  <c:v>Średnie</c:v>
                </c:pt>
                <c:pt idx="15">
                  <c:v>Zawodowe</c:v>
                </c:pt>
                <c:pt idx="16">
                  <c:v>Podstawowe</c:v>
                </c:pt>
                <c:pt idx="17">
                  <c:v>Wieś</c:v>
                </c:pt>
                <c:pt idx="19">
                  <c:v>Do 20 tys.</c:v>
                </c:pt>
                <c:pt idx="20">
                  <c:v>20–49 tys.</c:v>
                </c:pt>
                <c:pt idx="21">
                  <c:v>50–199 tys.</c:v>
                </c:pt>
                <c:pt idx="22">
                  <c:v>200–499 tys.</c:v>
                </c:pt>
                <c:pt idx="23">
                  <c:v>500+ tys.</c:v>
                </c:pt>
              </c:strCache>
            </c:strRef>
          </c:cat>
          <c:val>
            <c:numRef>
              <c:f>Arkusz1!$C$2:$C$25</c:f>
              <c:numCache>
                <c:formatCode>General</c:formatCode>
                <c:ptCount val="24"/>
                <c:pt idx="0" formatCode="0.0%">
                  <c:v>0.188</c:v>
                </c:pt>
                <c:pt idx="2" formatCode="0.0%">
                  <c:v>0.16800000000000001</c:v>
                </c:pt>
                <c:pt idx="3" formatCode="0.0%">
                  <c:v>0.20699999999999999</c:v>
                </c:pt>
                <c:pt idx="5" formatCode="0.0%">
                  <c:v>0.161</c:v>
                </c:pt>
                <c:pt idx="6" formatCode="0.0%">
                  <c:v>0.16400000000000001</c:v>
                </c:pt>
                <c:pt idx="7" formatCode="0.0%">
                  <c:v>0.123</c:v>
                </c:pt>
                <c:pt idx="8" formatCode="0.0%">
                  <c:v>0.18099999999999999</c:v>
                </c:pt>
                <c:pt idx="9" formatCode="0.0%">
                  <c:v>0.26</c:v>
                </c:pt>
                <c:pt idx="10" formatCode="0.0%">
                  <c:v>0.183</c:v>
                </c:pt>
                <c:pt idx="11" formatCode="0.0%">
                  <c:v>0.20699999999999999</c:v>
                </c:pt>
                <c:pt idx="13" formatCode="0.0%">
                  <c:v>0.17100000000000001</c:v>
                </c:pt>
                <c:pt idx="14" formatCode="0.0%">
                  <c:v>0.184</c:v>
                </c:pt>
                <c:pt idx="15" formatCode="0.0%">
                  <c:v>0.20200000000000001</c:v>
                </c:pt>
                <c:pt idx="16" formatCode="0.0%">
                  <c:v>0.21099999999999999</c:v>
                </c:pt>
                <c:pt idx="17" formatCode="0.0%">
                  <c:v>0.20599999999999999</c:v>
                </c:pt>
                <c:pt idx="19" formatCode="0.0%">
                  <c:v>0.19500000000000001</c:v>
                </c:pt>
                <c:pt idx="20" formatCode="0.0%">
                  <c:v>0.214</c:v>
                </c:pt>
                <c:pt idx="21" formatCode="0.0%">
                  <c:v>0.14699999999999999</c:v>
                </c:pt>
                <c:pt idx="22" formatCode="0.0%">
                  <c:v>0.11600000000000001</c:v>
                </c:pt>
                <c:pt idx="23" formatCode="0.0%">
                  <c:v>0.2</c:v>
                </c:pt>
              </c:numCache>
            </c:numRef>
          </c:val>
          <c:extLst>
            <c:ext xmlns:c16="http://schemas.microsoft.com/office/drawing/2014/chart" uri="{C3380CC4-5D6E-409C-BE32-E72D297353CC}">
              <c16:uniqueId val="{00000001-313F-4EB1-941C-96011626E829}"/>
            </c:ext>
          </c:extLst>
        </c:ser>
        <c:ser>
          <c:idx val="2"/>
          <c:order val="2"/>
          <c:tx>
            <c:strRef>
              <c:f>Arkusz1!$D$1</c:f>
              <c:strCache>
                <c:ptCount val="1"/>
                <c:pt idx="0">
                  <c:v>nie, nigdy nie spotkałe(a)m się z tymi określeniami</c:v>
                </c:pt>
              </c:strCache>
            </c:strRef>
          </c:tx>
          <c:spPr>
            <a:solidFill>
              <a:schemeClr val="accent3"/>
            </a:solidFill>
            <a:ln>
              <a:noFill/>
            </a:ln>
            <a:effectLst/>
          </c:spPr>
          <c:invertIfNegative val="0"/>
          <c:dLbls>
            <c:dLbl>
              <c:idx val="6"/>
              <c:delete val="1"/>
              <c:extLst>
                <c:ext xmlns:c15="http://schemas.microsoft.com/office/drawing/2012/chart" uri="{CE6537A1-D6FC-4f65-9D91-7224C49458BB}"/>
                <c:ext xmlns:c16="http://schemas.microsoft.com/office/drawing/2014/chart" uri="{C3380CC4-5D6E-409C-BE32-E72D297353CC}">
                  <c16:uniqueId val="{00000001-7695-4686-BE19-9F04B51CF3AA}"/>
                </c:ext>
              </c:extLst>
            </c:dLbl>
            <c:numFmt formatCode="0%" sourceLinked="0"/>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bg1"/>
                    </a:solidFill>
                    <a:latin typeface="Arial" panose="020B0604020202020204" pitchFamily="34" charset="0"/>
                    <a:ea typeface="+mn-ea"/>
                    <a:cs typeface="Arial" panose="020B0604020202020204" pitchFamily="34" charset="0"/>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Arkusz1!$A$2:$A$25</c:f>
              <c:strCache>
                <c:ptCount val="24"/>
                <c:pt idx="0">
                  <c:v>Ogółem</c:v>
                </c:pt>
                <c:pt idx="2">
                  <c:v>Kobiety</c:v>
                </c:pt>
                <c:pt idx="3">
                  <c:v>Mężczyźni</c:v>
                </c:pt>
                <c:pt idx="5">
                  <c:v>15–19</c:v>
                </c:pt>
                <c:pt idx="6">
                  <c:v>20–24</c:v>
                </c:pt>
                <c:pt idx="7">
                  <c:v>25–34</c:v>
                </c:pt>
                <c:pt idx="8">
                  <c:v>35–44</c:v>
                </c:pt>
                <c:pt idx="9">
                  <c:v>45–54</c:v>
                </c:pt>
                <c:pt idx="10">
                  <c:v>55–64</c:v>
                </c:pt>
                <c:pt idx="11">
                  <c:v>65+</c:v>
                </c:pt>
                <c:pt idx="13">
                  <c:v>Wyższe</c:v>
                </c:pt>
                <c:pt idx="14">
                  <c:v>Średnie</c:v>
                </c:pt>
                <c:pt idx="15">
                  <c:v>Zawodowe</c:v>
                </c:pt>
                <c:pt idx="16">
                  <c:v>Podstawowe</c:v>
                </c:pt>
                <c:pt idx="17">
                  <c:v>Wieś</c:v>
                </c:pt>
                <c:pt idx="19">
                  <c:v>Do 20 tys.</c:v>
                </c:pt>
                <c:pt idx="20">
                  <c:v>20–49 tys.</c:v>
                </c:pt>
                <c:pt idx="21">
                  <c:v>50–199 tys.</c:v>
                </c:pt>
                <c:pt idx="22">
                  <c:v>200–499 tys.</c:v>
                </c:pt>
                <c:pt idx="23">
                  <c:v>500+ tys.</c:v>
                </c:pt>
              </c:strCache>
            </c:strRef>
          </c:cat>
          <c:val>
            <c:numRef>
              <c:f>Arkusz1!$D$2:$D$25</c:f>
              <c:numCache>
                <c:formatCode>General</c:formatCode>
                <c:ptCount val="24"/>
                <c:pt idx="0" formatCode="0.0%">
                  <c:v>2.9000000000000001E-2</c:v>
                </c:pt>
                <c:pt idx="2" formatCode="0.0%">
                  <c:v>0.04</c:v>
                </c:pt>
                <c:pt idx="3" formatCode="0.0%">
                  <c:v>1.9E-2</c:v>
                </c:pt>
                <c:pt idx="5" formatCode="0.0%">
                  <c:v>4.8000000000000001E-2</c:v>
                </c:pt>
                <c:pt idx="6" formatCode="0.0%">
                  <c:v>0</c:v>
                </c:pt>
                <c:pt idx="7" formatCode="0.0%">
                  <c:v>3.2000000000000001E-2</c:v>
                </c:pt>
                <c:pt idx="8" formatCode="0.0%">
                  <c:v>3.9E-2</c:v>
                </c:pt>
                <c:pt idx="9" formatCode="0.0%">
                  <c:v>1.4E-2</c:v>
                </c:pt>
                <c:pt idx="10" formatCode="0.0%">
                  <c:v>1.4999999999999999E-2</c:v>
                </c:pt>
                <c:pt idx="11" formatCode="0.0%">
                  <c:v>3.6999999999999998E-2</c:v>
                </c:pt>
                <c:pt idx="13" formatCode="0.0%">
                  <c:v>1.4999999999999999E-2</c:v>
                </c:pt>
                <c:pt idx="14" formatCode="0.0%">
                  <c:v>4.2000000000000003E-2</c:v>
                </c:pt>
                <c:pt idx="15" formatCode="0.0%">
                  <c:v>2.4E-2</c:v>
                </c:pt>
                <c:pt idx="16" formatCode="0.0%">
                  <c:v>3.3000000000000002E-2</c:v>
                </c:pt>
                <c:pt idx="17" formatCode="0.0%">
                  <c:v>2.5000000000000001E-2</c:v>
                </c:pt>
                <c:pt idx="19" formatCode="0.0%">
                  <c:v>3.9E-2</c:v>
                </c:pt>
                <c:pt idx="20" formatCode="0.0%">
                  <c:v>1.7000000000000001E-2</c:v>
                </c:pt>
                <c:pt idx="21" formatCode="0.0%">
                  <c:v>0.04</c:v>
                </c:pt>
                <c:pt idx="22" formatCode="0.0%">
                  <c:v>3.5000000000000003E-2</c:v>
                </c:pt>
                <c:pt idx="23" formatCode="0.0%">
                  <c:v>2.5000000000000001E-2</c:v>
                </c:pt>
              </c:numCache>
            </c:numRef>
          </c:val>
          <c:extLst>
            <c:ext xmlns:c16="http://schemas.microsoft.com/office/drawing/2014/chart" uri="{C3380CC4-5D6E-409C-BE32-E72D297353CC}">
              <c16:uniqueId val="{00000002-313F-4EB1-941C-96011626E829}"/>
            </c:ext>
          </c:extLst>
        </c:ser>
        <c:ser>
          <c:idx val="3"/>
          <c:order val="3"/>
          <c:tx>
            <c:strRef>
              <c:f>Arkusz1!$E$1</c:f>
              <c:strCache>
                <c:ptCount val="1"/>
                <c:pt idx="0">
                  <c:v>nie wiem, trudno powiedzieć</c:v>
                </c:pt>
              </c:strCache>
            </c:strRef>
          </c:tx>
          <c:spPr>
            <a:solidFill>
              <a:schemeClr val="accent4"/>
            </a:solidFill>
            <a:ln>
              <a:noFill/>
            </a:ln>
            <a:effectLst/>
          </c:spPr>
          <c:invertIfNegative val="0"/>
          <c:dLbls>
            <c:dLbl>
              <c:idx val="5"/>
              <c:delete val="1"/>
              <c:extLst>
                <c:ext xmlns:c15="http://schemas.microsoft.com/office/drawing/2012/chart" uri="{CE6537A1-D6FC-4f65-9D91-7224C49458BB}"/>
                <c:ext xmlns:c16="http://schemas.microsoft.com/office/drawing/2014/chart" uri="{C3380CC4-5D6E-409C-BE32-E72D297353CC}">
                  <c16:uniqueId val="{00000002-7695-4686-BE19-9F04B51CF3AA}"/>
                </c:ext>
              </c:extLst>
            </c:dLbl>
            <c:dLbl>
              <c:idx val="6"/>
              <c:delete val="1"/>
              <c:extLst>
                <c:ext xmlns:c15="http://schemas.microsoft.com/office/drawing/2012/chart" uri="{CE6537A1-D6FC-4f65-9D91-7224C49458BB}"/>
                <c:ext xmlns:c16="http://schemas.microsoft.com/office/drawing/2014/chart" uri="{C3380CC4-5D6E-409C-BE32-E72D297353CC}">
                  <c16:uniqueId val="{00000000-7695-4686-BE19-9F04B51CF3AA}"/>
                </c:ext>
              </c:extLst>
            </c:dLbl>
            <c:numFmt formatCode="0%" sourceLinked="0"/>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Arkusz1!$A$2:$A$25</c:f>
              <c:strCache>
                <c:ptCount val="24"/>
                <c:pt idx="0">
                  <c:v>Ogółem</c:v>
                </c:pt>
                <c:pt idx="2">
                  <c:v>Kobiety</c:v>
                </c:pt>
                <c:pt idx="3">
                  <c:v>Mężczyźni</c:v>
                </c:pt>
                <c:pt idx="5">
                  <c:v>15–19</c:v>
                </c:pt>
                <c:pt idx="6">
                  <c:v>20–24</c:v>
                </c:pt>
                <c:pt idx="7">
                  <c:v>25–34</c:v>
                </c:pt>
                <c:pt idx="8">
                  <c:v>35–44</c:v>
                </c:pt>
                <c:pt idx="9">
                  <c:v>45–54</c:v>
                </c:pt>
                <c:pt idx="10">
                  <c:v>55–64</c:v>
                </c:pt>
                <c:pt idx="11">
                  <c:v>65+</c:v>
                </c:pt>
                <c:pt idx="13">
                  <c:v>Wyższe</c:v>
                </c:pt>
                <c:pt idx="14">
                  <c:v>Średnie</c:v>
                </c:pt>
                <c:pt idx="15">
                  <c:v>Zawodowe</c:v>
                </c:pt>
                <c:pt idx="16">
                  <c:v>Podstawowe</c:v>
                </c:pt>
                <c:pt idx="17">
                  <c:v>Wieś</c:v>
                </c:pt>
                <c:pt idx="19">
                  <c:v>Do 20 tys.</c:v>
                </c:pt>
                <c:pt idx="20">
                  <c:v>20–49 tys.</c:v>
                </c:pt>
                <c:pt idx="21">
                  <c:v>50–199 tys.</c:v>
                </c:pt>
                <c:pt idx="22">
                  <c:v>200–499 tys.</c:v>
                </c:pt>
                <c:pt idx="23">
                  <c:v>500+ tys.</c:v>
                </c:pt>
              </c:strCache>
            </c:strRef>
          </c:cat>
          <c:val>
            <c:numRef>
              <c:f>Arkusz1!$E$2:$E$25</c:f>
              <c:numCache>
                <c:formatCode>General</c:formatCode>
                <c:ptCount val="24"/>
                <c:pt idx="0" formatCode="0.0%">
                  <c:v>1.4999999999999999E-2</c:v>
                </c:pt>
                <c:pt idx="2" formatCode="0.0%">
                  <c:v>8.0000000000000002E-3</c:v>
                </c:pt>
                <c:pt idx="3" formatCode="0.0%">
                  <c:v>2.1000000000000001E-2</c:v>
                </c:pt>
                <c:pt idx="5" formatCode="0.0%">
                  <c:v>0</c:v>
                </c:pt>
                <c:pt idx="6" formatCode="0.0%">
                  <c:v>0</c:v>
                </c:pt>
                <c:pt idx="7" formatCode="0.0%">
                  <c:v>1.2999999999999999E-2</c:v>
                </c:pt>
                <c:pt idx="8" formatCode="0.0%">
                  <c:v>0.02</c:v>
                </c:pt>
                <c:pt idx="9" formatCode="0.0%">
                  <c:v>2.1000000000000001E-2</c:v>
                </c:pt>
                <c:pt idx="10" formatCode="0.0%">
                  <c:v>1.4999999999999999E-2</c:v>
                </c:pt>
                <c:pt idx="11" formatCode="0.0%">
                  <c:v>1.7000000000000001E-2</c:v>
                </c:pt>
                <c:pt idx="13" formatCode="0.0%">
                  <c:v>1.0999999999999999E-2</c:v>
                </c:pt>
                <c:pt idx="14" formatCode="0.0%">
                  <c:v>2.5000000000000001E-2</c:v>
                </c:pt>
                <c:pt idx="15" formatCode="0.0%">
                  <c:v>1.2E-2</c:v>
                </c:pt>
                <c:pt idx="16" formatCode="0.0%">
                  <c:v>0</c:v>
                </c:pt>
                <c:pt idx="17" formatCode="0.0%">
                  <c:v>1.7999999999999999E-2</c:v>
                </c:pt>
                <c:pt idx="19" formatCode="0.0%">
                  <c:v>8.0000000000000002E-3</c:v>
                </c:pt>
                <c:pt idx="20" formatCode="0.0%">
                  <c:v>1.7000000000000001E-2</c:v>
                </c:pt>
                <c:pt idx="21" formatCode="0.0%">
                  <c:v>7.0000000000000001E-3</c:v>
                </c:pt>
                <c:pt idx="22" formatCode="0.0%">
                  <c:v>2.3E-2</c:v>
                </c:pt>
                <c:pt idx="23" formatCode="0.0%">
                  <c:v>1.7000000000000001E-2</c:v>
                </c:pt>
              </c:numCache>
            </c:numRef>
          </c:val>
          <c:extLst>
            <c:ext xmlns:c16="http://schemas.microsoft.com/office/drawing/2014/chart" uri="{C3380CC4-5D6E-409C-BE32-E72D297353CC}">
              <c16:uniqueId val="{00000003-313F-4EB1-941C-96011626E829}"/>
            </c:ext>
          </c:extLst>
        </c:ser>
        <c:dLbls>
          <c:showLegendKey val="0"/>
          <c:showVal val="0"/>
          <c:showCatName val="0"/>
          <c:showSerName val="0"/>
          <c:showPercent val="0"/>
          <c:showBubbleSize val="0"/>
        </c:dLbls>
        <c:gapWidth val="50"/>
        <c:overlap val="100"/>
        <c:axId val="877876399"/>
        <c:axId val="877893199"/>
      </c:barChart>
      <c:catAx>
        <c:axId val="877876399"/>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crossAx val="877893199"/>
        <c:crosses val="autoZero"/>
        <c:auto val="1"/>
        <c:lblAlgn val="ctr"/>
        <c:lblOffset val="100"/>
        <c:noMultiLvlLbl val="0"/>
      </c:catAx>
      <c:valAx>
        <c:axId val="877893199"/>
        <c:scaling>
          <c:orientation val="minMax"/>
        </c:scaling>
        <c:delete val="0"/>
        <c:axPos val="t"/>
        <c:majorGridlines>
          <c:spPr>
            <a:ln w="9525" cap="flat" cmpd="sng" algn="ctr">
              <a:no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crossAx val="87787639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pl-PL"/>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9155684847488057"/>
          <c:y val="1.2951822033481769E-2"/>
          <c:w val="0.46758701506959149"/>
          <c:h val="0.94896078065148226"/>
        </c:manualLayout>
      </c:layout>
      <c:barChart>
        <c:barDir val="bar"/>
        <c:grouping val="clustered"/>
        <c:varyColors val="0"/>
        <c:ser>
          <c:idx val="0"/>
          <c:order val="0"/>
          <c:tx>
            <c:strRef>
              <c:f>Arkusz1!$B$1</c:f>
              <c:strCache>
                <c:ptCount val="1"/>
                <c:pt idx="0">
                  <c:v>%</c:v>
                </c:pt>
              </c:strCache>
            </c:strRef>
          </c:tx>
          <c:spPr>
            <a:solidFill>
              <a:srgbClr val="061A3D"/>
            </a:solidFill>
            <a:ln>
              <a:noFill/>
            </a:ln>
            <a:effectLst/>
          </c:spPr>
          <c:invertIfNegative val="0"/>
          <c:dLbls>
            <c:numFmt formatCode="0%" sourceLinked="0"/>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Arkusz1!$A$2:$A$19</c:f>
              <c:strCache>
                <c:ptCount val="17"/>
                <c:pt idx="0">
                  <c:v>przynoszą dobre korzyści (dobro, przyszłość, wsparcie)</c:v>
                </c:pt>
                <c:pt idx="1">
                  <c:v>wsparcie gospodarki ogólnie</c:v>
                </c:pt>
                <c:pt idx="2">
                  <c:v>fundusze celowe na różne dziedziny rozwoju kraju</c:v>
                </c:pt>
                <c:pt idx="3">
                  <c:v>wsparcie dla Polski</c:v>
                </c:pt>
                <c:pt idx="4">
                  <c:v>środki przeznaczone na wsparcie związane z pandemią COVID-19</c:v>
                </c:pt>
                <c:pt idx="5">
                  <c:v>fundusze na wyrównanie różnic w poziomie życia obywateli UE</c:v>
                </c:pt>
                <c:pt idx="6">
                  <c:v>wspólne pieniądze krajów członkowskich</c:v>
                </c:pt>
                <c:pt idx="7">
                  <c:v>pożyczka</c:v>
                </c:pt>
                <c:pt idx="8">
                  <c:v>wsparcie przedsiębiorczości</c:v>
                </c:pt>
                <c:pt idx="9">
                  <c:v>dotacje na określony projekt, inwestycję</c:v>
                </c:pt>
                <c:pt idx="10">
                  <c:v>środki na ochronę środowiska</c:v>
                </c:pt>
                <c:pt idx="11">
                  <c:v>fundusze związane z budownictwem</c:v>
                </c:pt>
                <c:pt idx="12">
                  <c:v>środki na rozwój regionów</c:v>
                </c:pt>
                <c:pt idx="13">
                  <c:v>środki na rozwój w sferze społecznej</c:v>
                </c:pt>
                <c:pt idx="14">
                  <c:v>środki na rozwój rolnictwa / dopłaty do rolnictwa</c:v>
                </c:pt>
                <c:pt idx="15">
                  <c:v>pieniądze</c:v>
                </c:pt>
                <c:pt idx="16">
                  <c:v>ogólnie pomoc finansowa, pomoc Unii Europejskiej, środki na rozwój kraju</c:v>
                </c:pt>
              </c:strCache>
            </c:strRef>
          </c:cat>
          <c:val>
            <c:numRef>
              <c:f>Arkusz1!$B$2:$B$19</c:f>
              <c:numCache>
                <c:formatCode>0.00%</c:formatCode>
                <c:ptCount val="18"/>
                <c:pt idx="0">
                  <c:v>2E-3</c:v>
                </c:pt>
                <c:pt idx="1">
                  <c:v>2.1999999999999999E-2</c:v>
                </c:pt>
                <c:pt idx="2">
                  <c:v>2.4E-2</c:v>
                </c:pt>
                <c:pt idx="3">
                  <c:v>2.4E-2</c:v>
                </c:pt>
                <c:pt idx="4">
                  <c:v>2.8000000000000001E-2</c:v>
                </c:pt>
                <c:pt idx="5">
                  <c:v>3.3000000000000002E-2</c:v>
                </c:pt>
                <c:pt idx="6">
                  <c:v>3.5000000000000003E-2</c:v>
                </c:pt>
                <c:pt idx="7">
                  <c:v>3.7999999999999999E-2</c:v>
                </c:pt>
                <c:pt idx="8">
                  <c:v>4.2000000000000003E-2</c:v>
                </c:pt>
                <c:pt idx="9">
                  <c:v>4.7E-2</c:v>
                </c:pt>
                <c:pt idx="10">
                  <c:v>4.7E-2</c:v>
                </c:pt>
                <c:pt idx="11">
                  <c:v>5.3999999999999999E-2</c:v>
                </c:pt>
                <c:pt idx="12">
                  <c:v>5.3999999999999999E-2</c:v>
                </c:pt>
                <c:pt idx="13">
                  <c:v>7.2999999999999995E-2</c:v>
                </c:pt>
                <c:pt idx="14">
                  <c:v>7.8E-2</c:v>
                </c:pt>
                <c:pt idx="15">
                  <c:v>8.7999999999999995E-2</c:v>
                </c:pt>
                <c:pt idx="16">
                  <c:v>0.313</c:v>
                </c:pt>
              </c:numCache>
            </c:numRef>
          </c:val>
          <c:extLst>
            <c:ext xmlns:c16="http://schemas.microsoft.com/office/drawing/2014/chart" uri="{C3380CC4-5D6E-409C-BE32-E72D297353CC}">
              <c16:uniqueId val="{00000000-82C2-440E-9AA4-0213DEC4277B}"/>
            </c:ext>
          </c:extLst>
        </c:ser>
        <c:dLbls>
          <c:showLegendKey val="0"/>
          <c:showVal val="0"/>
          <c:showCatName val="0"/>
          <c:showSerName val="0"/>
          <c:showPercent val="0"/>
          <c:showBubbleSize val="0"/>
        </c:dLbls>
        <c:gapWidth val="82"/>
        <c:axId val="432009056"/>
        <c:axId val="432009536"/>
      </c:barChart>
      <c:catAx>
        <c:axId val="43200905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crossAx val="432009536"/>
        <c:crosses val="autoZero"/>
        <c:auto val="1"/>
        <c:lblAlgn val="ctr"/>
        <c:lblOffset val="100"/>
        <c:noMultiLvlLbl val="0"/>
      </c:catAx>
      <c:valAx>
        <c:axId val="432009536"/>
        <c:scaling>
          <c:orientation val="minMax"/>
        </c:scaling>
        <c:delete val="0"/>
        <c:axPos val="b"/>
        <c:majorGridlines>
          <c:spPr>
            <a:ln w="9525" cap="flat" cmpd="sng" algn="ctr">
              <a:no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crossAx val="432009056"/>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percentStacked"/>
        <c:varyColors val="0"/>
        <c:ser>
          <c:idx val="0"/>
          <c:order val="0"/>
          <c:tx>
            <c:strRef>
              <c:f>Arkusz1!$B$1</c:f>
              <c:strCache>
                <c:ptCount val="1"/>
                <c:pt idx="0">
                  <c:v>Tak</c:v>
                </c:pt>
              </c:strCache>
            </c:strRef>
          </c:tx>
          <c:spPr>
            <a:solidFill>
              <a:srgbClr val="061A3D"/>
            </a:solidFill>
            <a:ln>
              <a:noFill/>
            </a:ln>
            <a:effectLst/>
          </c:spPr>
          <c:invertIfNegative val="0"/>
          <c:dLbls>
            <c:spPr>
              <a:noFill/>
              <a:ln>
                <a:noFill/>
              </a:ln>
              <a:effectLst/>
            </c:spPr>
            <c:txPr>
              <a:bodyPr rot="0" spcFirstLastPara="1" vertOverflow="ellipsis" vert="horz" wrap="square" anchor="ctr" anchorCtr="1"/>
              <a:lstStyle/>
              <a:p>
                <a:pPr>
                  <a:defRPr sz="1200" b="0" i="0" u="none" strike="noStrike" kern="1200" baseline="0">
                    <a:solidFill>
                      <a:schemeClr val="bg1"/>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Arkusz1!$A$2:$A$10</c:f>
              <c:strCache>
                <c:ptCount val="9"/>
                <c:pt idx="0">
                  <c:v>2025 N=955</c:v>
                </c:pt>
                <c:pt idx="1">
                  <c:v>2023 N=888</c:v>
                </c:pt>
                <c:pt idx="2">
                  <c:v>2022 N=5279</c:v>
                </c:pt>
                <c:pt idx="3">
                  <c:v>2021 N=887</c:v>
                </c:pt>
                <c:pt idx="4">
                  <c:v>2020 N=5514</c:v>
                </c:pt>
                <c:pt idx="5">
                  <c:v>2019 N=905</c:v>
                </c:pt>
                <c:pt idx="6">
                  <c:v>2018 N=5615</c:v>
                </c:pt>
                <c:pt idx="7">
                  <c:v>2017 N=919</c:v>
                </c:pt>
                <c:pt idx="8">
                  <c:v>2016 N=5366</c:v>
                </c:pt>
              </c:strCache>
            </c:strRef>
          </c:cat>
          <c:val>
            <c:numRef>
              <c:f>Arkusz1!$B$2:$B$10</c:f>
              <c:numCache>
                <c:formatCode>0%</c:formatCode>
                <c:ptCount val="9"/>
                <c:pt idx="0">
                  <c:v>0.8</c:v>
                </c:pt>
                <c:pt idx="1">
                  <c:v>0.64</c:v>
                </c:pt>
                <c:pt idx="2">
                  <c:v>0.4</c:v>
                </c:pt>
                <c:pt idx="3">
                  <c:v>0.51</c:v>
                </c:pt>
                <c:pt idx="4">
                  <c:v>0.42</c:v>
                </c:pt>
                <c:pt idx="5">
                  <c:v>0.35</c:v>
                </c:pt>
                <c:pt idx="6">
                  <c:v>0.4</c:v>
                </c:pt>
                <c:pt idx="7">
                  <c:v>0.41</c:v>
                </c:pt>
                <c:pt idx="8">
                  <c:v>0.5</c:v>
                </c:pt>
              </c:numCache>
            </c:numRef>
          </c:val>
          <c:extLst>
            <c:ext xmlns:c16="http://schemas.microsoft.com/office/drawing/2014/chart" uri="{C3380CC4-5D6E-409C-BE32-E72D297353CC}">
              <c16:uniqueId val="{00000000-8E99-4259-BB90-2684F9EBA9E5}"/>
            </c:ext>
          </c:extLst>
        </c:ser>
        <c:ser>
          <c:idx val="1"/>
          <c:order val="1"/>
          <c:tx>
            <c:strRef>
              <c:f>Arkusz1!$C$1</c:f>
              <c:strCache>
                <c:ptCount val="1"/>
                <c:pt idx="0">
                  <c:v>Nie</c:v>
                </c:pt>
              </c:strCache>
            </c:strRef>
          </c:tx>
          <c:spPr>
            <a:solidFill>
              <a:schemeClr val="bg1">
                <a:lumMod val="85000"/>
              </a:schemeClr>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Arkusz1!$A$2:$A$10</c:f>
              <c:strCache>
                <c:ptCount val="9"/>
                <c:pt idx="0">
                  <c:v>2025 N=955</c:v>
                </c:pt>
                <c:pt idx="1">
                  <c:v>2023 N=888</c:v>
                </c:pt>
                <c:pt idx="2">
                  <c:v>2022 N=5279</c:v>
                </c:pt>
                <c:pt idx="3">
                  <c:v>2021 N=887</c:v>
                </c:pt>
                <c:pt idx="4">
                  <c:v>2020 N=5514</c:v>
                </c:pt>
                <c:pt idx="5">
                  <c:v>2019 N=905</c:v>
                </c:pt>
                <c:pt idx="6">
                  <c:v>2018 N=5615</c:v>
                </c:pt>
                <c:pt idx="7">
                  <c:v>2017 N=919</c:v>
                </c:pt>
                <c:pt idx="8">
                  <c:v>2016 N=5366</c:v>
                </c:pt>
              </c:strCache>
            </c:strRef>
          </c:cat>
          <c:val>
            <c:numRef>
              <c:f>Arkusz1!$C$2:$C$10</c:f>
              <c:numCache>
                <c:formatCode>0%</c:formatCode>
                <c:ptCount val="9"/>
                <c:pt idx="0">
                  <c:v>0.2</c:v>
                </c:pt>
                <c:pt idx="1">
                  <c:v>0.36</c:v>
                </c:pt>
                <c:pt idx="2">
                  <c:v>0.6</c:v>
                </c:pt>
                <c:pt idx="3">
                  <c:v>0.49</c:v>
                </c:pt>
                <c:pt idx="4">
                  <c:v>0.57999999999999996</c:v>
                </c:pt>
                <c:pt idx="5">
                  <c:v>0.65</c:v>
                </c:pt>
                <c:pt idx="6">
                  <c:v>0.6</c:v>
                </c:pt>
                <c:pt idx="7">
                  <c:v>0.59</c:v>
                </c:pt>
                <c:pt idx="8">
                  <c:v>0.5</c:v>
                </c:pt>
              </c:numCache>
            </c:numRef>
          </c:val>
          <c:extLst>
            <c:ext xmlns:c16="http://schemas.microsoft.com/office/drawing/2014/chart" uri="{C3380CC4-5D6E-409C-BE32-E72D297353CC}">
              <c16:uniqueId val="{00000001-8E99-4259-BB90-2684F9EBA9E5}"/>
            </c:ext>
          </c:extLst>
        </c:ser>
        <c:dLbls>
          <c:showLegendKey val="0"/>
          <c:showVal val="0"/>
          <c:showCatName val="0"/>
          <c:showSerName val="0"/>
          <c:showPercent val="0"/>
          <c:showBubbleSize val="0"/>
        </c:dLbls>
        <c:gapWidth val="90"/>
        <c:overlap val="100"/>
        <c:axId val="875697471"/>
        <c:axId val="875698911"/>
      </c:barChart>
      <c:catAx>
        <c:axId val="875697471"/>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crossAx val="875698911"/>
        <c:crosses val="autoZero"/>
        <c:auto val="1"/>
        <c:lblAlgn val="ctr"/>
        <c:lblOffset val="100"/>
        <c:noMultiLvlLbl val="0"/>
      </c:catAx>
      <c:valAx>
        <c:axId val="875698911"/>
        <c:scaling>
          <c:orientation val="minMax"/>
        </c:scaling>
        <c:delete val="0"/>
        <c:axPos val="t"/>
        <c:majorGridlines>
          <c:spPr>
            <a:ln w="9525" cap="flat" cmpd="sng" algn="ctr">
              <a:no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crossAx val="87569747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1200">
          <a:latin typeface="Arial" panose="020B0604020202020204" pitchFamily="34" charset="0"/>
          <a:cs typeface="Arial" panose="020B0604020202020204" pitchFamily="34" charset="0"/>
        </a:defRPr>
      </a:pPr>
      <a:endParaRPr lang="pl-PL"/>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withinLinear" id="18">
  <a:schemeClr val="accent5"/>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8.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9.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0.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7.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9.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0.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5.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7.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8.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9.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0.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7.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8.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9.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0.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6.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7.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8.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9.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cdr:x>
      <cdr:y>0.7796</cdr:y>
    </cdr:from>
    <cdr:to>
      <cdr:x>0.27234</cdr:x>
      <cdr:y>0.87751</cdr:y>
    </cdr:to>
    <cdr:sp macro="" textlink="">
      <cdr:nvSpPr>
        <cdr:cNvPr id="3" name="Pole tekstowe 2"/>
        <cdr:cNvSpPr txBox="1">
          <a:spLocks xmlns:a="http://schemas.openxmlformats.org/drawingml/2006/main" noChangeArrowheads="1"/>
        </cdr:cNvSpPr>
      </cdr:nvSpPr>
      <cdr:spPr bwMode="auto">
        <a:xfrm xmlns:a="http://schemas.openxmlformats.org/drawingml/2006/main">
          <a:off x="0" y="6156392"/>
          <a:ext cx="1494166" cy="773160"/>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sp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lnSpc>
              <a:spcPct val="107000"/>
            </a:lnSpc>
            <a:spcAft>
              <a:spcPts val="800"/>
            </a:spcAft>
            <a:buNone/>
          </a:pPr>
          <a:r>
            <a:rPr lang="pl-PL" sz="1100">
              <a:solidFill>
                <a:sysClr val="windowText" lastClr="000000"/>
              </a:solidFill>
              <a:latin typeface="Arial" panose="020B0604020202020204" pitchFamily="34" charset="0"/>
              <a:cs typeface="Arial" panose="020B0604020202020204" pitchFamily="34" charset="0"/>
            </a:rPr>
            <a:t>Zwykły człowiek nie ma możliwości skorzystania z pieniędzy unijnych</a:t>
          </a:r>
          <a:endParaRPr lang="pl-PL" sz="1600" kern="100">
            <a:solidFill>
              <a:sysClr val="windowText" lastClr="000000"/>
            </a:solidFill>
            <a:effectLst/>
            <a:latin typeface="Arial" panose="020B0604020202020204" pitchFamily="34" charset="0"/>
            <a:ea typeface="Calibri" panose="020F0502020204030204" pitchFamily="34" charset="0"/>
            <a:cs typeface="Arial" panose="020B0604020202020204" pitchFamily="34" charset="0"/>
          </a:endParaRPr>
        </a:p>
      </cdr:txBody>
    </cdr:sp>
  </cdr:relSizeAnchor>
  <cdr:relSizeAnchor xmlns:cdr="http://schemas.openxmlformats.org/drawingml/2006/chartDrawing">
    <cdr:from>
      <cdr:x>0</cdr:x>
      <cdr:y>0.04956</cdr:y>
    </cdr:from>
    <cdr:to>
      <cdr:x>0.27234</cdr:x>
      <cdr:y>0.21341</cdr:y>
    </cdr:to>
    <cdr:sp macro="" textlink="">
      <cdr:nvSpPr>
        <cdr:cNvPr id="5" name="Pole tekstowe 2"/>
        <cdr:cNvSpPr txBox="1">
          <a:spLocks xmlns:a="http://schemas.openxmlformats.org/drawingml/2006/main" noChangeArrowheads="1"/>
        </cdr:cNvSpPr>
      </cdr:nvSpPr>
      <cdr:spPr bwMode="auto">
        <a:xfrm xmlns:a="http://schemas.openxmlformats.org/drawingml/2006/main">
          <a:off x="0" y="391368"/>
          <a:ext cx="1494166" cy="1293880"/>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spAutoFit/>
        </a:bodyPr>
        <a:lstStyle xmlns:a="http://schemas.openxmlformats.org/drawingml/2006/main"/>
        <a:p xmlns:a="http://schemas.openxmlformats.org/drawingml/2006/main">
          <a:pPr algn="ctr">
            <a:lnSpc>
              <a:spcPct val="107000"/>
            </a:lnSpc>
            <a:spcAft>
              <a:spcPts val="800"/>
            </a:spcAft>
            <a:buNone/>
          </a:pPr>
          <a:r>
            <a:rPr lang="pl-PL" sz="1100" kern="100">
              <a:solidFill>
                <a:schemeClr val="tx1"/>
              </a:solidFill>
              <a:effectLst/>
              <a:latin typeface="Arial" panose="020B0604020202020204" pitchFamily="34" charset="0"/>
              <a:ea typeface="Calibri" panose="020F0502020204030204" pitchFamily="34" charset="0"/>
              <a:cs typeface="Arial" panose="020B0604020202020204" pitchFamily="34" charset="0"/>
            </a:rPr>
            <a:t>Korzystanie z Funduszy </a:t>
          </a:r>
          <a:r>
            <a:rPr lang="pl-PL" sz="1100" kern="100">
              <a:solidFill>
                <a:sysClr val="windowText" lastClr="000000"/>
              </a:solidFill>
              <a:effectLst/>
              <a:latin typeface="Arial" panose="020B0604020202020204" pitchFamily="34" charset="0"/>
              <a:ea typeface="Calibri" panose="020F0502020204030204" pitchFamily="34" charset="0"/>
              <a:cs typeface="Arial" panose="020B0604020202020204" pitchFamily="34" charset="0"/>
            </a:rPr>
            <a:t>Europejskich</a:t>
          </a:r>
          <a:r>
            <a:rPr lang="pl-PL" sz="1100" kern="100">
              <a:solidFill>
                <a:schemeClr val="tx1"/>
              </a:solidFill>
              <a:effectLst/>
              <a:latin typeface="Arial" panose="020B0604020202020204" pitchFamily="34" charset="0"/>
              <a:ea typeface="Calibri" panose="020F0502020204030204" pitchFamily="34" charset="0"/>
              <a:cs typeface="Arial" panose="020B0604020202020204" pitchFamily="34" charset="0"/>
            </a:rPr>
            <a:t> wymaga znajomości wielu skomplikowanych procedur</a:t>
          </a:r>
        </a:p>
      </cdr:txBody>
    </cdr:sp>
  </cdr:relSizeAnchor>
  <cdr:relSizeAnchor xmlns:cdr="http://schemas.openxmlformats.org/drawingml/2006/chartDrawing">
    <cdr:from>
      <cdr:x>0</cdr:x>
      <cdr:y>0.24849</cdr:y>
    </cdr:from>
    <cdr:to>
      <cdr:x>0.27234</cdr:x>
      <cdr:y>0.3464</cdr:y>
    </cdr:to>
    <cdr:sp macro="" textlink="">
      <cdr:nvSpPr>
        <cdr:cNvPr id="6" name="Pole tekstowe 2"/>
        <cdr:cNvSpPr txBox="1">
          <a:spLocks xmlns:a="http://schemas.openxmlformats.org/drawingml/2006/main" noChangeArrowheads="1"/>
        </cdr:cNvSpPr>
      </cdr:nvSpPr>
      <cdr:spPr bwMode="auto">
        <a:xfrm xmlns:a="http://schemas.openxmlformats.org/drawingml/2006/main">
          <a:off x="0" y="1962291"/>
          <a:ext cx="1494166" cy="773160"/>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spAutoFit/>
        </a:bodyPr>
        <a:lstStyle xmlns:a="http://schemas.openxmlformats.org/drawingml/2006/main"/>
        <a:p xmlns:a="http://schemas.openxmlformats.org/drawingml/2006/main">
          <a:pPr algn="ctr">
            <a:lnSpc>
              <a:spcPct val="107000"/>
            </a:lnSpc>
            <a:spcAft>
              <a:spcPts val="800"/>
            </a:spcAft>
            <a:buNone/>
          </a:pPr>
          <a:r>
            <a:rPr lang="pl-PL" sz="1100" kern="100">
              <a:solidFill>
                <a:sysClr val="windowText" lastClr="000000"/>
              </a:solidFill>
              <a:effectLst/>
              <a:latin typeface="Arial" panose="020B0604020202020204" pitchFamily="34" charset="0"/>
              <a:ea typeface="Calibri" panose="020F0502020204030204" pitchFamily="34" charset="0"/>
              <a:cs typeface="Arial" panose="020B0604020202020204" pitchFamily="34" charset="0"/>
            </a:rPr>
            <a:t>Aby pozyskać środki z Funduszy Europejskich trzeba mieć znajomości</a:t>
          </a:r>
          <a:endParaRPr lang="pl-PL" sz="1600" kern="100">
            <a:solidFill>
              <a:sysClr val="windowText" lastClr="000000"/>
            </a:solidFill>
            <a:effectLst/>
            <a:latin typeface="Arial" panose="020B0604020202020204" pitchFamily="34" charset="0"/>
            <a:ea typeface="Calibri" panose="020F0502020204030204" pitchFamily="34" charset="0"/>
            <a:cs typeface="Arial" panose="020B0604020202020204" pitchFamily="34" charset="0"/>
          </a:endParaRPr>
        </a:p>
      </cdr:txBody>
    </cdr:sp>
  </cdr:relSizeAnchor>
  <cdr:relSizeAnchor xmlns:cdr="http://schemas.openxmlformats.org/drawingml/2006/chartDrawing">
    <cdr:from>
      <cdr:x>0.0019</cdr:x>
      <cdr:y>0.42401</cdr:y>
    </cdr:from>
    <cdr:to>
      <cdr:x>0.27423</cdr:x>
      <cdr:y>0.58786</cdr:y>
    </cdr:to>
    <cdr:sp macro="" textlink="">
      <cdr:nvSpPr>
        <cdr:cNvPr id="7" name="Pole tekstowe 2"/>
        <cdr:cNvSpPr txBox="1">
          <a:spLocks xmlns:a="http://schemas.openxmlformats.org/drawingml/2006/main" noChangeArrowheads="1"/>
        </cdr:cNvSpPr>
      </cdr:nvSpPr>
      <cdr:spPr bwMode="auto">
        <a:xfrm xmlns:a="http://schemas.openxmlformats.org/drawingml/2006/main">
          <a:off x="10424" y="3348348"/>
          <a:ext cx="1494111" cy="1293880"/>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spAutoFit/>
        </a:bodyPr>
        <a:lstStyle xmlns:a="http://schemas.openxmlformats.org/drawingml/2006/main"/>
        <a:p xmlns:a="http://schemas.openxmlformats.org/drawingml/2006/main">
          <a:pPr algn="ctr">
            <a:lnSpc>
              <a:spcPct val="107000"/>
            </a:lnSpc>
            <a:spcAft>
              <a:spcPts val="800"/>
            </a:spcAft>
            <a:buNone/>
          </a:pPr>
          <a:r>
            <a:rPr lang="pl-PL" sz="1100" kern="100">
              <a:effectLst/>
              <a:latin typeface="Arial" panose="020B0604020202020204" pitchFamily="34" charset="0"/>
              <a:ea typeface="Calibri" panose="020F0502020204030204" pitchFamily="34" charset="0"/>
              <a:cs typeface="Arial" panose="020B0604020202020204" pitchFamily="34" charset="0"/>
            </a:rPr>
            <a:t>Aby pozyskać środki z Funduszy Europejskich trzeba korzystać z usług firm pośredniczących / doradczych</a:t>
          </a:r>
          <a:endParaRPr lang="pl-PL" sz="1600" kern="100">
            <a:effectLst/>
            <a:latin typeface="Arial" panose="020B0604020202020204" pitchFamily="34" charset="0"/>
            <a:ea typeface="Calibri" panose="020F0502020204030204" pitchFamily="34" charset="0"/>
            <a:cs typeface="Arial" panose="020B0604020202020204" pitchFamily="34" charset="0"/>
          </a:endParaRPr>
        </a:p>
      </cdr:txBody>
    </cdr:sp>
  </cdr:relSizeAnchor>
  <cdr:relSizeAnchor xmlns:cdr="http://schemas.openxmlformats.org/drawingml/2006/chartDrawing">
    <cdr:from>
      <cdr:x>0</cdr:x>
      <cdr:y>0.62034</cdr:y>
    </cdr:from>
    <cdr:to>
      <cdr:x>0.27234</cdr:x>
      <cdr:y>0.71825</cdr:y>
    </cdr:to>
    <cdr:sp macro="" textlink="">
      <cdr:nvSpPr>
        <cdr:cNvPr id="8" name="Pole tekstowe 2"/>
        <cdr:cNvSpPr txBox="1">
          <a:spLocks xmlns:a="http://schemas.openxmlformats.org/drawingml/2006/main" noChangeArrowheads="1"/>
        </cdr:cNvSpPr>
      </cdr:nvSpPr>
      <cdr:spPr bwMode="auto">
        <a:xfrm xmlns:a="http://schemas.openxmlformats.org/drawingml/2006/main">
          <a:off x="0" y="4898738"/>
          <a:ext cx="1494166" cy="773160"/>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spAutoFit/>
        </a:bodyPr>
        <a:lstStyle xmlns:a="http://schemas.openxmlformats.org/drawingml/2006/main"/>
        <a:p xmlns:a="http://schemas.openxmlformats.org/drawingml/2006/main">
          <a:pPr algn="ctr">
            <a:lnSpc>
              <a:spcPct val="107000"/>
            </a:lnSpc>
            <a:spcAft>
              <a:spcPts val="800"/>
            </a:spcAft>
            <a:buNone/>
          </a:pPr>
          <a:r>
            <a:rPr lang="pl-PL" sz="1100" kern="100">
              <a:solidFill>
                <a:sysClr val="windowText" lastClr="000000"/>
              </a:solidFill>
              <a:effectLst/>
              <a:latin typeface="Arial" panose="020B0604020202020204" pitchFamily="34" charset="0"/>
              <a:ea typeface="Calibri" panose="020F0502020204030204" pitchFamily="34" charset="0"/>
              <a:cs typeface="Arial" panose="020B0604020202020204" pitchFamily="34" charset="0"/>
            </a:rPr>
            <a:t>Polska dostaje więcej funduszy z Unii Europejskiej niż do niej odprowadza</a:t>
          </a:r>
          <a:endParaRPr lang="pl-PL" sz="1600" kern="100">
            <a:solidFill>
              <a:sysClr val="windowText" lastClr="000000"/>
            </a:solidFill>
            <a:effectLst/>
            <a:latin typeface="Arial" panose="020B0604020202020204" pitchFamily="34" charset="0"/>
            <a:ea typeface="Calibri" panose="020F0502020204030204" pitchFamily="34" charset="0"/>
            <a:cs typeface="Arial" panose="020B0604020202020204" pitchFamily="34" charset="0"/>
          </a:endParaRPr>
        </a:p>
      </cdr:txBody>
    </cdr:sp>
  </cdr:relSizeAnchor>
</c:userShape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291654-33C6-466D-82B9-AA4C0FAFF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134</Pages>
  <Words>27505</Words>
  <Characters>165033</Characters>
  <Application>Microsoft Office Word</Application>
  <DocSecurity>0</DocSecurity>
  <Lines>1375</Lines>
  <Paragraphs>384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192154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Piotr Sojka</dc:creator>
  <cp:keywords/>
  <dc:description/>
  <cp:lastModifiedBy>Marta Pytkowska</cp:lastModifiedBy>
  <cp:revision>2</cp:revision>
  <cp:lastPrinted>2026-01-09T10:06:00Z</cp:lastPrinted>
  <dcterms:created xsi:type="dcterms:W3CDTF">2026-08-06T13:02:00Z</dcterms:created>
  <dcterms:modified xsi:type="dcterms:W3CDTF">2026-08-06T13:02:00Z</dcterms:modified>
</cp:coreProperties>
</file>